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6083-2_4seq1.xml.htm"/>
      <w:bookmarkStart w:id="1" w:name="kstm26260832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GRANDISSON MARC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9950 WOODLOCH FOREST DRIVE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THE WOODLANDS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77380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Howard Hughes Holdings Inc.</w:t>
              </w:r>
            </w:hyperlink>
            <w:r>
              <w:rPr/>
              <w:t xml:space="preserve"> [ </w:t>
            </w:r>
            <w:r>
              <w:rPr>
                <w:rFonts w:ascii="Times;serif" w:hAnsi="Times;serif"/>
                <w:color w:val="0000FF"/>
                <w:sz w:val="24"/>
                <w:shd w:fill="FFFFFF" w:val="clear"/>
              </w:rPr>
              <w:t>HHH</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Executive Chairman, Vantage</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$0.01 par value</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09/23/2026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25,000</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64.1175</w:t>
            </w:r>
            <w:r>
              <w:rPr>
                <w:rFonts w:ascii="Times;serif" w:hAnsi="Times;serif"/>
                <w:color w:val="008000"/>
                <w:position w:val="7"/>
                <w:sz w:val="16"/>
                <w:sz w:val="20"/>
                <w:shd w:fill="FFFFFF" w:val="clear"/>
              </w:rPr>
              <w:t>(1)</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96,943</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purchased in multiple transactions at prices ranging from $63.74 to $64.75, inclusive. The reporting person undertakes to provide to the Issuer, any security holder of the Issuer, or the staff of the Securities and Exchange Commission, upon request, full information regarding the number of shares purchased at each separate price within the range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Nathan Bryce, Attorney-in-Fact for Marc Grandisson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86007" TargetMode="External"/><Relationship Id="rId5" Type="http://schemas.openxmlformats.org/officeDocument/2006/relationships/hyperlink" Target="http://www.sec.gov/cgi-bin/browse-edgar?action=getcompany&amp;CIK=000198179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645</Words>
  <Characters>3517</Characters>
  <CharactersWithSpaces>4094</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