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0001804382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283"/>
              <w:jc w:val="left"/>
              <w:rPr/>
            </w:pPr>
            <w:r>
              <w:rPr/>
              <w:t>Name of Issuer</w:t>
            </w:r>
          </w:p>
        </w:tc>
        <w:tc>
          <w:tcPr>
            <w:tcW w:w="4344" w:type="dxa"/>
            <w:tcBorders/>
            <w:vAlign w:val="center"/>
          </w:tcPr>
          <w:p>
            <w:pPr>
              <w:pStyle w:val="TableContents"/>
              <w:bidi w:val="0"/>
              <w:spacing w:before="0" w:after="0"/>
              <w:jc w:val="left"/>
              <w:rPr/>
            </w:pPr>
            <w:r>
              <w:rPr/>
              <w:t>Howard Hughes Holdings Inc.</w:t>
            </w:r>
          </w:p>
        </w:tc>
      </w:tr>
      <w:tr>
        <w:trPr/>
        <w:tc>
          <w:tcPr>
            <w:tcW w:w="5861" w:type="dxa"/>
            <w:tcBorders/>
            <w:vAlign w:val="center"/>
          </w:tcPr>
          <w:p>
            <w:pPr>
              <w:pStyle w:val="TableContents"/>
              <w:bidi w:val="0"/>
              <w:spacing w:before="0" w:after="283"/>
              <w:jc w:val="left"/>
              <w:rPr/>
            </w:pPr>
            <w:r>
              <w:rPr/>
              <w:t>SEC File Number</w:t>
            </w:r>
          </w:p>
        </w:tc>
        <w:tc>
          <w:tcPr>
            <w:tcW w:w="4344" w:type="dxa"/>
            <w:tcBorders/>
            <w:vAlign w:val="center"/>
          </w:tcPr>
          <w:p>
            <w:pPr>
              <w:pStyle w:val="TableContents"/>
              <w:bidi w:val="0"/>
              <w:spacing w:before="0" w:after="0"/>
              <w:jc w:val="left"/>
              <w:rPr/>
            </w:pPr>
            <w:r>
              <w:rPr/>
              <w:t>001-41779</w:t>
            </w:r>
          </w:p>
        </w:tc>
      </w:tr>
      <w:tr>
        <w:trPr/>
        <w:tc>
          <w:tcPr>
            <w:tcW w:w="5861" w:type="dxa"/>
            <w:tcBorders/>
            <w:vAlign w:val="center"/>
          </w:tcPr>
          <w:p>
            <w:pPr>
              <w:pStyle w:val="TableContents"/>
              <w:bidi w:val="0"/>
              <w:spacing w:before="0" w:after="283"/>
              <w:jc w:val="left"/>
              <w:rPr/>
            </w:pPr>
            <w:r>
              <w:rPr/>
              <w:t>Address of Issuer</w:t>
            </w:r>
          </w:p>
        </w:tc>
        <w:tc>
          <w:tcPr>
            <w:tcW w:w="4344" w:type="dxa"/>
            <w:tcBorders/>
            <w:vAlign w:val="center"/>
          </w:tcPr>
          <w:p>
            <w:pPr>
              <w:pStyle w:val="TableContents"/>
              <w:bidi w:val="0"/>
              <w:spacing w:before="0" w:after="0"/>
              <w:jc w:val="left"/>
              <w:rPr/>
            </w:pPr>
            <w:r>
              <w:rPr/>
              <w:t>9950 WOODLOCH FOREST DRIVE</w:t>
              <w:br/>
              <w:t>11TH FLOOR</w:t>
              <w:br/>
              <w:t>THE WOODLANDS</w:t>
              <w:br/>
              <w:t xml:space="preserve">TEXAS </w:t>
              <w:br/>
              <w:t>77380</w:t>
            </w:r>
          </w:p>
        </w:tc>
      </w:tr>
      <w:tr>
        <w:trPr/>
        <w:tc>
          <w:tcPr>
            <w:tcW w:w="5861" w:type="dxa"/>
            <w:tcBorders/>
            <w:vAlign w:val="center"/>
          </w:tcPr>
          <w:p>
            <w:pPr>
              <w:pStyle w:val="TableContents"/>
              <w:bidi w:val="0"/>
              <w:spacing w:before="0" w:after="283"/>
              <w:jc w:val="left"/>
              <w:rPr/>
            </w:pPr>
            <w:r>
              <w:rPr/>
              <w:t>Phone</w:t>
            </w:r>
          </w:p>
        </w:tc>
        <w:tc>
          <w:tcPr>
            <w:tcW w:w="4344" w:type="dxa"/>
            <w:tcBorders/>
            <w:vAlign w:val="center"/>
          </w:tcPr>
          <w:p>
            <w:pPr>
              <w:pStyle w:val="TableContents"/>
              <w:bidi w:val="0"/>
              <w:spacing w:before="0" w:after="0"/>
              <w:jc w:val="left"/>
              <w:rPr/>
            </w:pPr>
            <w:r>
              <w:rPr/>
              <w:t>6463543406</w:t>
            </w:r>
          </w:p>
        </w:tc>
      </w:tr>
      <w:tr>
        <w:trPr/>
        <w:tc>
          <w:tcPr>
            <w:tcW w:w="5861" w:type="dxa"/>
            <w:tcBorders/>
            <w:vAlign w:val="center"/>
          </w:tcPr>
          <w:p>
            <w:pPr>
              <w:pStyle w:val="TableContents"/>
              <w:bidi w:val="0"/>
              <w:spacing w:before="0" w:after="283"/>
              <w:jc w:val="left"/>
              <w:rPr/>
            </w:pPr>
            <w:r>
              <w:rPr/>
              <w:t>Name of Person for Whose Account the Securities are To Be Sold</w:t>
            </w:r>
          </w:p>
        </w:tc>
        <w:tc>
          <w:tcPr>
            <w:tcW w:w="4344" w:type="dxa"/>
            <w:tcBorders/>
            <w:vAlign w:val="center"/>
          </w:tcPr>
          <w:p>
            <w:pPr>
              <w:pStyle w:val="TableContents"/>
              <w:bidi w:val="0"/>
              <w:spacing w:before="0" w:after="0"/>
              <w:jc w:val="left"/>
              <w:rPr/>
            </w:pPr>
            <w:r>
              <w:rPr/>
              <w:t>Johnstone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1" w:type="dxa"/>
            <w:tcBorders/>
            <w:vAlign w:val="center"/>
          </w:tcPr>
          <w:p>
            <w:pPr>
              <w:pStyle w:val="TableContents"/>
              <w:bidi w:val="0"/>
              <w:spacing w:before="0" w:after="283"/>
              <w:jc w:val="left"/>
              <w:rPr/>
            </w:pPr>
            <w:r>
              <w:rPr/>
              <w:t>Relationship to Issuer</w:t>
            </w:r>
          </w:p>
        </w:tc>
        <w:tc>
          <w:tcPr>
            <w:tcW w:w="43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4015</w:t>
            </w:r>
          </w:p>
        </w:tc>
        <w:tc>
          <w:tcPr>
            <w:tcW w:w="1380" w:type="dxa"/>
            <w:tcBorders/>
            <w:vAlign w:val="center"/>
          </w:tcPr>
          <w:p>
            <w:pPr>
              <w:pStyle w:val="TableContents"/>
              <w:bidi w:val="0"/>
              <w:spacing w:before="0" w:after="283"/>
              <w:jc w:val="left"/>
              <w:rPr/>
            </w:pPr>
            <w:r>
              <w:rPr/>
              <w:t>264338.15</w:t>
            </w:r>
          </w:p>
        </w:tc>
        <w:tc>
          <w:tcPr>
            <w:tcW w:w="1555" w:type="dxa"/>
            <w:tcBorders/>
            <w:vAlign w:val="center"/>
          </w:tcPr>
          <w:p>
            <w:pPr>
              <w:pStyle w:val="TableContents"/>
              <w:bidi w:val="0"/>
              <w:spacing w:before="0" w:after="283"/>
              <w:jc w:val="left"/>
              <w:rPr/>
            </w:pPr>
            <w:r>
              <w:rPr/>
              <w:t>59721036</w:t>
            </w:r>
          </w:p>
        </w:tc>
        <w:tc>
          <w:tcPr>
            <w:tcW w:w="1569" w:type="dxa"/>
            <w:tcBorders/>
            <w:vAlign w:val="center"/>
          </w:tcPr>
          <w:p>
            <w:pPr>
              <w:pStyle w:val="TableContents"/>
              <w:bidi w:val="0"/>
              <w:spacing w:before="0" w:after="283"/>
              <w:jc w:val="left"/>
              <w:rPr/>
            </w:pPr>
            <w:r>
              <w:rPr/>
              <w:t>09/22/2026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360</w:t>
            </w:r>
          </w:p>
        </w:tc>
        <w:tc>
          <w:tcPr>
            <w:tcW w:w="1046" w:type="dxa"/>
            <w:tcBorders/>
            <w:vAlign w:val="center"/>
          </w:tcPr>
          <w:p>
            <w:pPr>
              <w:pStyle w:val="TableContents"/>
              <w:bidi w:val="0"/>
              <w:spacing w:before="0" w:after="283"/>
              <w:jc w:val="left"/>
              <w:rPr/>
            </w:pPr>
            <w:r>
              <w:rPr/>
              <w:t>02/02/2024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1816</w:t>
            </w:r>
          </w:p>
        </w:tc>
        <w:tc>
          <w:tcPr>
            <w:tcW w:w="1046" w:type="dxa"/>
            <w:tcBorders/>
            <w:vAlign w:val="center"/>
          </w:tcPr>
          <w:p>
            <w:pPr>
              <w:pStyle w:val="TableContents"/>
              <w:bidi w:val="0"/>
              <w:spacing w:before="0" w:after="283"/>
              <w:jc w:val="left"/>
              <w:rPr/>
            </w:pPr>
            <w:r>
              <w:rPr/>
              <w:t>12/31/2024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671</w:t>
            </w:r>
          </w:p>
        </w:tc>
        <w:tc>
          <w:tcPr>
            <w:tcW w:w="1046" w:type="dxa"/>
            <w:tcBorders/>
            <w:vAlign w:val="center"/>
          </w:tcPr>
          <w:p>
            <w:pPr>
              <w:pStyle w:val="TableContents"/>
              <w:bidi w:val="0"/>
              <w:spacing w:before="0" w:after="283"/>
              <w:jc w:val="left"/>
              <w:rPr/>
            </w:pPr>
            <w:r>
              <w:rPr/>
              <w:t>01/30/2025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1168</w:t>
            </w:r>
          </w:p>
        </w:tc>
        <w:tc>
          <w:tcPr>
            <w:tcW w:w="1046" w:type="dxa"/>
            <w:tcBorders/>
            <w:vAlign w:val="center"/>
          </w:tcPr>
          <w:p>
            <w:pPr>
              <w:pStyle w:val="TableContents"/>
              <w:bidi w:val="0"/>
              <w:spacing w:before="0" w:after="283"/>
              <w:jc w:val="left"/>
              <w:rPr/>
            </w:pPr>
            <w:r>
              <w:rPr/>
              <w:t>12/31/2025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3"/>
        <w:gridCol w:w="8492"/>
      </w:tblGrid>
      <w:tr>
        <w:trPr/>
        <w:tc>
          <w:tcPr>
            <w:tcW w:w="1713" w:type="dxa"/>
            <w:tcBorders/>
            <w:vAlign w:val="center"/>
          </w:tcPr>
          <w:p>
            <w:pPr>
              <w:pStyle w:val="TableContents"/>
              <w:bidi w:val="0"/>
              <w:spacing w:before="0" w:after="283"/>
              <w:jc w:val="left"/>
              <w:rPr/>
            </w:pPr>
            <w:r>
              <w:rPr/>
              <w:t>Remarks</w:t>
            </w:r>
          </w:p>
        </w:tc>
        <w:tc>
          <w:tcPr>
            <w:tcW w:w="8492" w:type="dxa"/>
            <w:tcBorders/>
            <w:vAlign w:val="center"/>
          </w:tcPr>
          <w:p>
            <w:pPr>
              <w:pStyle w:val="TableContents"/>
              <w:bidi w:val="0"/>
              <w:spacing w:before="0" w:after="283"/>
              <w:jc w:val="left"/>
              <w:rPr>
                <w:sz w:val="4"/>
                <w:szCs w:val="4"/>
              </w:rPr>
            </w:pPr>
            <w:r>
              <w:rPr>
                <w:sz w:val="4"/>
                <w:szCs w:val="4"/>
              </w:rPr>
            </w:r>
          </w:p>
        </w:tc>
      </w:tr>
      <w:tr>
        <w:trPr/>
        <w:tc>
          <w:tcPr>
            <w:tcW w:w="1713" w:type="dxa"/>
            <w:tcBorders/>
            <w:vAlign w:val="center"/>
          </w:tcPr>
          <w:p>
            <w:pPr>
              <w:pStyle w:val="TableContents"/>
              <w:bidi w:val="0"/>
              <w:spacing w:before="0" w:after="283"/>
              <w:jc w:val="left"/>
              <w:rPr/>
            </w:pPr>
            <w:r>
              <w:rPr/>
              <w:t>Date of Notice</w:t>
            </w:r>
          </w:p>
        </w:tc>
        <w:tc>
          <w:tcPr>
            <w:tcW w:w="8492"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3" w:type="dxa"/>
            <w:tcBorders/>
            <w:vAlign w:val="center"/>
          </w:tcPr>
          <w:p>
            <w:pPr>
              <w:pStyle w:val="TableContents"/>
              <w:bidi w:val="0"/>
              <w:spacing w:before="0" w:after="283"/>
              <w:jc w:val="left"/>
              <w:rPr/>
            </w:pPr>
            <w:r>
              <w:rPr/>
              <w:t>Signature</w:t>
            </w:r>
          </w:p>
        </w:tc>
        <w:tc>
          <w:tcPr>
            <w:tcW w:w="8492" w:type="dxa"/>
            <w:tcBorders/>
            <w:vAlign w:val="center"/>
          </w:tcPr>
          <w:p>
            <w:pPr>
              <w:pStyle w:val="TableContents"/>
              <w:bidi w:val="0"/>
              <w:spacing w:before="0" w:after="0"/>
              <w:jc w:val="left"/>
              <w:rPr/>
            </w:pPr>
            <w:r>
              <w:rPr/>
              <w:t>/s/ Jennifer Ruchti, as a duly authorized representative of Fidelity Brokerage Services LLC, as attorney-in-fact for Douglas P. Johnstone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3214</Characters>
  <CharactersWithSpaces>3755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