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jpeg" ContentType="image/jpeg"/>
  <Override PartName="/word/media/image48.jpeg" ContentType="image/jpeg"/>
  <Override PartName="/word/media/image32.jpeg" ContentType="image/jpeg"/>
  <Override PartName="/word/media/image5.jpeg" ContentType="image/jpeg"/>
  <Override PartName="/word/media/image26.jpeg" ContentType="image/jpeg"/>
  <Override PartName="/word/media/image49.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3319-1_def14a.htm"/>
        <w:bookmarkStart w:id="1" w:name="kstm2633191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437" w:after="283"/>
        <w:ind w:left="889"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 xml:space="preserve">UNITED STATES </w:t>
        <w:br/>
        <w:t>SECURITIES AND EXCHANGE COMMISSION</w:t>
      </w:r>
      <w:r>
        <w:rPr>
          <w:rFonts w:ascii="Arial;Helvetica;sans-serif" w:hAnsi="Arial;Helvetica;sans-serif"/>
          <w:b/>
          <w:i w:val="false"/>
          <w:caps w:val="false"/>
          <w:smallCaps w:val="false"/>
          <w:color w:val="000000"/>
          <w:sz w:val="20"/>
        </w:rPr>
        <w:t xml:space="preserve"> </w:t>
        <w:br/>
      </w:r>
      <w:r>
        <w:rPr>
          <w:rFonts w:ascii="Arial;Helvetica;sans-serif" w:hAnsi="Arial;Helvetica;sans-serif"/>
          <w:b/>
          <w:i w:val="false"/>
          <w:caps w:val="false"/>
          <w:smallCaps w:val="false"/>
          <w:color w:val="000000"/>
          <w:spacing w:val="0"/>
          <w:sz w:val="20"/>
        </w:rPr>
        <w:t>Washington, D.C. 20549</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320" w:before="12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4"/>
          <w:sz w:val="28"/>
        </w:rPr>
        <w:t>SCHEDULE 14A</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Proxy Statement Pursuant to Section 14(a) of </w:t>
        <w:br/>
        <w:t>the Securities Exchange Act of 1934 (Amendment No.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Filed by the Registrant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Filed by a Party other than the Registrant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Check the appropriate box:</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0" w:after="0"/>
        <w:ind w:left="1289"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Preliminary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889"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289"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Confidential, for Use of the Commission Only (as permitted by Rule 14a-6(e)(2))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889"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289"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Definitive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889"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289"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Definitive Additional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889"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289"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Soliciting Material under §240.14a-12 </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889" w:right="0" w:hanging="0"/>
        <w:jc w:val="left"/>
        <w:rPr>
          <w:caps w:val="false"/>
          <w:smallCaps w:val="false"/>
          <w:color w:val="000000"/>
        </w:rPr>
      </w:pPr>
      <w:r>
        <w:rPr>
          <w:caps w:val="false"/>
          <w:smallCaps w:val="false"/>
          <w:color w:val="000000"/>
        </w:rPr>
        <w:t>​</w:t>
      </w:r>
    </w:p>
    <w:p>
      <w:pPr>
        <w:pStyle w:val="TextBody"/>
        <w:bidi w:val="0"/>
        <w:spacing w:lineRule="atLeast" w:line="320" w:before="12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color w:val="000000"/>
          <w:spacing w:val="-4"/>
          <w:sz w:val="28"/>
        </w:rPr>
        <w:t>HOWARD HUGHES HOLDINGS INC.</w:t>
      </w:r>
      <w:r>
        <w:rPr>
          <w:rFonts w:ascii="Arial;Helvetica;sans-serif" w:hAnsi="Arial;Helvetica;sans-serif"/>
          <w:b/>
          <w:i w:val="false"/>
          <w:caps w:val="false"/>
          <w:smallCaps w:val="false"/>
          <w:color w:val="000000"/>
          <w:spacing w:val="-4"/>
          <w:sz w:val="28"/>
        </w:rPr>
        <w:t xml:space="preserve"> </w:t>
      </w:r>
    </w:p>
    <w:p>
      <w:pPr>
        <w:pStyle w:val="TextBody"/>
        <w:bidi w:val="0"/>
        <w:spacing w:before="0" w:after="283"/>
        <w:ind w:left="889"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(Name of Registrant as Specified in its Charter)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889"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(Name of Person(s) Filing Proxy Statement, if other than the Registrant)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Payment of Filing Fee (Check the appropriate box):</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289"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 fee required.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889"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289"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Fee paid previously with preliminary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889"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289"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Fee computed on table in exhibit required by Item 25(b) per Exchange Act Rules 14a-6(i)(1) and 0-11.</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889"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437" w:after="517"/>
        <w:ind w:left="889"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00" w:before="5691" w:after="283"/>
        <w:jc w:val="center"/>
        <w:rPr>
          <w:rFonts w:ascii="Arial;Helvetica;sans-serif" w:hAnsi="Arial;Helvetica;sans-serif"/>
          <w:b/>
          <w:i w:val="false"/>
          <w:caps w:val="false"/>
          <w:smallCaps w:val="false"/>
          <w:color w:val="000000"/>
          <w:sz w:val="46"/>
        </w:rPr>
      </w:pPr>
      <w:r>
        <w:rPr>
          <w:rFonts w:ascii="Arial;Helvetica;sans-serif" w:hAnsi="Arial;Helvetica;sans-serif"/>
          <w:b/>
          <w:i w:val="false"/>
          <w:caps w:val="false"/>
          <w:smallCaps w:val="false"/>
          <w:color w:val="000000"/>
          <w:spacing w:val="-1"/>
          <w:sz w:val="46"/>
        </w:rPr>
        <w:t>Annual Meeting of Stockholders</w:t>
      </w:r>
      <w:r>
        <w:rPr>
          <w:rFonts w:ascii="Arial;Helvetica;sans-serif" w:hAnsi="Arial;Helvetica;sans-serif"/>
          <w:b/>
          <w:i w:val="false"/>
          <w:caps w:val="false"/>
          <w:smallCaps w:val="false"/>
          <w:color w:val="000000"/>
          <w:spacing w:val="9"/>
          <w:sz w:val="46"/>
        </w:rPr>
        <w:t xml:space="preserve"> </w:t>
      </w:r>
    </w:p>
    <w:p>
      <w:pPr>
        <w:pStyle w:val="TextBody"/>
        <w:bidi w:val="0"/>
        <w:spacing w:before="40" w:after="283"/>
        <w:jc w:val="center"/>
        <w:rPr>
          <w:rFonts w:ascii="Arial;Helvetica;sans-serif" w:hAnsi="Arial;Helvetica;sans-serif"/>
          <w:b/>
          <w:i w:val="false"/>
          <w:caps w:val="false"/>
          <w:smallCaps w:val="false"/>
          <w:color w:val="000000"/>
          <w:sz w:val="46"/>
        </w:rPr>
      </w:pPr>
      <w:r>
        <w:rPr>
          <w:rFonts w:ascii="Arial;Helvetica;sans-serif" w:hAnsi="Arial;Helvetica;sans-serif"/>
          <w:b/>
          <w:i w:val="false"/>
          <w:caps w:val="false"/>
          <w:smallCaps w:val="false"/>
          <w:color w:val="000000"/>
          <w:spacing w:val="-1"/>
          <w:sz w:val="46"/>
        </w:rPr>
        <w:t xml:space="preserve">Proxy  Statement </w:t>
      </w:r>
      <w:r>
        <w:rPr>
          <w:rFonts w:ascii="Arial;Helvetica;sans-serif" w:hAnsi="Arial;Helvetica;sans-serif"/>
          <w:b/>
          <w:i w:val="false"/>
          <w:caps w:val="false"/>
          <w:smallCaps w:val="false"/>
          <w:color w:val="000000"/>
          <w:sz w:val="46"/>
        </w:rPr>
        <w:br/>
      </w:r>
      <w:r>
        <w:rPr>
          <w:rFonts w:ascii="Arial;Helvetica;sans-serif" w:hAnsi="Arial;Helvetica;sans-serif"/>
          <w:b/>
          <w:i w:val="false"/>
          <w:caps w:val="false"/>
          <w:smallCaps w:val="false"/>
          <w:color w:val="000000"/>
          <w:sz w:val="46"/>
        </w:rPr>
        <w:drawing>
          <wp:inline distT="0" distB="0" distL="0" distR="0">
            <wp:extent cx="6400800" cy="1524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6400800" cy="152400"/>
                    </a:xfrm>
                    <a:prstGeom prst="rect">
                      <a:avLst/>
                    </a:prstGeom>
                  </pic:spPr>
                </pic:pic>
              </a:graphicData>
            </a:graphic>
          </wp:inline>
        </w:drawing>
      </w:r>
      <w:r>
        <w:rPr>
          <w:rFonts w:ascii="Arial;Helvetica;sans-serif" w:hAnsi="Arial;Helvetica;sans-serif"/>
          <w:b/>
          <w:i w:val="false"/>
          <w:caps w:val="false"/>
          <w:smallCaps w:val="false"/>
          <w:color w:val="000000"/>
          <w:spacing w:val="-6"/>
          <w:sz w:val="46"/>
        </w:rPr>
        <w:t xml:space="preserve"> </w:t>
        <w:br/>
        <w:t>2026</w:t>
      </w:r>
      <w:r>
        <w:rPr>
          <w:rFonts w:ascii="Arial;Helvetica;sans-serif" w:hAnsi="Arial;Helvetica;sans-serif"/>
          <w:b/>
          <w:i w:val="false"/>
          <w:caps w:val="false"/>
          <w:smallCaps w:val="false"/>
          <w:color w:val="000000"/>
          <w:sz w:val="46"/>
        </w:rPr>
        <w:t xml:space="preserve"> </w:t>
      </w:r>
    </w:p>
    <w:p>
      <w:pPr>
        <w:pStyle w:val="TextBody"/>
        <w:bidi w:val="0"/>
        <w:spacing w:before="4080" w:after="283"/>
        <w:jc w:val="center"/>
        <w:rPr>
          <w:caps w:val="false"/>
          <w:smallCaps w:val="false"/>
          <w:color w:val="000000"/>
        </w:rPr>
      </w:pPr>
      <w:r>
        <w:rPr>
          <w:caps w:val="false"/>
          <w:smallCaps w:val="false"/>
          <w:color w:val="000000"/>
        </w:rPr>
        <w:drawing>
          <wp:inline distT="0" distB="0" distL="0" distR="0">
            <wp:extent cx="2638425" cy="4667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2638425" cy="466725"/>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917" w:after="283"/>
        <w:ind w:left="901" w:right="0" w:hanging="0"/>
        <w:jc w:val="left"/>
        <w:rPr>
          <w:caps w:val="false"/>
          <w:smallCaps w:val="false"/>
          <w:color w:val="000000"/>
        </w:rPr>
      </w:pPr>
      <w:r>
        <w:rPr>
          <w:caps w:val="false"/>
          <w:smallCaps w:val="false"/>
          <w:color w:val="000000"/>
        </w:rPr>
        <w:drawing>
          <wp:inline distT="0" distB="0" distL="0" distR="0">
            <wp:extent cx="1847850" cy="33337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1847850" cy="3333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ind w:left="96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9950 Woodloch Forest Drive, Suite 1100 </w:t>
        <w:br/>
        <w:t>The Woodlands, Texas 77380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480" w:before="374" w:after="283"/>
        <w:jc w:val="both"/>
        <w:rPr>
          <w:rFonts w:ascii="Arial;Helvetica;sans-serif" w:hAnsi="Arial;Helvetica;sans-serif"/>
          <w:b/>
          <w:i w:val="false"/>
          <w:caps w:val="false"/>
          <w:smallCaps w:val="false"/>
          <w:color w:val="000000"/>
          <w:sz w:val="44"/>
        </w:rPr>
      </w:pPr>
      <w:r>
        <w:rPr>
          <w:rFonts w:ascii="Arial;Helvetica;sans-serif" w:hAnsi="Arial;Helvetica;sans-serif"/>
          <w:b/>
          <w:i w:val="false"/>
          <w:caps w:val="false"/>
          <w:smallCaps w:val="false"/>
          <w:color w:val="000000"/>
          <w:spacing w:val="-1"/>
          <w:sz w:val="44"/>
        </w:rPr>
        <w:t>Letter from Our Executive Chairman</w:t>
      </w:r>
      <w:r>
        <w:rPr>
          <w:rFonts w:ascii="Arial;Helvetica;sans-serif" w:hAnsi="Arial;Helvetica;sans-serif"/>
          <w:b/>
          <w:i w:val="false"/>
          <w:caps w:val="false"/>
          <w:smallCaps w:val="false"/>
          <w:color w:val="000000"/>
          <w:spacing w:val="9"/>
          <w:sz w:val="44"/>
        </w:rPr>
        <w:t xml:space="preserve"> </w:t>
      </w:r>
    </w:p>
    <w:p>
      <w:pPr>
        <w:pStyle w:val="TextBody"/>
        <w:bidi w:val="0"/>
        <w:spacing w:lineRule="atLeast" w:line="240" w:before="540" w:after="283"/>
        <w:ind w:left="9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Dear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9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You are cordially invited to attend the 2026 Annual Meeting of Stockholders of Howard Hughes Holdings Inc., to be held at 9:00 a.m., Eastern Time, on Wednesday, September 30, 2026, at 787 7</w:t>
      </w:r>
      <w:r>
        <w:rPr>
          <w:rFonts w:ascii="Arial;Helvetica;sans-serif" w:hAnsi="Arial;Helvetica;sans-serif"/>
          <w:b w:val="false"/>
          <w:i w:val="false"/>
          <w:caps w:val="false"/>
          <w:smallCaps w:val="false"/>
          <w:color w:val="000000"/>
          <w:spacing w:val="-1"/>
          <w:sz w:val="15"/>
        </w:rPr>
        <w:t>th</w:t>
      </w:r>
      <w:r>
        <w:rPr>
          <w:rFonts w:ascii="Arial;Helvetica;sans-serif" w:hAnsi="Arial;Helvetica;sans-serif"/>
          <w:b w:val="false"/>
          <w:i w:val="false"/>
          <w:caps w:val="false"/>
          <w:smallCaps w:val="false"/>
          <w:color w:val="000000"/>
          <w:spacing w:val="-2"/>
          <w:sz w:val="20"/>
        </w:rPr>
        <w:t xml:space="preserve"> Ave., Auditorium, New York, NY 10019. Enclosed you will find a notice setting forth the items that we expect to address during the meeting and a copy of our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9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 strongly encourage you to attend this year’s meeting in person. In addition to discussing the business of the meeting, CIO Ryan Israel, CEO David O’Reilly, Vantage Executive Chairman Marc Grandisson, and I will have an open microphone session to address all of your questions about the company, our strategic direction, and our plans as well as other relevant topics. I believe you will find it both a useful and interesting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961" w:right="0" w:hanging="0"/>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If you choose to attend the meeting, preregistration is required. Preregistration information will be available shortly on the Howard Hughes website at https://investor.howardhughes.com/. The meeting is open to all, but priority will be given to our stockholders. Only stockholders of record as of August 17, 2026 will be entitled to vote at the meeting. </w:t>
      </w:r>
    </w:p>
    <w:p>
      <w:pPr>
        <w:pStyle w:val="TextBody"/>
        <w:bidi w:val="0"/>
        <w:spacing w:lineRule="atLeast" w:line="240" w:before="160" w:after="283"/>
        <w:ind w:left="9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It is important that your shares be voted at the meeting in accordance with your preference. Your vote is important to us. Even if you do not plan to attend the meeting in person, we hope that your votes will be represented at the meeting by completing, signing, dating and returning your proxy card or voting by using the Internet or telephone voting procedures.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1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Sincerely,</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0" w:after="283"/>
        <w:ind w:left="6101" w:right="0" w:hanging="0"/>
        <w:jc w:val="left"/>
        <w:rPr>
          <w:caps w:val="false"/>
          <w:smallCaps w:val="false"/>
          <w:color w:val="000000"/>
        </w:rPr>
      </w:pPr>
      <w:r>
        <w:rPr>
          <w:caps w:val="false"/>
          <w:smallCaps w:val="false"/>
          <w:color w:val="000000"/>
        </w:rPr>
        <w:drawing>
          <wp:inline distT="0" distB="0" distL="0" distR="0">
            <wp:extent cx="1514475" cy="4953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1514475" cy="4953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6101"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r>
        <w:rPr>
          <w:rFonts w:ascii="Arial;Helvetica;sans-serif" w:hAnsi="Arial;Helvetica;sans-serif"/>
          <w:b w:val="false"/>
          <w:i w:val="false"/>
          <w:caps w:val="false"/>
          <w:smallCaps w:val="false"/>
          <w:color w:val="000000"/>
          <w:sz w:val="20"/>
        </w:rPr>
        <w:br/>
      </w:r>
      <w:r>
        <w:rPr>
          <w:rFonts w:ascii="Arial;Helvetica;sans-serif" w:hAnsi="Arial;Helvetica;sans-serif"/>
          <w:b/>
          <w:i w:val="false"/>
          <w:caps w:val="false"/>
          <w:smallCaps w:val="false"/>
          <w:color w:val="000000"/>
          <w:spacing w:val="0"/>
          <w:sz w:val="20"/>
        </w:rPr>
        <w:t>William A. Ackman</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val="false"/>
          <w:i w:val="false"/>
          <w:caps w:val="false"/>
          <w:smallCaps w:val="false"/>
          <w:color w:val="000000"/>
          <w:spacing w:val="-2"/>
          <w:sz w:val="20"/>
        </w:rPr>
        <w:t>Executive Chairman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9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August 19, 2026</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437" w:after="283"/>
        <w:ind w:left="969" w:right="0" w:hanging="0"/>
        <w:jc w:val="left"/>
        <w:rPr>
          <w:caps w:val="false"/>
          <w:smallCaps w:val="false"/>
          <w:color w:val="000000"/>
        </w:rPr>
      </w:pPr>
      <w:r>
        <w:rPr>
          <w:caps w:val="false"/>
          <w:smallCaps w:val="false"/>
          <w:color w:val="000000"/>
        </w:rPr>
        <w:drawing>
          <wp:inline distT="0" distB="0" distL="0" distR="0">
            <wp:extent cx="1847850" cy="33337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847850" cy="333375"/>
                    </a:xfrm>
                    <a:prstGeom prst="rect">
                      <a:avLst/>
                    </a:prstGeom>
                  </pic:spPr>
                </pic:pic>
              </a:graphicData>
            </a:graphic>
          </wp:inline>
        </w:drawing>
      </w:r>
      <w:r>
        <w:rPr>
          <w:caps w:val="false"/>
          <w:smallCaps w:val="false"/>
          <w:color w:val="000000"/>
        </w:rPr>
        <w:t xml:space="preserve"> </w:t>
      </w:r>
    </w:p>
    <w:tbl>
      <w:tblPr>
        <w:tblW w:w="5641" w:type="dxa"/>
        <w:jc w:val="left"/>
        <w:tblInd w:w="0" w:type="dxa"/>
        <w:tblLayout w:type="fixed"/>
        <w:tblCellMar>
          <w:top w:w="0" w:type="dxa"/>
          <w:left w:w="0" w:type="dxa"/>
          <w:bottom w:w="0" w:type="dxa"/>
          <w:right w:w="0" w:type="dxa"/>
        </w:tblCellMar>
      </w:tblPr>
      <w:tblGrid>
        <w:gridCol w:w="124"/>
        <w:gridCol w:w="109"/>
        <w:gridCol w:w="109"/>
        <w:gridCol w:w="109"/>
        <w:gridCol w:w="4709"/>
        <w:gridCol w:w="109"/>
        <w:gridCol w:w="109"/>
        <w:gridCol w:w="109"/>
        <w:gridCol w:w="154"/>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09" w:type="dxa"/>
            <w:tcBorders/>
            <w:vAlign w:val="center"/>
          </w:tcPr>
          <w:p>
            <w:pPr>
              <w:pStyle w:val="TableContents"/>
              <w:bidi w:val="0"/>
              <w:spacing w:lineRule="atLeast" w:line="240" w:before="0" w:after="0"/>
              <w:jc w:val="left"/>
              <w:rPr>
                <w:spacing w:val="-2"/>
              </w:rPr>
            </w:pPr>
            <w:r>
              <w:rPr>
                <w:spacing w:val="-2"/>
              </w:rPr>
              <w:t xml:space="preserve">9950 Woodloch Forest Drive, Suite 1100 </w:t>
              <w:br/>
              <w:t xml:space="preserve">The Woodlands, Texas 77380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right"/>
              <w:rPr/>
            </w:pPr>
            <w:r>
              <w:rPr/>
              <w:t>​</w:t>
            </w:r>
          </w:p>
        </w:tc>
        <w:tc>
          <w:tcPr>
            <w:tcW w:w="154" w:type="dxa"/>
            <w:vMerge w:val="restart"/>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4709" w:type="dxa"/>
            <w:tcBorders/>
            <w:vAlign w:val="center"/>
          </w:tcPr>
          <w:p>
            <w:pPr>
              <w:pStyle w:val="TableContents"/>
              <w:bidi w:val="0"/>
              <w:spacing w:before="0" w:after="0"/>
              <w:jc w:val="left"/>
              <w:rPr/>
            </w:pPr>
            <w:r>
              <w:rPr>
                <w:spacing w:val="-1"/>
              </w:rPr>
              <w:t>Notice of 2026 Annual Meeting of Stockholders</w:t>
            </w:r>
            <w:r>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4" w:type="dxa"/>
            <w:vMerge w:val="continue"/>
            <w:tcBorders/>
            <w:vAlign w:val="center"/>
          </w:tcPr>
          <w:p>
            <w:pPr>
              <w:pStyle w:val="Normal"/>
              <w:bidi w:val="0"/>
              <w:jc w:val="left"/>
              <w:rPr/>
            </w:pPr>
            <w:r>
              <w:rPr/>
            </w:r>
          </w:p>
        </w:tc>
      </w:tr>
    </w:tbl>
    <w:p>
      <w:pPr>
        <w:pStyle w:val="TextBody"/>
        <w:bidi w:val="0"/>
        <w:spacing w:lineRule="atLeast" w:line="240" w:before="160" w:after="517"/>
        <w:ind w:left="889" w:right="0" w:hanging="0"/>
        <w:jc w:val="both"/>
        <w:rPr>
          <w:caps w:val="false"/>
          <w:smallCaps w:val="false"/>
          <w:color w:val="000000"/>
        </w:rPr>
      </w:pPr>
      <w:r>
        <w:rPr>
          <w:caps w:val="false"/>
          <w:smallCaps w:val="false"/>
          <w:color w:val="000000"/>
          <w:spacing w:val="-2"/>
        </w:rPr>
        <w:t> </w:t>
      </w:r>
      <w:r>
        <w:rPr>
          <w:caps w:val="false"/>
          <w:smallCaps w:val="false"/>
          <w:color w:val="000000"/>
          <w:spacing w:val="4"/>
        </w:rPr>
        <w:t xml:space="preserve"> </w:t>
      </w:r>
    </w:p>
    <w:tbl>
      <w:tblPr>
        <w:tblW w:w="9316" w:type="dxa"/>
        <w:jc w:val="left"/>
        <w:tblInd w:w="889" w:type="dxa"/>
        <w:tblLayout w:type="fixed"/>
        <w:tblCellMar>
          <w:top w:w="0" w:type="dxa"/>
          <w:left w:w="0" w:type="dxa"/>
          <w:bottom w:w="0" w:type="dxa"/>
          <w:right w:w="0" w:type="dxa"/>
        </w:tblCellMar>
      </w:tblPr>
      <w:tblGrid>
        <w:gridCol w:w="124"/>
        <w:gridCol w:w="623"/>
        <w:gridCol w:w="109"/>
        <w:gridCol w:w="109"/>
        <w:gridCol w:w="1830"/>
        <w:gridCol w:w="109"/>
        <w:gridCol w:w="109"/>
        <w:gridCol w:w="668"/>
        <w:gridCol w:w="109"/>
        <w:gridCol w:w="109"/>
        <w:gridCol w:w="2024"/>
        <w:gridCol w:w="109"/>
        <w:gridCol w:w="109"/>
        <w:gridCol w:w="788"/>
        <w:gridCol w:w="109"/>
        <w:gridCol w:w="109"/>
        <w:gridCol w:w="2013"/>
        <w:gridCol w:w="156"/>
      </w:tblGrid>
      <w:tr>
        <w:trPr/>
        <w:tc>
          <w:tcPr>
            <w:tcW w:w="124" w:type="dxa"/>
            <w:tcBorders/>
            <w:vAlign w:val="center"/>
          </w:tcPr>
          <w:p>
            <w:pPr>
              <w:pStyle w:val="TableContents"/>
              <w:bidi w:val="0"/>
              <w:spacing w:before="0" w:after="283"/>
              <w:jc w:val="left"/>
              <w:rPr/>
            </w:pPr>
            <w:r>
              <w:rPr/>
              <w:t>​</w:t>
            </w:r>
          </w:p>
        </w:tc>
        <w:tc>
          <w:tcPr>
            <w:tcW w:w="623" w:type="dxa"/>
            <w:tcBorders/>
            <w:vAlign w:val="center"/>
          </w:tcPr>
          <w:p>
            <w:pPr>
              <w:pStyle w:val="TableContents"/>
              <w:bidi w:val="0"/>
              <w:spacing w:before="0" w:after="0"/>
              <w:jc w:val="left"/>
              <w:rPr/>
            </w:pPr>
            <w:r>
              <w:rPr/>
              <w:drawing>
                <wp:inline distT="0" distB="0" distL="0" distR="0">
                  <wp:extent cx="314325" cy="30480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31432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0" w:type="dxa"/>
            <w:tcBorders/>
            <w:vAlign w:val="center"/>
          </w:tcPr>
          <w:p>
            <w:pPr>
              <w:pStyle w:val="TableContents"/>
              <w:bidi w:val="0"/>
              <w:spacing w:lineRule="atLeast" w:line="240" w:before="0" w:after="283"/>
              <w:jc w:val="left"/>
              <w:rPr/>
            </w:pPr>
            <w:r>
              <w:rPr>
                <w:spacing w:val="0"/>
              </w:rPr>
              <w:t xml:space="preserve">Wednesday, </w:t>
              <w:br/>
              <w:t xml:space="preserve">September 30, </w:t>
            </w:r>
            <w:r>
              <w:rPr>
                <w:spacing w:val="-3"/>
              </w:rPr>
              <w:t xml:space="preserve">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0"/>
              <w:jc w:val="left"/>
              <w:rPr/>
            </w:pPr>
            <w:r>
              <w:rPr/>
              <w:drawing>
                <wp:inline distT="0" distB="0" distL="0" distR="0">
                  <wp:extent cx="342900" cy="35242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342900"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24" w:type="dxa"/>
            <w:tcBorders/>
            <w:vAlign w:val="center"/>
          </w:tcPr>
          <w:p>
            <w:pPr>
              <w:pStyle w:val="TableContents"/>
              <w:bidi w:val="0"/>
              <w:spacing w:lineRule="atLeast" w:line="240" w:before="0" w:after="283"/>
              <w:jc w:val="left"/>
              <w:rPr/>
            </w:pPr>
            <w:r>
              <w:rPr>
                <w:spacing w:val="0"/>
              </w:rPr>
              <w:t>9:00 a.m., Eastern Time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8" w:type="dxa"/>
            <w:tcBorders/>
            <w:vAlign w:val="center"/>
          </w:tcPr>
          <w:p>
            <w:pPr>
              <w:pStyle w:val="TableContents"/>
              <w:bidi w:val="0"/>
              <w:spacing w:before="0" w:after="0"/>
              <w:jc w:val="left"/>
              <w:rPr/>
            </w:pPr>
            <w:r>
              <w:rPr/>
              <w:drawing>
                <wp:inline distT="0" distB="0" distL="0" distR="0">
                  <wp:extent cx="419100" cy="419100"/>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13" w:type="dxa"/>
            <w:tcBorders/>
            <w:vAlign w:val="center"/>
          </w:tcPr>
          <w:p>
            <w:pPr>
              <w:pStyle w:val="TableContents"/>
              <w:bidi w:val="0"/>
              <w:spacing w:lineRule="atLeast" w:line="240" w:before="0" w:after="283"/>
              <w:jc w:val="left"/>
              <w:rPr/>
            </w:pPr>
            <w:r>
              <w:rPr>
                <w:spacing w:val="-3"/>
              </w:rPr>
              <w:t>787 7</w:t>
            </w:r>
            <w:r>
              <w:rPr>
                <w:spacing w:val="0"/>
                <w:sz w:val="15"/>
              </w:rPr>
              <w:t>th</w:t>
            </w:r>
            <w:r>
              <w:rPr>
                <w:spacing w:val="0"/>
              </w:rPr>
              <w:t xml:space="preserve"> Ave., Auditorium</w:t>
            </w:r>
            <w:r>
              <w:rPr>
                <w:spacing w:val="-3"/>
              </w:rPr>
              <w:t xml:space="preserve"> </w:t>
            </w:r>
            <w:r>
              <w:rPr/>
              <w:br/>
            </w:r>
            <w:r>
              <w:rPr>
                <w:spacing w:val="0"/>
              </w:rPr>
              <w:t>New York, NY 10019</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340" w:before="320" w:after="283"/>
        <w:ind w:left="889"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ITEMS OF BUSINESS</w:t>
      </w:r>
      <w:r>
        <w:rPr>
          <w:rFonts w:ascii="Arial;Helvetica;sans-serif" w:hAnsi="Arial;Helvetica;sans-serif"/>
          <w:b/>
          <w:i w:val="false"/>
          <w:caps w:val="false"/>
          <w:smallCaps w:val="false"/>
          <w:color w:val="000000"/>
          <w:spacing w:val="6"/>
          <w:sz w:val="30"/>
        </w:rPr>
        <w:t xml:space="preserve"> </w:t>
      </w:r>
    </w:p>
    <w:tbl>
      <w:tblPr>
        <w:tblW w:w="9316" w:type="dxa"/>
        <w:jc w:val="left"/>
        <w:tblInd w:w="889" w:type="dxa"/>
        <w:tblLayout w:type="fixed"/>
        <w:tblCellMar>
          <w:top w:w="0" w:type="dxa"/>
          <w:left w:w="0" w:type="dxa"/>
          <w:bottom w:w="0" w:type="dxa"/>
          <w:right w:w="0" w:type="dxa"/>
        </w:tblCellMar>
      </w:tblPr>
      <w:tblGrid>
        <w:gridCol w:w="124"/>
        <w:gridCol w:w="402"/>
        <w:gridCol w:w="109"/>
        <w:gridCol w:w="109"/>
        <w:gridCol w:w="8417"/>
        <w:gridCol w:w="155"/>
      </w:tblGrid>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both"/>
              <w:rPr>
                <w:b/>
                <w:sz w:val="44"/>
              </w:rPr>
            </w:pPr>
            <w:r>
              <w:rPr>
                <w:b/>
                <w:spacing w:val="-6"/>
                <w:sz w:val="44"/>
              </w:rPr>
              <w:t>1</w:t>
            </w:r>
            <w:r>
              <w:rPr>
                <w:b/>
                <w:sz w:val="4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7" w:type="dxa"/>
            <w:tcBorders/>
            <w:vAlign w:val="center"/>
          </w:tcPr>
          <w:p>
            <w:pPr>
              <w:pStyle w:val="TableContents"/>
              <w:bidi w:val="0"/>
              <w:spacing w:lineRule="atLeast" w:line="240" w:before="0" w:after="0"/>
              <w:jc w:val="both"/>
              <w:rPr>
                <w:spacing w:val="-2"/>
              </w:rPr>
            </w:pPr>
            <w:r>
              <w:rPr>
                <w:spacing w:val="-2"/>
              </w:rPr>
              <w:t xml:space="preserve">Election to our Board of Directors of the eleven director nominees named in the attached Proxy Statement for a one-year term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both"/>
              <w:rPr>
                <w:b/>
              </w:rPr>
            </w:pPr>
            <w:r>
              <w:rPr>
                <w:b/>
                <w:spacing w:val="-6"/>
              </w:rPr>
              <w:t>2</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7" w:type="dxa"/>
            <w:tcBorders/>
            <w:vAlign w:val="center"/>
          </w:tcPr>
          <w:p>
            <w:pPr>
              <w:pStyle w:val="TableContents"/>
              <w:bidi w:val="0"/>
              <w:spacing w:before="0" w:after="0"/>
              <w:jc w:val="left"/>
              <w:rPr>
                <w:spacing w:val="-2"/>
                <w:sz w:val="20"/>
              </w:rPr>
            </w:pPr>
            <w:r>
              <w:rPr>
                <w:spacing w:val="-2"/>
                <w:sz w:val="20"/>
              </w:rPr>
              <w:t xml:space="preserve">An advisory (non-binding) vote to approve executive compensation (Say-on-Pay)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both"/>
              <w:rPr>
                <w:b/>
              </w:rPr>
            </w:pPr>
            <w:r>
              <w:rPr>
                <w:b/>
                <w:spacing w:val="-6"/>
              </w:rPr>
              <w:t>3</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7" w:type="dxa"/>
            <w:tcBorders/>
            <w:vAlign w:val="center"/>
          </w:tcPr>
          <w:p>
            <w:pPr>
              <w:pStyle w:val="TableContents"/>
              <w:bidi w:val="0"/>
              <w:spacing w:before="0" w:after="0"/>
              <w:jc w:val="left"/>
              <w:rPr>
                <w:spacing w:val="-2"/>
                <w:sz w:val="20"/>
              </w:rPr>
            </w:pPr>
            <w:r>
              <w:rPr>
                <w:spacing w:val="-2"/>
                <w:sz w:val="20"/>
              </w:rPr>
              <w:t xml:space="preserve">Ratification of the appointment of KPMG LLP as our independent registered public accounting firm for 2026 </w:t>
            </w:r>
          </w:p>
        </w:tc>
        <w:tc>
          <w:tcPr>
            <w:tcW w:w="155" w:type="dxa"/>
            <w:tcBorders/>
            <w:vAlign w:val="center"/>
          </w:tcPr>
          <w:p>
            <w:pPr>
              <w:pStyle w:val="TableContents"/>
              <w:bidi w:val="0"/>
              <w:spacing w:before="0" w:after="283"/>
              <w:jc w:val="left"/>
              <w:rPr/>
            </w:pPr>
            <w:r>
              <w:rPr/>
              <w:t>​</w:t>
            </w:r>
          </w:p>
        </w:tc>
      </w:tr>
      <w:tr>
        <w:trPr/>
        <w:tc>
          <w:tcPr>
            <w:tcW w:w="124" w:type="dxa"/>
            <w:tcBorders>
              <w:bottom w:val="single" w:sz="8" w:space="0" w:color="7F7F7F"/>
            </w:tcBorders>
            <w:tcMar>
              <w:bottom w:w="28" w:type="dxa"/>
            </w:tcMar>
            <w:vAlign w:val="center"/>
          </w:tcPr>
          <w:p>
            <w:pPr>
              <w:pStyle w:val="TableContents"/>
              <w:bidi w:val="0"/>
              <w:spacing w:before="0" w:after="283"/>
              <w:jc w:val="left"/>
              <w:rPr/>
            </w:pPr>
            <w:r>
              <w:rPr/>
              <w:t>​</w:t>
            </w:r>
          </w:p>
        </w:tc>
        <w:tc>
          <w:tcPr>
            <w:tcW w:w="402" w:type="dxa"/>
            <w:tcBorders>
              <w:bottom w:val="single" w:sz="8" w:space="0" w:color="7F7F7F"/>
            </w:tcBorders>
            <w:tcMar>
              <w:bottom w:w="160" w:type="dxa"/>
            </w:tcMar>
            <w:vAlign w:val="center"/>
          </w:tcPr>
          <w:p>
            <w:pPr>
              <w:pStyle w:val="TableContents"/>
              <w:bidi w:val="0"/>
              <w:spacing w:before="0" w:after="0"/>
              <w:jc w:val="both"/>
              <w:rPr>
                <w:b/>
              </w:rPr>
            </w:pPr>
            <w:r>
              <w:rPr>
                <w:b/>
                <w:spacing w:val="-6"/>
              </w:rPr>
              <w:t>4</w:t>
            </w:r>
            <w:r>
              <w:rPr>
                <w:b/>
              </w:rPr>
              <w:t xml:space="preserve">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8417" w:type="dxa"/>
            <w:tcBorders>
              <w:bottom w:val="single" w:sz="8" w:space="0" w:color="7F7F7F"/>
            </w:tcBorders>
            <w:tcMar>
              <w:bottom w:w="28" w:type="dxa"/>
            </w:tcMar>
            <w:vAlign w:val="center"/>
          </w:tcPr>
          <w:p>
            <w:pPr>
              <w:pStyle w:val="TableContents"/>
              <w:bidi w:val="0"/>
              <w:spacing w:before="0" w:after="0"/>
              <w:jc w:val="left"/>
              <w:rPr>
                <w:sz w:val="20"/>
              </w:rPr>
            </w:pPr>
            <w:r>
              <w:rPr>
                <w:spacing w:val="-2"/>
                <w:sz w:val="20"/>
              </w:rPr>
              <w:t>Transaction of such other business as may properly come before our 2026 Annual Meeting of Stockholders</w:t>
            </w:r>
            <w:r>
              <w:rPr>
                <w:sz w:val="20"/>
              </w:rPr>
              <w:t xml:space="preserve"> </w:t>
            </w:r>
          </w:p>
        </w:tc>
        <w:tc>
          <w:tcPr>
            <w:tcW w:w="155" w:type="dxa"/>
            <w:tcBorders>
              <w:bottom w:val="single" w:sz="8" w:space="0" w:color="7F7F7F"/>
            </w:tcBorders>
            <w:tcMar>
              <w:bottom w:w="28" w:type="dxa"/>
            </w:tcMar>
            <w:vAlign w:val="center"/>
          </w:tcPr>
          <w:p>
            <w:pPr>
              <w:pStyle w:val="TableContents"/>
              <w:bidi w:val="0"/>
              <w:spacing w:before="0" w:after="283"/>
              <w:jc w:val="left"/>
              <w:rPr/>
            </w:pPr>
            <w:r>
              <w:rPr/>
              <w:t>​</w:t>
            </w:r>
          </w:p>
        </w:tc>
      </w:tr>
    </w:tbl>
    <w:p>
      <w:pPr>
        <w:pStyle w:val="TextBody"/>
        <w:bidi w:val="0"/>
        <w:spacing w:lineRule="atLeast" w:line="340" w:before="300" w:after="283"/>
        <w:ind w:left="889"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RECORD DATE</w:t>
      </w:r>
      <w:r>
        <w:rPr>
          <w:rFonts w:ascii="Arial;Helvetica;sans-serif" w:hAnsi="Arial;Helvetica;sans-serif"/>
          <w:b/>
          <w:i w:val="false"/>
          <w:caps w:val="false"/>
          <w:smallCaps w:val="false"/>
          <w:color w:val="000000"/>
          <w:spacing w:val="6"/>
          <w:sz w:val="30"/>
        </w:rPr>
        <w:t xml:space="preserve"> </w:t>
      </w:r>
    </w:p>
    <w:tbl>
      <w:tblPr>
        <w:tblW w:w="9316" w:type="dxa"/>
        <w:jc w:val="left"/>
        <w:tblInd w:w="889" w:type="dxa"/>
        <w:tblLayout w:type="fixed"/>
        <w:tblCellMar>
          <w:top w:w="0" w:type="dxa"/>
          <w:left w:w="0" w:type="dxa"/>
          <w:bottom w:w="0" w:type="dxa"/>
          <w:right w:w="0" w:type="dxa"/>
        </w:tblCellMar>
      </w:tblPr>
      <w:tblGrid>
        <w:gridCol w:w="124"/>
        <w:gridCol w:w="602"/>
        <w:gridCol w:w="109"/>
        <w:gridCol w:w="109"/>
        <w:gridCol w:w="8217"/>
        <w:gridCol w:w="155"/>
      </w:tblGrid>
      <w:tr>
        <w:trPr/>
        <w:tc>
          <w:tcPr>
            <w:tcW w:w="124" w:type="dxa"/>
            <w:tcBorders/>
            <w:vAlign w:val="center"/>
          </w:tcPr>
          <w:p>
            <w:pPr>
              <w:pStyle w:val="TableContents"/>
              <w:bidi w:val="0"/>
              <w:spacing w:before="0" w:after="283"/>
              <w:jc w:val="left"/>
              <w:rPr/>
            </w:pPr>
            <w:r>
              <w:rPr/>
              <w:t>​</w:t>
            </w:r>
          </w:p>
        </w:tc>
        <w:tc>
          <w:tcPr>
            <w:tcW w:w="602" w:type="dxa"/>
            <w:tcBorders/>
            <w:vAlign w:val="center"/>
          </w:tcPr>
          <w:p>
            <w:pPr>
              <w:pStyle w:val="TableContents"/>
              <w:bidi w:val="0"/>
              <w:spacing w:before="0" w:after="0"/>
              <w:jc w:val="left"/>
              <w:rPr/>
            </w:pPr>
            <w:r>
              <w:rPr/>
              <w:drawing>
                <wp:inline distT="0" distB="0" distL="0" distR="0">
                  <wp:extent cx="314325" cy="457200"/>
                  <wp:effectExtent l="0" t="0" r="0" b="0"/>
                  <wp:docPr id="1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 descr=""/>
                          <pic:cNvPicPr>
                            <a:picLocks noChangeAspect="1" noChangeArrowheads="1"/>
                          </pic:cNvPicPr>
                        </pic:nvPicPr>
                        <pic:blipFill>
                          <a:blip r:embed="rId10"/>
                          <a:stretch>
                            <a:fillRect/>
                          </a:stretch>
                        </pic:blipFill>
                        <pic:spPr bwMode="auto">
                          <a:xfrm>
                            <a:off x="0" y="0"/>
                            <a:ext cx="314325" cy="457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217" w:type="dxa"/>
            <w:tcBorders/>
            <w:tcMar>
              <w:top w:w="28" w:type="dxa"/>
              <w:left w:w="28" w:type="dxa"/>
              <w:bottom w:w="28" w:type="dxa"/>
              <w:right w:w="28" w:type="dxa"/>
            </w:tcMar>
            <w:vAlign w:val="center"/>
          </w:tcPr>
          <w:p>
            <w:pPr>
              <w:pStyle w:val="TableContents"/>
              <w:bidi w:val="0"/>
              <w:spacing w:lineRule="atLeast" w:line="240" w:before="0" w:after="0"/>
              <w:jc w:val="both"/>
              <w:rPr/>
            </w:pPr>
            <w:r>
              <w:rPr>
                <w:spacing w:val="-2"/>
              </w:rPr>
              <w:t>The record date for the determination of the stockholders entitled to vote at our 2026 Annual Meeting of Stockholders, or any adjournments or postponements thereof, was the close of business on August 17, 2026.</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889"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Your vote is important to us. Please exercise your stockholder right to vote.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089"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By Order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0" w:after="283"/>
        <w:ind w:left="6089" w:right="0" w:hanging="0"/>
        <w:jc w:val="left"/>
        <w:rPr>
          <w:caps w:val="false"/>
          <w:smallCaps w:val="false"/>
          <w:color w:val="000000"/>
        </w:rPr>
      </w:pPr>
      <w:r>
        <w:rPr>
          <w:caps w:val="false"/>
          <w:smallCaps w:val="false"/>
          <w:color w:val="000000"/>
        </w:rPr>
        <w:drawing>
          <wp:inline distT="0" distB="0" distL="0" distR="0">
            <wp:extent cx="2076450" cy="704850"/>
            <wp:effectExtent l="0" t="0" r="0" b="0"/>
            <wp:docPr id="1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 descr=""/>
                    <pic:cNvPicPr>
                      <a:picLocks noChangeAspect="1" noChangeArrowheads="1"/>
                    </pic:cNvPicPr>
                  </pic:nvPicPr>
                  <pic:blipFill>
                    <a:blip r:embed="rId11"/>
                    <a:stretch>
                      <a:fillRect/>
                    </a:stretch>
                  </pic:blipFill>
                  <pic:spPr bwMode="auto">
                    <a:xfrm>
                      <a:off x="0" y="0"/>
                      <a:ext cx="2076450" cy="7048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6089"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David O’Reilly</w:t>
      </w:r>
      <w:r>
        <w:rPr>
          <w:rFonts w:ascii="Arial;Helvetica;sans-serif" w:hAnsi="Arial;Helvetica;sans-serif"/>
          <w:b w:val="false"/>
          <w:i w:val="false"/>
          <w:caps w:val="false"/>
          <w:smallCaps w:val="false"/>
          <w:color w:val="000000"/>
          <w:spacing w:val="-2"/>
          <w:sz w:val="20"/>
        </w:rPr>
        <w:t xml:space="preserve"> </w:t>
        <w:br/>
        <w:t>Chief Executive Officer</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August 19, 2026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437" w:after="283"/>
        <w:ind w:left="889"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0444" w:type="dxa"/>
        <w:jc w:val="left"/>
        <w:tblInd w:w="889" w:type="dxa"/>
        <w:tblLayout w:type="fixed"/>
        <w:tblCellMar>
          <w:top w:w="0" w:type="dxa"/>
          <w:left w:w="0" w:type="dxa"/>
          <w:bottom w:w="0" w:type="dxa"/>
          <w:right w:w="0" w:type="dxa"/>
        </w:tblCellMar>
      </w:tblPr>
      <w:tblGrid>
        <w:gridCol w:w="124"/>
        <w:gridCol w:w="10166"/>
        <w:gridCol w:w="154"/>
      </w:tblGrid>
      <w:tr>
        <w:trPr/>
        <w:tc>
          <w:tcPr>
            <w:tcW w:w="124" w:type="dxa"/>
            <w:tcBorders/>
            <w:vAlign w:val="center"/>
          </w:tcPr>
          <w:p>
            <w:pPr>
              <w:pStyle w:val="TableContents"/>
              <w:bidi w:val="0"/>
              <w:spacing w:before="0" w:after="283"/>
              <w:jc w:val="left"/>
              <w:rPr/>
            </w:pPr>
            <w:r>
              <w:rPr/>
              <w:t>​</w:t>
            </w:r>
          </w:p>
        </w:tc>
        <w:tc>
          <w:tcPr>
            <w:tcW w:w="10166" w:type="dxa"/>
            <w:tcBorders/>
            <w:vAlign w:val="center"/>
          </w:tcPr>
          <w:p>
            <w:pPr>
              <w:pStyle w:val="TableContents"/>
              <w:bidi w:val="0"/>
              <w:spacing w:before="0" w:after="0"/>
              <w:jc w:val="center"/>
              <w:rPr>
                <w:spacing w:val="-2"/>
              </w:rPr>
            </w:pPr>
            <w:r>
              <w:rPr>
                <w:spacing w:val="-2"/>
              </w:rPr>
              <w:t xml:space="preserve">Important Notice Regarding the Availability of </w:t>
              <w:br/>
              <w:t xml:space="preserve">Proxy Materials for our Annual Meeting to Be Held on September 30, 2026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166" w:type="dxa"/>
            <w:tcBorders/>
            <w:vAlign w:val="center"/>
          </w:tcPr>
          <w:p>
            <w:pPr>
              <w:pStyle w:val="TableContents"/>
              <w:bidi w:val="0"/>
              <w:spacing w:before="0" w:after="0"/>
              <w:jc w:val="center"/>
              <w:rPr/>
            </w:pPr>
            <w:r>
              <w:rPr/>
              <w:drawing>
                <wp:inline distT="0" distB="0" distL="0" distR="0">
                  <wp:extent cx="6400800" cy="152400"/>
                  <wp:effectExtent l="0" t="0" r="0" b="0"/>
                  <wp:docPr id="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1" descr=""/>
                          <pic:cNvPicPr>
                            <a:picLocks noChangeAspect="1" noChangeArrowheads="1"/>
                          </pic:cNvPicPr>
                        </pic:nvPicPr>
                        <pic:blipFill>
                          <a:blip r:embed="rId12"/>
                          <a:stretch>
                            <a:fillRect/>
                          </a:stretch>
                        </pic:blipFill>
                        <pic:spPr bwMode="auto">
                          <a:xfrm>
                            <a:off x="0" y="0"/>
                            <a:ext cx="6400800" cy="1524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166" w:type="dxa"/>
            <w:tcBorders/>
            <w:vAlign w:val="center"/>
          </w:tcPr>
          <w:p>
            <w:pPr>
              <w:pStyle w:val="TableContents"/>
              <w:bidi w:val="0"/>
              <w:spacing w:before="0" w:after="0"/>
              <w:jc w:val="center"/>
              <w:rPr/>
            </w:pPr>
            <w:r>
              <w:rPr>
                <w:spacing w:val="-2"/>
              </w:rPr>
              <w:t xml:space="preserve">Our Proxy Statement, Annual Report to Stockholders and other </w:t>
              <w:br/>
              <w:t xml:space="preserve">materials are available on our website and at </w:t>
            </w:r>
            <w:r>
              <w:rPr>
                <w:color w:val="0075A8"/>
                <w:spacing w:val="-2"/>
              </w:rPr>
              <w:t>www.proxyvote.com</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480" w:before="437" w:after="240"/>
        <w:ind w:left="800" w:right="0" w:hanging="0"/>
        <w:jc w:val="left"/>
        <w:rPr>
          <w:caps w:val="false"/>
          <w:smallCaps w:val="false"/>
          <w:color w:val="000000"/>
        </w:rPr>
      </w:pPr>
      <w:r>
        <w:rPr>
          <w:caps w:val="false"/>
          <w:smallCaps w:val="false"/>
          <w:color w:val="000000"/>
          <w:spacing w:val="-6"/>
        </w:rPr>
        <w:t> </w:t>
      </w:r>
      <w:r>
        <w:rPr>
          <w:caps w:val="false"/>
          <w:smallCaps w:val="false"/>
          <w:color w:val="000000"/>
        </w:rPr>
        <w:t xml:space="preserve"> </w:t>
      </w:r>
    </w:p>
    <w:p>
      <w:pPr>
        <w:pStyle w:val="TextBody"/>
        <w:bidi w:val="0"/>
        <w:spacing w:lineRule="atLeast" w:line="480" w:before="240" w:after="283"/>
        <w:ind w:left="800" w:right="0" w:hanging="0"/>
        <w:jc w:val="left"/>
        <w:rPr>
          <w:rFonts w:ascii="Arial;Helvetica;sans-serif" w:hAnsi="Arial;Helvetica;sans-serif"/>
          <w:b/>
          <w:i w:val="false"/>
          <w:caps w:val="false"/>
          <w:smallCaps w:val="false"/>
          <w:color w:val="000000"/>
          <w:sz w:val="44"/>
        </w:rPr>
      </w:pPr>
      <w:r>
        <w:rPr>
          <w:rFonts w:ascii="Arial;Helvetica;sans-serif" w:hAnsi="Arial;Helvetica;sans-serif"/>
          <w:b/>
          <w:i w:val="false"/>
          <w:caps w:val="false"/>
          <w:smallCaps w:val="false"/>
          <w:color w:val="000000"/>
          <w:spacing w:val="-1"/>
          <w:sz w:val="44"/>
        </w:rPr>
        <w:t>Table of Contents</w:t>
      </w:r>
      <w:r>
        <w:rPr>
          <w:rFonts w:ascii="Arial;Helvetica;sans-serif" w:hAnsi="Arial;Helvetica;sans-serif"/>
          <w:b/>
          <w:i w:val="false"/>
          <w:caps w:val="false"/>
          <w:smallCaps w:val="false"/>
          <w:color w:val="000000"/>
          <w:sz w:val="44"/>
        </w:rPr>
        <w:t xml:space="preserve"> </w:t>
      </w:r>
    </w:p>
    <w:p>
      <w:pPr>
        <w:pStyle w:val="TextBody"/>
        <w:bidi w:val="0"/>
        <w:spacing w:lineRule="atLeast" w:line="240" w:before="240" w:after="283"/>
        <w:ind w:left="889" w:right="0" w:hanging="0"/>
        <w:jc w:val="left"/>
        <w:rPr>
          <w:caps w:val="false"/>
          <w:smallCaps w:val="false"/>
          <w:color w:val="000000"/>
        </w:rPr>
      </w:pPr>
      <w:r>
        <w:rPr>
          <w:caps w:val="false"/>
          <w:smallCaps w:val="false"/>
          <w:color w:val="000000"/>
          <w:spacing w:val="-2"/>
        </w:rPr>
        <w:t> </w:t>
      </w:r>
      <w:r>
        <w:rPr>
          <w:caps w:val="false"/>
          <w:smallCaps w:val="false"/>
          <w:color w:val="000000"/>
          <w:spacing w:val="4"/>
        </w:rPr>
        <w:t xml:space="preserve"> </w:t>
      </w:r>
    </w:p>
    <w:p>
      <w:pPr>
        <w:pStyle w:val="TextBody"/>
        <w:bidi w:val="0"/>
        <w:spacing w:before="0" w:after="2707"/>
        <w:jc w:val="left"/>
        <w:rPr>
          <w:caps w:val="false"/>
          <w:smallCaps w:val="false"/>
          <w:color w:val="000000"/>
        </w:rPr>
      </w:pPr>
      <w:r>
        <w:rPr>
          <w:caps w:val="false"/>
          <w:smallCaps w:val="false"/>
          <w:color w:val="000000"/>
        </w:rPr>
        <w:t>​</w:t>
      </w:r>
      <w:r>
        <mc:AlternateContent>
          <mc:Choice Requires="wps">
            <w:drawing>
              <wp:anchor behindDoc="0" distT="0" distB="0" distL="564515" distR="0" simplePos="0" locked="0" layoutInCell="1" allowOverlap="1" relativeHeight="143">
                <wp:simplePos x="0" y="0"/>
                <wp:positionH relativeFrom="column">
                  <wp:align>left</wp:align>
                </wp:positionH>
                <wp:positionV relativeFrom="line">
                  <wp:posOffset>635</wp:posOffset>
                </wp:positionV>
                <wp:extent cx="3060700" cy="9972040"/>
                <wp:effectExtent l="0" t="0" r="0" b="0"/>
                <wp:wrapSquare wrapText="right"/>
                <wp:docPr id="20" name="Frame9"/>
                <a:graphic xmlns:a="http://schemas.openxmlformats.org/drawingml/2006/main">
                  <a:graphicData uri="http://schemas.microsoft.com/office/word/2010/wordprocessingShape">
                    <wps:wsp>
                      <wps:cNvSpPr txBox="1"/>
                      <wps:spPr>
                        <a:xfrm>
                          <a:off x="0" y="0"/>
                          <a:ext cx="30607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8994"/>
                              <w:gridCol w:w="109"/>
                              <w:gridCol w:w="109"/>
                              <w:gridCol w:w="109"/>
                              <w:gridCol w:w="109"/>
                              <w:gridCol w:w="387"/>
                              <w:gridCol w:w="109"/>
                              <w:gridCol w:w="155"/>
                            </w:tblGrid>
                            <w:tr>
                              <w:trPr/>
                              <w:tc>
                                <w:tcPr>
                                  <w:tcW w:w="124" w:type="dxa"/>
                                  <w:tcBorders/>
                                  <w:shd w:fill="BAD8EA" w:val="clear"/>
                                  <w:vAlign w:val="center"/>
                                </w:tcPr>
                                <w:p>
                                  <w:pPr>
                                    <w:pStyle w:val="TableContents"/>
                                    <w:bidi w:val="0"/>
                                    <w:spacing w:before="0" w:after="283"/>
                                    <w:jc w:val="left"/>
                                    <w:rPr/>
                                  </w:pPr>
                                  <w:r>
                                    <w:rPr/>
                                    <w:t>​</w:t>
                                  </w:r>
                                </w:p>
                              </w:tc>
                              <w:tc>
                                <w:tcPr>
                                  <w:tcW w:w="8994" w:type="dxa"/>
                                  <w:tcBorders/>
                                  <w:shd w:fill="BAD8EA" w:val="clear"/>
                                  <w:vAlign w:val="center"/>
                                </w:tcPr>
                                <w:p>
                                  <w:pPr>
                                    <w:pStyle w:val="TableContents"/>
                                    <w:bidi w:val="0"/>
                                    <w:spacing w:before="0" w:after="0"/>
                                    <w:ind w:left="200" w:right="0" w:hanging="0"/>
                                    <w:jc w:val="left"/>
                                    <w:rPr/>
                                  </w:pPr>
                                  <w:hyperlink w:anchor="tPRSU">
                                    <w:r>
                                      <w:rPr>
                                        <w:rStyle w:val="InternetLink"/>
                                        <w:spacing w:val="-2"/>
                                      </w:rPr>
                                      <w:t xml:space="preserve">PROXY SUMMARY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87" w:type="dxa"/>
                                  <w:tcBorders/>
                                  <w:shd w:fill="BAD8EA" w:val="clear"/>
                                  <w:vAlign w:val="center"/>
                                </w:tcPr>
                                <w:p>
                                  <w:pPr>
                                    <w:pStyle w:val="TableContents"/>
                                    <w:bidi w:val="0"/>
                                    <w:spacing w:before="0" w:after="283"/>
                                    <w:jc w:val="right"/>
                                    <w:rPr/>
                                  </w:pPr>
                                  <w:hyperlink w:anchor="tPRSU">
                                    <w:r>
                                      <w:rPr>
                                        <w:rStyle w:val="InternetLink"/>
                                        <w:spacing w:val="-2"/>
                                      </w:rPr>
                                      <w:t>1</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2AMI">
                                    <w:r>
                                      <w:rPr>
                                        <w:rStyle w:val="InternetLink"/>
                                        <w:spacing w:val="0"/>
                                      </w:rPr>
                                      <w:t xml:space="preserve">2026 Annual Meeting Information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2AMI">
                                    <w:r>
                                      <w:rPr>
                                        <w:rStyle w:val="InternetLink"/>
                                        <w:spacing w:val="-2"/>
                                      </w:rPr>
                                      <w:t>1</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MTBV">
                                    <w:r>
                                      <w:rPr>
                                        <w:rStyle w:val="InternetLink"/>
                                        <w:spacing w:val="0"/>
                                      </w:rPr>
                                      <w:t xml:space="preserve">Matters to be Voted on at our 2026 Annual Meeting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MTBV">
                                    <w:r>
                                      <w:rPr>
                                        <w:rStyle w:val="InternetLink"/>
                                        <w:spacing w:val="-2"/>
                                      </w:rPr>
                                      <w:t>1</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DINO">
                                    <w:r>
                                      <w:rPr>
                                        <w:rStyle w:val="InternetLink"/>
                                        <w:spacing w:val="0"/>
                                      </w:rPr>
                                      <w:t xml:space="preserve">Director Nominees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DINO">
                                    <w:r>
                                      <w:rPr>
                                        <w:rStyle w:val="InternetLink"/>
                                        <w:spacing w:val="-2"/>
                                      </w:rPr>
                                      <w:t>2</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GOHI">
                                    <w:r>
                                      <w:rPr>
                                        <w:rStyle w:val="InternetLink"/>
                                        <w:spacing w:val="0"/>
                                      </w:rPr>
                                      <w:t xml:space="preserve">Governance Highlights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GOHI">
                                    <w:r>
                                      <w:rPr>
                                        <w:rStyle w:val="InternetLink"/>
                                        <w:spacing w:val="-2"/>
                                      </w:rPr>
                                      <w:t>3</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ECH">
                                    <w:r>
                                      <w:rPr>
                                        <w:rStyle w:val="InternetLink"/>
                                        <w:spacing w:val="0"/>
                                      </w:rPr>
                                      <w:t xml:space="preserve">Executive Compensation Highlights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ECH">
                                    <w:r>
                                      <w:rPr>
                                        <w:rStyle w:val="InternetLink"/>
                                        <w:spacing w:val="-2"/>
                                      </w:rPr>
                                      <w:t>4</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8994" w:type="dxa"/>
                                  <w:tcBorders/>
                                  <w:shd w:fill="BAD8EA" w:val="clear"/>
                                  <w:vAlign w:val="center"/>
                                </w:tcPr>
                                <w:p>
                                  <w:pPr>
                                    <w:pStyle w:val="TableContents"/>
                                    <w:bidi w:val="0"/>
                                    <w:spacing w:before="0" w:after="0"/>
                                    <w:ind w:left="200" w:right="0" w:hanging="0"/>
                                    <w:jc w:val="left"/>
                                    <w:rPr/>
                                  </w:pPr>
                                  <w:hyperlink w:anchor="tPSFA">
                                    <w:r>
                                      <w:rPr>
                                        <w:rStyle w:val="InternetLink"/>
                                        <w:spacing w:val="-2"/>
                                      </w:rPr>
                                      <w:t xml:space="preserve">PROXY STATEMENT FOR ANNUAL MEETING OF STOCKHOLDERS TO BE HELD ON SEPTEMBER 30, 2026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87" w:type="dxa"/>
                                  <w:tcBorders/>
                                  <w:shd w:fill="BAD8EA" w:val="clear"/>
                                  <w:vAlign w:val="center"/>
                                </w:tcPr>
                                <w:p>
                                  <w:pPr>
                                    <w:pStyle w:val="TableContents"/>
                                    <w:bidi w:val="0"/>
                                    <w:spacing w:before="0" w:after="283"/>
                                    <w:jc w:val="right"/>
                                    <w:rPr/>
                                  </w:pPr>
                                  <w:hyperlink w:anchor="tPSFA">
                                    <w:r>
                                      <w:rPr>
                                        <w:rStyle w:val="InternetLink"/>
                                        <w:spacing w:val="-2"/>
                                      </w:rPr>
                                      <w:t>5</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QAAR">
                                    <w:r>
                                      <w:rPr>
                                        <w:rStyle w:val="InternetLink"/>
                                        <w:spacing w:val="0"/>
                                      </w:rPr>
                                      <w:t xml:space="preserve">Questions and Answers Regarding this Proxy </w:t>
                                      <w:br/>
                                      <w:t xml:space="preserve">Statement and the Annual Meeting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QAAR">
                                    <w:r>
                                      <w:rPr>
                                        <w:rStyle w:val="InternetLink"/>
                                        <w:spacing w:val="-2"/>
                                      </w:rPr>
                                      <w:t>5</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8994" w:type="dxa"/>
                                  <w:tcBorders/>
                                  <w:shd w:fill="BAD8EA" w:val="clear"/>
                                  <w:vAlign w:val="center"/>
                                </w:tcPr>
                                <w:p>
                                  <w:pPr>
                                    <w:pStyle w:val="TableContents"/>
                                    <w:bidi w:val="0"/>
                                    <w:spacing w:before="0" w:after="0"/>
                                    <w:ind w:left="200" w:right="0" w:hanging="0"/>
                                    <w:jc w:val="left"/>
                                    <w:rPr/>
                                  </w:pPr>
                                  <w:hyperlink w:anchor="tMRTC">
                                    <w:r>
                                      <w:rPr>
                                        <w:rStyle w:val="InternetLink"/>
                                        <w:spacing w:val="-2"/>
                                      </w:rPr>
                                      <w:t xml:space="preserve">MATTERS RELATED TO CORPORATE GOVERNANCE, </w:t>
                                      <w:br/>
                                      <w:t xml:space="preserve">BOARD STRUCTURE, DIRECTOR COMPENSATION </w:t>
                                      <w:br/>
                                      <w:t xml:space="preserve">AND STOCK OWNERSHIP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87" w:type="dxa"/>
                                  <w:tcBorders/>
                                  <w:shd w:fill="BAD8EA" w:val="clear"/>
                                  <w:vAlign w:val="center"/>
                                </w:tcPr>
                                <w:p>
                                  <w:pPr>
                                    <w:pStyle w:val="TableContents"/>
                                    <w:bidi w:val="0"/>
                                    <w:spacing w:before="0" w:after="283"/>
                                    <w:jc w:val="right"/>
                                    <w:rPr/>
                                  </w:pPr>
                                  <w:hyperlink w:anchor="tMRTC">
                                    <w:r>
                                      <w:rPr>
                                        <w:rStyle w:val="InternetLink"/>
                                        <w:spacing w:val="-2"/>
                                      </w:rPr>
                                      <w:t>10</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COGO">
                                    <w:r>
                                      <w:rPr>
                                        <w:rStyle w:val="InternetLink"/>
                                        <w:spacing w:val="0"/>
                                      </w:rPr>
                                      <w:t xml:space="preserve">Corporate Governance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COGO">
                                    <w:r>
                                      <w:rPr>
                                        <w:rStyle w:val="InternetLink"/>
                                        <w:spacing w:val="-2"/>
                                      </w:rPr>
                                      <w:t>10</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RIMA">
                                    <w:r>
                                      <w:rPr>
                                        <w:rStyle w:val="InternetLink"/>
                                        <w:spacing w:val="0"/>
                                      </w:rPr>
                                      <w:t xml:space="preserve">Risk Management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RIMA">
                                    <w:r>
                                      <w:rPr>
                                        <w:rStyle w:val="InternetLink"/>
                                        <w:spacing w:val="-2"/>
                                      </w:rPr>
                                      <w:t>11</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DIIN">
                                    <w:r>
                                      <w:rPr>
                                        <w:rStyle w:val="InternetLink"/>
                                        <w:spacing w:val="0"/>
                                      </w:rPr>
                                      <w:t xml:space="preserve">Director Independence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DIIN">
                                    <w:r>
                                      <w:rPr>
                                        <w:rStyle w:val="InternetLink"/>
                                        <w:spacing w:val="-2"/>
                                      </w:rPr>
                                      <w:t>12</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DINO1">
                                    <w:r>
                                      <w:rPr>
                                        <w:rStyle w:val="InternetLink"/>
                                        <w:spacing w:val="0"/>
                                      </w:rPr>
                                      <w:t xml:space="preserve">Director Nominations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DINO1">
                                    <w:r>
                                      <w:rPr>
                                        <w:rStyle w:val="InternetLink"/>
                                        <w:spacing w:val="-2"/>
                                      </w:rPr>
                                      <w:t>12</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0"/>
                                    <w:ind w:left="600" w:right="0" w:hanging="0"/>
                                    <w:jc w:val="left"/>
                                    <w:rPr/>
                                  </w:pPr>
                                  <w:hyperlink w:anchor="tQUA">
                                    <w:r>
                                      <w:rPr>
                                        <w:rStyle w:val="InternetLink"/>
                                        <w:spacing w:val="-1"/>
                                      </w:rPr>
                                      <w:t xml:space="preserve">Qualifications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QUA">
                                    <w:r>
                                      <w:rPr>
                                        <w:rStyle w:val="InternetLink"/>
                                        <w:spacing w:val="-1"/>
                                      </w:rPr>
                                      <w:t>12</w:t>
                                    </w:r>
                                  </w:hyperlink>
                                  <w:hyperlink w:anchor="tQU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0"/>
                                    <w:ind w:left="600" w:right="0" w:hanging="0"/>
                                    <w:jc w:val="left"/>
                                    <w:rPr/>
                                  </w:pPr>
                                  <w:hyperlink w:anchor="tSTRE">
                                    <w:r>
                                      <w:rPr>
                                        <w:rStyle w:val="InternetLink"/>
                                        <w:spacing w:val="-1"/>
                                      </w:rPr>
                                      <w:t xml:space="preserve">Stockholder Recommendations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STRE">
                                    <w:r>
                                      <w:rPr>
                                        <w:rStyle w:val="InternetLink"/>
                                        <w:spacing w:val="-1"/>
                                      </w:rPr>
                                      <w:t>13</w:t>
                                    </w:r>
                                  </w:hyperlink>
                                  <w:hyperlink w:anchor="tSTR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STEN">
                                    <w:r>
                                      <w:rPr>
                                        <w:rStyle w:val="InternetLink"/>
                                        <w:spacing w:val="0"/>
                                      </w:rPr>
                                      <w:t xml:space="preserve">Stockholder Engagement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STEN">
                                    <w:r>
                                      <w:rPr>
                                        <w:rStyle w:val="InternetLink"/>
                                        <w:spacing w:val="-2"/>
                                      </w:rPr>
                                      <w:t>14</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CWTB">
                                    <w:r>
                                      <w:rPr>
                                        <w:rStyle w:val="InternetLink"/>
                                        <w:spacing w:val="0"/>
                                      </w:rPr>
                                      <w:t xml:space="preserve">Communications with the Board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CWTB">
                                    <w:r>
                                      <w:rPr>
                                        <w:rStyle w:val="InternetLink"/>
                                        <w:spacing w:val="-2"/>
                                      </w:rPr>
                                      <w:t>14</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COBC">
                                    <w:r>
                                      <w:rPr>
                                        <w:rStyle w:val="InternetLink"/>
                                        <w:spacing w:val="0"/>
                                      </w:rPr>
                                      <w:t xml:space="preserve">Codes of Business Conduct and Ethics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COBC">
                                    <w:r>
                                      <w:rPr>
                                        <w:rStyle w:val="InternetLink"/>
                                        <w:spacing w:val="-2"/>
                                      </w:rPr>
                                      <w:t>14</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8994" w:type="dxa"/>
                                  <w:tcBorders/>
                                  <w:shd w:fill="BAD8EA" w:val="clear"/>
                                  <w:vAlign w:val="center"/>
                                </w:tcPr>
                                <w:p>
                                  <w:pPr>
                                    <w:pStyle w:val="TableContents"/>
                                    <w:bidi w:val="0"/>
                                    <w:spacing w:before="0" w:after="0"/>
                                    <w:ind w:left="200" w:right="0" w:hanging="0"/>
                                    <w:jc w:val="left"/>
                                    <w:rPr/>
                                  </w:pPr>
                                  <w:hyperlink w:anchor="tTBIC">
                                    <w:r>
                                      <w:rPr>
                                        <w:rStyle w:val="InternetLink"/>
                                        <w:spacing w:val="-2"/>
                                      </w:rPr>
                                      <w:t xml:space="preserve">THE BOARD, ITS COMMITTEES AND ITS COMPENSATION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87" w:type="dxa"/>
                                  <w:tcBorders/>
                                  <w:shd w:fill="BAD8EA" w:val="clear"/>
                                  <w:vAlign w:val="center"/>
                                </w:tcPr>
                                <w:p>
                                  <w:pPr>
                                    <w:pStyle w:val="TableContents"/>
                                    <w:bidi w:val="0"/>
                                    <w:spacing w:before="0" w:after="283"/>
                                    <w:jc w:val="right"/>
                                    <w:rPr/>
                                  </w:pPr>
                                  <w:hyperlink w:anchor="tTBIC">
                                    <w:r>
                                      <w:rPr>
                                        <w:rStyle w:val="InternetLink"/>
                                        <w:spacing w:val="-2"/>
                                      </w:rPr>
                                      <w:t>15</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THBO">
                                    <w:r>
                                      <w:rPr>
                                        <w:rStyle w:val="InternetLink"/>
                                        <w:spacing w:val="0"/>
                                      </w:rPr>
                                      <w:t xml:space="preserve">The Board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THBO">
                                    <w:r>
                                      <w:rPr>
                                        <w:rStyle w:val="InternetLink"/>
                                        <w:spacing w:val="-2"/>
                                      </w:rPr>
                                      <w:t>15</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BOCO">
                                    <w:r>
                                      <w:rPr>
                                        <w:rStyle w:val="InternetLink"/>
                                        <w:spacing w:val="0"/>
                                      </w:rPr>
                                      <w:t>Board Committees</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BOCO">
                                    <w:r>
                                      <w:rPr>
                                        <w:rStyle w:val="InternetLink"/>
                                        <w:spacing w:val="-2"/>
                                      </w:rPr>
                                      <w:t>15</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0"/>
                                    <w:ind w:left="600" w:right="0" w:hanging="0"/>
                                    <w:jc w:val="left"/>
                                    <w:rPr/>
                                  </w:pPr>
                                  <w:hyperlink w:anchor="tAUD">
                                    <w:r>
                                      <w:rPr>
                                        <w:rStyle w:val="InternetLink"/>
                                        <w:spacing w:val="-1"/>
                                      </w:rPr>
                                      <w:t xml:space="preserve">Audit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AUD">
                                    <w:r>
                                      <w:rPr>
                                        <w:rStyle w:val="InternetLink"/>
                                        <w:spacing w:val="-1"/>
                                      </w:rPr>
                                      <w:t>17</w:t>
                                    </w:r>
                                  </w:hyperlink>
                                  <w:hyperlink w:anchor="tAU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0"/>
                                    <w:ind w:left="600" w:right="0" w:hanging="0"/>
                                    <w:jc w:val="left"/>
                                    <w:rPr/>
                                  </w:pPr>
                                  <w:hyperlink w:anchor="tCOM">
                                    <w:r>
                                      <w:rPr>
                                        <w:rStyle w:val="InternetLink"/>
                                        <w:spacing w:val="-1"/>
                                      </w:rPr>
                                      <w:t xml:space="preserve">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COM">
                                    <w:r>
                                      <w:rPr>
                                        <w:rStyle w:val="InternetLink"/>
                                        <w:spacing w:val="-1"/>
                                      </w:rPr>
                                      <w:t>17</w:t>
                                    </w:r>
                                  </w:hyperlink>
                                  <w:hyperlink w:anchor="tCO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0"/>
                                    <w:ind w:left="600" w:right="0" w:hanging="0"/>
                                    <w:jc w:val="left"/>
                                    <w:rPr/>
                                  </w:pPr>
                                  <w:hyperlink w:anchor="tNACG">
                                    <w:r>
                                      <w:rPr>
                                        <w:rStyle w:val="InternetLink"/>
                                        <w:spacing w:val="-1"/>
                                      </w:rPr>
                                      <w:t xml:space="preserve">Nominating and Corporate Governance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NACG">
                                    <w:r>
                                      <w:rPr>
                                        <w:rStyle w:val="InternetLink"/>
                                        <w:spacing w:val="-1"/>
                                      </w:rPr>
                                      <w:t>18</w:t>
                                    </w:r>
                                  </w:hyperlink>
                                  <w:hyperlink w:anchor="tNACG">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0"/>
                                    <w:ind w:left="600" w:right="0" w:hanging="0"/>
                                    <w:jc w:val="left"/>
                                    <w:rPr/>
                                  </w:pPr>
                                  <w:hyperlink w:anchor="tTEC">
                                    <w:r>
                                      <w:rPr>
                                        <w:rStyle w:val="InternetLink"/>
                                        <w:spacing w:val="-1"/>
                                      </w:rPr>
                                      <w:t xml:space="preserve">Technology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TEC">
                                    <w:r>
                                      <w:rPr>
                                        <w:rStyle w:val="InternetLink"/>
                                        <w:spacing w:val="-1"/>
                                      </w:rPr>
                                      <w:t>18</w:t>
                                    </w:r>
                                  </w:hyperlink>
                                  <w:hyperlink w:anchor="tTE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0"/>
                                    <w:ind w:left="600" w:right="0" w:hanging="0"/>
                                    <w:jc w:val="left"/>
                                    <w:rPr/>
                                  </w:pPr>
                                  <w:hyperlink w:anchor="tBOA">
                                    <w:r>
                                      <w:rPr>
                                        <w:rStyle w:val="InternetLink"/>
                                        <w:spacing w:val="-1"/>
                                      </w:rPr>
                                      <w:t xml:space="preserve">Commitment of our Board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BOA">
                                    <w:r>
                                      <w:rPr>
                                        <w:rStyle w:val="InternetLink"/>
                                        <w:spacing w:val="-1"/>
                                      </w:rPr>
                                      <w:t>19</w:t>
                                    </w:r>
                                  </w:hyperlink>
                                  <w:hyperlink w:anchor="tBO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BACE">
                                    <w:r>
                                      <w:rPr>
                                        <w:rStyle w:val="InternetLink"/>
                                        <w:spacing w:val="0"/>
                                      </w:rPr>
                                      <w:t xml:space="preserve">Board and Committee Evaluations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BACE">
                                    <w:r>
                                      <w:rPr>
                                        <w:rStyle w:val="InternetLink"/>
                                        <w:spacing w:val="-2"/>
                                      </w:rPr>
                                      <w:t>20</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0"/>
                                    <w:ind w:left="600" w:right="0" w:hanging="0"/>
                                    <w:jc w:val="left"/>
                                    <w:rPr/>
                                  </w:pPr>
                                  <w:hyperlink w:anchor="tEAMP">
                                    <w:r>
                                      <w:rPr>
                                        <w:rStyle w:val="InternetLink"/>
                                        <w:spacing w:val="-1"/>
                                      </w:rPr>
                                      <w:t xml:space="preserve">Evaluations – A Multi-Step Process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EAMP">
                                    <w:r>
                                      <w:rPr>
                                        <w:rStyle w:val="InternetLink"/>
                                        <w:spacing w:val="-1"/>
                                      </w:rPr>
                                      <w:t>20</w:t>
                                    </w:r>
                                  </w:hyperlink>
                                  <w:hyperlink w:anchor="tEAM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2DC">
                                    <w:r>
                                      <w:rPr>
                                        <w:rStyle w:val="InternetLink"/>
                                        <w:spacing w:val="0"/>
                                      </w:rPr>
                                      <w:t xml:space="preserve">2025 Director Compensation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2DC">
                                    <w:r>
                                      <w:rPr>
                                        <w:rStyle w:val="InternetLink"/>
                                        <w:spacing w:val="-2"/>
                                      </w:rPr>
                                      <w:t>21</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SOGN">
                                    <w:r>
                                      <w:rPr>
                                        <w:rStyle w:val="InternetLink"/>
                                        <w:spacing w:val="0"/>
                                      </w:rPr>
                                      <w:t xml:space="preserve">Stock Ownership Guidelines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SOGN">
                                    <w:r>
                                      <w:rPr>
                                        <w:rStyle w:val="InternetLink"/>
                                        <w:spacing w:val="-2"/>
                                      </w:rPr>
                                      <w:t>24</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8994" w:type="dxa"/>
                                  <w:tcBorders/>
                                  <w:shd w:fill="BAD8EA" w:val="clear"/>
                                  <w:vAlign w:val="center"/>
                                </w:tcPr>
                                <w:p>
                                  <w:pPr>
                                    <w:pStyle w:val="TableContents"/>
                                    <w:bidi w:val="0"/>
                                    <w:spacing w:lineRule="atLeast" w:line="192" w:before="0" w:after="0"/>
                                    <w:ind w:left="200" w:right="0" w:hanging="0"/>
                                    <w:jc w:val="left"/>
                                    <w:rPr/>
                                  </w:pPr>
                                  <w:hyperlink w:anchor="tSOOD">
                                    <w:r>
                                      <w:rPr>
                                        <w:rStyle w:val="InternetLink"/>
                                        <w:spacing w:val="-2"/>
                                      </w:rPr>
                                      <w:t xml:space="preserve">SECURITY OWNERSHIP OF DIRECTORS, EXECUTIVE OFFICERS AND CERTAIN BENEFICIAL HOLDERS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87" w:type="dxa"/>
                                  <w:tcBorders/>
                                  <w:shd w:fill="BAD8EA" w:val="clear"/>
                                  <w:vAlign w:val="center"/>
                                </w:tcPr>
                                <w:p>
                                  <w:pPr>
                                    <w:pStyle w:val="TableContents"/>
                                    <w:bidi w:val="0"/>
                                    <w:spacing w:before="0" w:after="283"/>
                                    <w:jc w:val="right"/>
                                    <w:rPr/>
                                  </w:pPr>
                                  <w:hyperlink w:anchor="tSOOD">
                                    <w:r>
                                      <w:rPr>
                                        <w:rStyle w:val="InternetLink"/>
                                        <w:spacing w:val="-2"/>
                                      </w:rPr>
                                      <w:t>25</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DAEO">
                                    <w:r>
                                      <w:rPr>
                                        <w:rStyle w:val="InternetLink"/>
                                        <w:spacing w:val="0"/>
                                      </w:rPr>
                                      <w:t xml:space="preserve">Directors and Executive Officers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DAEO">
                                    <w:r>
                                      <w:rPr>
                                        <w:rStyle w:val="InternetLink"/>
                                        <w:spacing w:val="-2"/>
                                      </w:rPr>
                                      <w:t>25</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FPH">
                                    <w:r>
                                      <w:rPr>
                                        <w:rStyle w:val="InternetLink"/>
                                        <w:spacing w:val="0"/>
                                      </w:rPr>
                                      <w:t xml:space="preserve">Five-Percent Holders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FPH">
                                    <w:r>
                                      <w:rPr>
                                        <w:rStyle w:val="InternetLink"/>
                                        <w:spacing w:val="-2"/>
                                      </w:rPr>
                                      <w:t>27</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8994" w:type="dxa"/>
                                  <w:tcBorders/>
                                  <w:shd w:fill="BAD8EA" w:val="clear"/>
                                  <w:vAlign w:val="center"/>
                                </w:tcPr>
                                <w:p>
                                  <w:pPr>
                                    <w:pStyle w:val="TableContents"/>
                                    <w:bidi w:val="0"/>
                                    <w:spacing w:before="0" w:after="0"/>
                                    <w:ind w:left="200" w:right="0" w:hanging="0"/>
                                    <w:jc w:val="left"/>
                                    <w:rPr/>
                                  </w:pPr>
                                  <w:hyperlink w:anchor="tS1BO">
                                    <w:r>
                                      <w:rPr>
                                        <w:rStyle w:val="InternetLink"/>
                                        <w:spacing w:val="0"/>
                                      </w:rPr>
                                      <w:t xml:space="preserve">SECTION 16(a) BENEFICIAL OWNERSHIP REPORTING </w:t>
                                    </w:r>
                                  </w:hyperlink>
                                  <w:hyperlink w:anchor="tS1BO">
                                    <w:r>
                                      <w:rPr>
                                        <w:rStyle w:val="InternetLink"/>
                                      </w:rPr>
                                      <w:br/>
                                    </w:r>
                                  </w:hyperlink>
                                  <w:hyperlink w:anchor="tS1BO">
                                    <w:r>
                                      <w:rPr>
                                        <w:rStyle w:val="InternetLink"/>
                                        <w:spacing w:val="-2"/>
                                      </w:rPr>
                                      <w:t xml:space="preserve">COMPLIANCE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87" w:type="dxa"/>
                                  <w:tcBorders/>
                                  <w:shd w:fill="BAD8EA" w:val="clear"/>
                                  <w:vAlign w:val="center"/>
                                </w:tcPr>
                                <w:p>
                                  <w:pPr>
                                    <w:pStyle w:val="TableContents"/>
                                    <w:bidi w:val="0"/>
                                    <w:spacing w:before="0" w:after="283"/>
                                    <w:jc w:val="right"/>
                                    <w:rPr/>
                                  </w:pPr>
                                  <w:hyperlink w:anchor="tS1BO">
                                    <w:r>
                                      <w:rPr>
                                        <w:rStyle w:val="InternetLink"/>
                                        <w:spacing w:val="-2"/>
                                      </w:rPr>
                                      <w:t>28</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978"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8994" w:type="dxa"/>
                                  <w:tcBorders/>
                                  <w:shd w:fill="BAD8EA" w:val="clear"/>
                                  <w:vAlign w:val="center"/>
                                </w:tcPr>
                                <w:p>
                                  <w:pPr>
                                    <w:pStyle w:val="TableContents"/>
                                    <w:bidi w:val="0"/>
                                    <w:spacing w:before="0" w:after="0"/>
                                    <w:ind w:left="200" w:right="0" w:hanging="0"/>
                                    <w:jc w:val="left"/>
                                    <w:rPr/>
                                  </w:pPr>
                                  <w:hyperlink w:anchor="tCCIA">
                                    <w:r>
                                      <w:rPr>
                                        <w:rStyle w:val="InternetLink"/>
                                        <w:spacing w:val="-2"/>
                                      </w:rPr>
                                      <w:t xml:space="preserve">COMPENSATION COMMITTEE INTERLOCKS AND INSIDER PARTICIPATION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87" w:type="dxa"/>
                                  <w:tcBorders/>
                                  <w:shd w:fill="BAD8EA" w:val="clear"/>
                                  <w:vAlign w:val="center"/>
                                </w:tcPr>
                                <w:p>
                                  <w:pPr>
                                    <w:pStyle w:val="TableContents"/>
                                    <w:bidi w:val="0"/>
                                    <w:spacing w:before="0" w:after="283"/>
                                    <w:jc w:val="right"/>
                                    <w:rPr/>
                                  </w:pPr>
                                  <w:hyperlink w:anchor="tCCIA">
                                    <w:r>
                                      <w:rPr>
                                        <w:rStyle w:val="InternetLink"/>
                                        <w:spacing w:val="-2"/>
                                      </w:rPr>
                                      <w:t>28</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978"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8994" w:type="dxa"/>
                                  <w:tcBorders/>
                                  <w:shd w:fill="BAD8EA" w:val="clear"/>
                                  <w:vAlign w:val="center"/>
                                </w:tcPr>
                                <w:p>
                                  <w:pPr>
                                    <w:pStyle w:val="TableContents"/>
                                    <w:bidi w:val="0"/>
                                    <w:spacing w:before="0" w:after="0"/>
                                    <w:ind w:left="200" w:right="0" w:hanging="0"/>
                                    <w:jc w:val="left"/>
                                    <w:rPr/>
                                  </w:pPr>
                                  <w:hyperlink w:anchor="tRTAC">
                                    <w:r>
                                      <w:rPr>
                                        <w:rStyle w:val="InternetLink"/>
                                        <w:spacing w:val="-2"/>
                                      </w:rPr>
                                      <w:t xml:space="preserve">RELATED-PARTY TRANSACTIONS AND CERTAIN RELATIONSHIPS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87" w:type="dxa"/>
                                  <w:tcBorders/>
                                  <w:shd w:fill="BAD8EA" w:val="clear"/>
                                  <w:vAlign w:val="center"/>
                                </w:tcPr>
                                <w:p>
                                  <w:pPr>
                                    <w:pStyle w:val="TableContents"/>
                                    <w:bidi w:val="0"/>
                                    <w:spacing w:before="0" w:after="283"/>
                                    <w:jc w:val="right"/>
                                    <w:rPr/>
                                  </w:pPr>
                                  <w:hyperlink w:anchor="tRTAC">
                                    <w:r>
                                      <w:rPr>
                                        <w:rStyle w:val="InternetLink"/>
                                        <w:spacing w:val="-2"/>
                                      </w:rPr>
                                      <w:t>29</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RTP">
                                    <w:r>
                                      <w:rPr>
                                        <w:rStyle w:val="InternetLink"/>
                                        <w:spacing w:val="0"/>
                                      </w:rPr>
                                      <w:t xml:space="preserve">Related-Party Transactions Policy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RTP">
                                    <w:r>
                                      <w:rPr>
                                        <w:rStyle w:val="InternetLink"/>
                                        <w:spacing w:val="-2"/>
                                      </w:rPr>
                                      <w:t>29</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PSM">
                                    <w:r>
                                      <w:rPr>
                                        <w:rStyle w:val="InternetLink"/>
                                        <w:spacing w:val="0"/>
                                      </w:rPr>
                                      <w:t xml:space="preserve">Pershing Square Agreements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PSM">
                                    <w:r>
                                      <w:rPr>
                                        <w:rStyle w:val="InternetLink"/>
                                        <w:spacing w:val="-2"/>
                                      </w:rPr>
                                      <w:t>29</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0"/>
                                    <w:ind w:left="600" w:right="0" w:hanging="0"/>
                                    <w:jc w:val="left"/>
                                    <w:rPr/>
                                  </w:pPr>
                                  <w:hyperlink w:anchor="t2RRA">
                                    <w:r>
                                      <w:rPr>
                                        <w:rStyle w:val="InternetLink"/>
                                        <w:spacing w:val="-1"/>
                                      </w:rPr>
                                      <w:t xml:space="preserve">Registration Rights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2RRA">
                                    <w:r>
                                      <w:rPr>
                                        <w:rStyle w:val="InternetLink"/>
                                        <w:spacing w:val="-1"/>
                                      </w:rPr>
                                      <w:t>29</w:t>
                                    </w:r>
                                  </w:hyperlink>
                                  <w:hyperlink w:anchor="t2RR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0"/>
                                    <w:ind w:left="600" w:right="0" w:hanging="0"/>
                                    <w:jc w:val="left"/>
                                    <w:rPr/>
                                  </w:pPr>
                                  <w:hyperlink w:anchor="tPS2P">
                                    <w:r>
                                      <w:rPr>
                                        <w:rStyle w:val="InternetLink"/>
                                        <w:spacing w:val="-1"/>
                                      </w:rPr>
                                      <w:t xml:space="preserve">Pershing Square Purchase of Common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PS2P">
                                    <w:r>
                                      <w:rPr>
                                        <w:rStyle w:val="InternetLink"/>
                                        <w:spacing w:val="-1"/>
                                      </w:rPr>
                                      <w:t>30</w:t>
                                    </w:r>
                                  </w:hyperlink>
                                  <w:hyperlink w:anchor="tPS2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lineRule="atLeast" w:line="192" w:before="0" w:after="0"/>
                                    <w:ind w:left="600" w:right="0" w:hanging="0"/>
                                    <w:jc w:val="left"/>
                                    <w:rPr/>
                                  </w:pPr>
                                  <w:hyperlink w:anchor="tSSAP">
                                    <w:r>
                                      <w:rPr>
                                        <w:rStyle w:val="InternetLink"/>
                                        <w:spacing w:val="-1"/>
                                      </w:rPr>
                                      <w:t xml:space="preserve">SEG Spinoff; Pershing Square Standby Purchase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SSAP">
                                    <w:r>
                                      <w:rPr>
                                        <w:rStyle w:val="InternetLink"/>
                                        <w:spacing w:val="-1"/>
                                      </w:rPr>
                                      <w:t>30</w:t>
                                    </w:r>
                                  </w:hyperlink>
                                  <w:hyperlink w:anchor="tSS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0"/>
                                    <w:ind w:left="600" w:right="0" w:hanging="0"/>
                                    <w:jc w:val="left"/>
                                    <w:rPr/>
                                  </w:pPr>
                                  <w:hyperlink w:anchor="tPS2P1">
                                    <w:r>
                                      <w:rPr>
                                        <w:rStyle w:val="InternetLink"/>
                                        <w:spacing w:val="-1"/>
                                      </w:rPr>
                                      <w:t xml:space="preserve">Pershing Square 2025 Purchase of Common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PS2P1">
                                    <w:r>
                                      <w:rPr>
                                        <w:rStyle w:val="InternetLink"/>
                                        <w:spacing w:val="-1"/>
                                      </w:rPr>
                                      <w:t>30</w:t>
                                    </w:r>
                                  </w:hyperlink>
                                  <w:hyperlink w:anchor="tPS2P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1pt;height:785.2pt;mso-wrap-distance-left:44.45pt;mso-wrap-distance-right:0pt;mso-wrap-distance-top:0pt;mso-wrap-distance-bottom:0pt;margin-top:0pt;mso-position-vertical:top;mso-position-vertical-relative:text;margin-left:44.45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8994"/>
                        <w:gridCol w:w="109"/>
                        <w:gridCol w:w="109"/>
                        <w:gridCol w:w="109"/>
                        <w:gridCol w:w="109"/>
                        <w:gridCol w:w="387"/>
                        <w:gridCol w:w="109"/>
                        <w:gridCol w:w="155"/>
                      </w:tblGrid>
                      <w:tr>
                        <w:trPr/>
                        <w:tc>
                          <w:tcPr>
                            <w:tcW w:w="124" w:type="dxa"/>
                            <w:tcBorders/>
                            <w:shd w:fill="BAD8EA" w:val="clear"/>
                            <w:vAlign w:val="center"/>
                          </w:tcPr>
                          <w:p>
                            <w:pPr>
                              <w:pStyle w:val="TableContents"/>
                              <w:bidi w:val="0"/>
                              <w:spacing w:before="0" w:after="283"/>
                              <w:jc w:val="left"/>
                              <w:rPr/>
                            </w:pPr>
                            <w:r>
                              <w:rPr/>
                              <w:t>​</w:t>
                            </w:r>
                          </w:p>
                        </w:tc>
                        <w:tc>
                          <w:tcPr>
                            <w:tcW w:w="8994" w:type="dxa"/>
                            <w:tcBorders/>
                            <w:shd w:fill="BAD8EA" w:val="clear"/>
                            <w:vAlign w:val="center"/>
                          </w:tcPr>
                          <w:p>
                            <w:pPr>
                              <w:pStyle w:val="TableContents"/>
                              <w:bidi w:val="0"/>
                              <w:spacing w:before="0" w:after="0"/>
                              <w:ind w:left="200" w:right="0" w:hanging="0"/>
                              <w:jc w:val="left"/>
                              <w:rPr/>
                            </w:pPr>
                            <w:hyperlink w:anchor="tPRSU">
                              <w:r>
                                <w:rPr>
                                  <w:rStyle w:val="InternetLink"/>
                                  <w:spacing w:val="-2"/>
                                </w:rPr>
                                <w:t xml:space="preserve">PROXY SUMMARY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87" w:type="dxa"/>
                            <w:tcBorders/>
                            <w:shd w:fill="BAD8EA" w:val="clear"/>
                            <w:vAlign w:val="center"/>
                          </w:tcPr>
                          <w:p>
                            <w:pPr>
                              <w:pStyle w:val="TableContents"/>
                              <w:bidi w:val="0"/>
                              <w:spacing w:before="0" w:after="283"/>
                              <w:jc w:val="right"/>
                              <w:rPr/>
                            </w:pPr>
                            <w:hyperlink w:anchor="tPRSU">
                              <w:r>
                                <w:rPr>
                                  <w:rStyle w:val="InternetLink"/>
                                  <w:spacing w:val="-2"/>
                                </w:rPr>
                                <w:t>1</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2AMI">
                              <w:r>
                                <w:rPr>
                                  <w:rStyle w:val="InternetLink"/>
                                  <w:spacing w:val="0"/>
                                </w:rPr>
                                <w:t xml:space="preserve">2026 Annual Meeting Information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2AMI">
                              <w:r>
                                <w:rPr>
                                  <w:rStyle w:val="InternetLink"/>
                                  <w:spacing w:val="-2"/>
                                </w:rPr>
                                <w:t>1</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MTBV">
                              <w:r>
                                <w:rPr>
                                  <w:rStyle w:val="InternetLink"/>
                                  <w:spacing w:val="0"/>
                                </w:rPr>
                                <w:t xml:space="preserve">Matters to be Voted on at our 2026 Annual Meeting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MTBV">
                              <w:r>
                                <w:rPr>
                                  <w:rStyle w:val="InternetLink"/>
                                  <w:spacing w:val="-2"/>
                                </w:rPr>
                                <w:t>1</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DINO">
                              <w:r>
                                <w:rPr>
                                  <w:rStyle w:val="InternetLink"/>
                                  <w:spacing w:val="0"/>
                                </w:rPr>
                                <w:t xml:space="preserve">Director Nominees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DINO">
                              <w:r>
                                <w:rPr>
                                  <w:rStyle w:val="InternetLink"/>
                                  <w:spacing w:val="-2"/>
                                </w:rPr>
                                <w:t>2</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GOHI">
                              <w:r>
                                <w:rPr>
                                  <w:rStyle w:val="InternetLink"/>
                                  <w:spacing w:val="0"/>
                                </w:rPr>
                                <w:t xml:space="preserve">Governance Highlights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GOHI">
                              <w:r>
                                <w:rPr>
                                  <w:rStyle w:val="InternetLink"/>
                                  <w:spacing w:val="-2"/>
                                </w:rPr>
                                <w:t>3</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ECH">
                              <w:r>
                                <w:rPr>
                                  <w:rStyle w:val="InternetLink"/>
                                  <w:spacing w:val="0"/>
                                </w:rPr>
                                <w:t xml:space="preserve">Executive Compensation Highlights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ECH">
                              <w:r>
                                <w:rPr>
                                  <w:rStyle w:val="InternetLink"/>
                                  <w:spacing w:val="-2"/>
                                </w:rPr>
                                <w:t>4</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8994" w:type="dxa"/>
                            <w:tcBorders/>
                            <w:shd w:fill="BAD8EA" w:val="clear"/>
                            <w:vAlign w:val="center"/>
                          </w:tcPr>
                          <w:p>
                            <w:pPr>
                              <w:pStyle w:val="TableContents"/>
                              <w:bidi w:val="0"/>
                              <w:spacing w:before="0" w:after="0"/>
                              <w:ind w:left="200" w:right="0" w:hanging="0"/>
                              <w:jc w:val="left"/>
                              <w:rPr/>
                            </w:pPr>
                            <w:hyperlink w:anchor="tPSFA">
                              <w:r>
                                <w:rPr>
                                  <w:rStyle w:val="InternetLink"/>
                                  <w:spacing w:val="-2"/>
                                </w:rPr>
                                <w:t xml:space="preserve">PROXY STATEMENT FOR ANNUAL MEETING OF STOCKHOLDERS TO BE HELD ON SEPTEMBER 30, 2026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87" w:type="dxa"/>
                            <w:tcBorders/>
                            <w:shd w:fill="BAD8EA" w:val="clear"/>
                            <w:vAlign w:val="center"/>
                          </w:tcPr>
                          <w:p>
                            <w:pPr>
                              <w:pStyle w:val="TableContents"/>
                              <w:bidi w:val="0"/>
                              <w:spacing w:before="0" w:after="283"/>
                              <w:jc w:val="right"/>
                              <w:rPr/>
                            </w:pPr>
                            <w:hyperlink w:anchor="tPSFA">
                              <w:r>
                                <w:rPr>
                                  <w:rStyle w:val="InternetLink"/>
                                  <w:spacing w:val="-2"/>
                                </w:rPr>
                                <w:t>5</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QAAR">
                              <w:r>
                                <w:rPr>
                                  <w:rStyle w:val="InternetLink"/>
                                  <w:spacing w:val="0"/>
                                </w:rPr>
                                <w:t xml:space="preserve">Questions and Answers Regarding this Proxy </w:t>
                                <w:br/>
                                <w:t xml:space="preserve">Statement and the Annual Meeting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QAAR">
                              <w:r>
                                <w:rPr>
                                  <w:rStyle w:val="InternetLink"/>
                                  <w:spacing w:val="-2"/>
                                </w:rPr>
                                <w:t>5</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8994" w:type="dxa"/>
                            <w:tcBorders/>
                            <w:shd w:fill="BAD8EA" w:val="clear"/>
                            <w:vAlign w:val="center"/>
                          </w:tcPr>
                          <w:p>
                            <w:pPr>
                              <w:pStyle w:val="TableContents"/>
                              <w:bidi w:val="0"/>
                              <w:spacing w:before="0" w:after="0"/>
                              <w:ind w:left="200" w:right="0" w:hanging="0"/>
                              <w:jc w:val="left"/>
                              <w:rPr/>
                            </w:pPr>
                            <w:hyperlink w:anchor="tMRTC">
                              <w:r>
                                <w:rPr>
                                  <w:rStyle w:val="InternetLink"/>
                                  <w:spacing w:val="-2"/>
                                </w:rPr>
                                <w:t xml:space="preserve">MATTERS RELATED TO CORPORATE GOVERNANCE, </w:t>
                                <w:br/>
                                <w:t xml:space="preserve">BOARD STRUCTURE, DIRECTOR COMPENSATION </w:t>
                                <w:br/>
                                <w:t xml:space="preserve">AND STOCK OWNERSHIP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87" w:type="dxa"/>
                            <w:tcBorders/>
                            <w:shd w:fill="BAD8EA" w:val="clear"/>
                            <w:vAlign w:val="center"/>
                          </w:tcPr>
                          <w:p>
                            <w:pPr>
                              <w:pStyle w:val="TableContents"/>
                              <w:bidi w:val="0"/>
                              <w:spacing w:before="0" w:after="283"/>
                              <w:jc w:val="right"/>
                              <w:rPr/>
                            </w:pPr>
                            <w:hyperlink w:anchor="tMRTC">
                              <w:r>
                                <w:rPr>
                                  <w:rStyle w:val="InternetLink"/>
                                  <w:spacing w:val="-2"/>
                                </w:rPr>
                                <w:t>10</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COGO">
                              <w:r>
                                <w:rPr>
                                  <w:rStyle w:val="InternetLink"/>
                                  <w:spacing w:val="0"/>
                                </w:rPr>
                                <w:t xml:space="preserve">Corporate Governance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COGO">
                              <w:r>
                                <w:rPr>
                                  <w:rStyle w:val="InternetLink"/>
                                  <w:spacing w:val="-2"/>
                                </w:rPr>
                                <w:t>10</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RIMA">
                              <w:r>
                                <w:rPr>
                                  <w:rStyle w:val="InternetLink"/>
                                  <w:spacing w:val="0"/>
                                </w:rPr>
                                <w:t xml:space="preserve">Risk Management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RIMA">
                              <w:r>
                                <w:rPr>
                                  <w:rStyle w:val="InternetLink"/>
                                  <w:spacing w:val="-2"/>
                                </w:rPr>
                                <w:t>11</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DIIN">
                              <w:r>
                                <w:rPr>
                                  <w:rStyle w:val="InternetLink"/>
                                  <w:spacing w:val="0"/>
                                </w:rPr>
                                <w:t xml:space="preserve">Director Independence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DIIN">
                              <w:r>
                                <w:rPr>
                                  <w:rStyle w:val="InternetLink"/>
                                  <w:spacing w:val="-2"/>
                                </w:rPr>
                                <w:t>12</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DINO1">
                              <w:r>
                                <w:rPr>
                                  <w:rStyle w:val="InternetLink"/>
                                  <w:spacing w:val="0"/>
                                </w:rPr>
                                <w:t xml:space="preserve">Director Nominations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DINO1">
                              <w:r>
                                <w:rPr>
                                  <w:rStyle w:val="InternetLink"/>
                                  <w:spacing w:val="-2"/>
                                </w:rPr>
                                <w:t>12</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0"/>
                              <w:ind w:left="600" w:right="0" w:hanging="0"/>
                              <w:jc w:val="left"/>
                              <w:rPr/>
                            </w:pPr>
                            <w:hyperlink w:anchor="tQUA">
                              <w:r>
                                <w:rPr>
                                  <w:rStyle w:val="InternetLink"/>
                                  <w:spacing w:val="-1"/>
                                </w:rPr>
                                <w:t xml:space="preserve">Qualifications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QUA">
                              <w:r>
                                <w:rPr>
                                  <w:rStyle w:val="InternetLink"/>
                                  <w:spacing w:val="-1"/>
                                </w:rPr>
                                <w:t>12</w:t>
                              </w:r>
                            </w:hyperlink>
                            <w:hyperlink w:anchor="tQU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0"/>
                              <w:ind w:left="600" w:right="0" w:hanging="0"/>
                              <w:jc w:val="left"/>
                              <w:rPr/>
                            </w:pPr>
                            <w:hyperlink w:anchor="tSTRE">
                              <w:r>
                                <w:rPr>
                                  <w:rStyle w:val="InternetLink"/>
                                  <w:spacing w:val="-1"/>
                                </w:rPr>
                                <w:t xml:space="preserve">Stockholder Recommendations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STRE">
                              <w:r>
                                <w:rPr>
                                  <w:rStyle w:val="InternetLink"/>
                                  <w:spacing w:val="-1"/>
                                </w:rPr>
                                <w:t>13</w:t>
                              </w:r>
                            </w:hyperlink>
                            <w:hyperlink w:anchor="tSTR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STEN">
                              <w:r>
                                <w:rPr>
                                  <w:rStyle w:val="InternetLink"/>
                                  <w:spacing w:val="0"/>
                                </w:rPr>
                                <w:t xml:space="preserve">Stockholder Engagement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STEN">
                              <w:r>
                                <w:rPr>
                                  <w:rStyle w:val="InternetLink"/>
                                  <w:spacing w:val="-2"/>
                                </w:rPr>
                                <w:t>14</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CWTB">
                              <w:r>
                                <w:rPr>
                                  <w:rStyle w:val="InternetLink"/>
                                  <w:spacing w:val="0"/>
                                </w:rPr>
                                <w:t xml:space="preserve">Communications with the Board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CWTB">
                              <w:r>
                                <w:rPr>
                                  <w:rStyle w:val="InternetLink"/>
                                  <w:spacing w:val="-2"/>
                                </w:rPr>
                                <w:t>14</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COBC">
                              <w:r>
                                <w:rPr>
                                  <w:rStyle w:val="InternetLink"/>
                                  <w:spacing w:val="0"/>
                                </w:rPr>
                                <w:t xml:space="preserve">Codes of Business Conduct and Ethics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COBC">
                              <w:r>
                                <w:rPr>
                                  <w:rStyle w:val="InternetLink"/>
                                  <w:spacing w:val="-2"/>
                                </w:rPr>
                                <w:t>14</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8994" w:type="dxa"/>
                            <w:tcBorders/>
                            <w:shd w:fill="BAD8EA" w:val="clear"/>
                            <w:vAlign w:val="center"/>
                          </w:tcPr>
                          <w:p>
                            <w:pPr>
                              <w:pStyle w:val="TableContents"/>
                              <w:bidi w:val="0"/>
                              <w:spacing w:before="0" w:after="0"/>
                              <w:ind w:left="200" w:right="0" w:hanging="0"/>
                              <w:jc w:val="left"/>
                              <w:rPr/>
                            </w:pPr>
                            <w:hyperlink w:anchor="tTBIC">
                              <w:r>
                                <w:rPr>
                                  <w:rStyle w:val="InternetLink"/>
                                  <w:spacing w:val="-2"/>
                                </w:rPr>
                                <w:t xml:space="preserve">THE BOARD, ITS COMMITTEES AND ITS COMPENSATION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87" w:type="dxa"/>
                            <w:tcBorders/>
                            <w:shd w:fill="BAD8EA" w:val="clear"/>
                            <w:vAlign w:val="center"/>
                          </w:tcPr>
                          <w:p>
                            <w:pPr>
                              <w:pStyle w:val="TableContents"/>
                              <w:bidi w:val="0"/>
                              <w:spacing w:before="0" w:after="283"/>
                              <w:jc w:val="right"/>
                              <w:rPr/>
                            </w:pPr>
                            <w:hyperlink w:anchor="tTBIC">
                              <w:r>
                                <w:rPr>
                                  <w:rStyle w:val="InternetLink"/>
                                  <w:spacing w:val="-2"/>
                                </w:rPr>
                                <w:t>15</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THBO">
                              <w:r>
                                <w:rPr>
                                  <w:rStyle w:val="InternetLink"/>
                                  <w:spacing w:val="0"/>
                                </w:rPr>
                                <w:t xml:space="preserve">The Board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THBO">
                              <w:r>
                                <w:rPr>
                                  <w:rStyle w:val="InternetLink"/>
                                  <w:spacing w:val="-2"/>
                                </w:rPr>
                                <w:t>15</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BOCO">
                              <w:r>
                                <w:rPr>
                                  <w:rStyle w:val="InternetLink"/>
                                  <w:spacing w:val="0"/>
                                </w:rPr>
                                <w:t>Board Committees</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BOCO">
                              <w:r>
                                <w:rPr>
                                  <w:rStyle w:val="InternetLink"/>
                                  <w:spacing w:val="-2"/>
                                </w:rPr>
                                <w:t>15</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0"/>
                              <w:ind w:left="600" w:right="0" w:hanging="0"/>
                              <w:jc w:val="left"/>
                              <w:rPr/>
                            </w:pPr>
                            <w:hyperlink w:anchor="tAUD">
                              <w:r>
                                <w:rPr>
                                  <w:rStyle w:val="InternetLink"/>
                                  <w:spacing w:val="-1"/>
                                </w:rPr>
                                <w:t xml:space="preserve">Audit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AUD">
                              <w:r>
                                <w:rPr>
                                  <w:rStyle w:val="InternetLink"/>
                                  <w:spacing w:val="-1"/>
                                </w:rPr>
                                <w:t>17</w:t>
                              </w:r>
                            </w:hyperlink>
                            <w:hyperlink w:anchor="tAU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0"/>
                              <w:ind w:left="600" w:right="0" w:hanging="0"/>
                              <w:jc w:val="left"/>
                              <w:rPr/>
                            </w:pPr>
                            <w:hyperlink w:anchor="tCOM">
                              <w:r>
                                <w:rPr>
                                  <w:rStyle w:val="InternetLink"/>
                                  <w:spacing w:val="-1"/>
                                </w:rPr>
                                <w:t xml:space="preserve">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COM">
                              <w:r>
                                <w:rPr>
                                  <w:rStyle w:val="InternetLink"/>
                                  <w:spacing w:val="-1"/>
                                </w:rPr>
                                <w:t>17</w:t>
                              </w:r>
                            </w:hyperlink>
                            <w:hyperlink w:anchor="tCO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0"/>
                              <w:ind w:left="600" w:right="0" w:hanging="0"/>
                              <w:jc w:val="left"/>
                              <w:rPr/>
                            </w:pPr>
                            <w:hyperlink w:anchor="tNACG">
                              <w:r>
                                <w:rPr>
                                  <w:rStyle w:val="InternetLink"/>
                                  <w:spacing w:val="-1"/>
                                </w:rPr>
                                <w:t xml:space="preserve">Nominating and Corporate Governance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NACG">
                              <w:r>
                                <w:rPr>
                                  <w:rStyle w:val="InternetLink"/>
                                  <w:spacing w:val="-1"/>
                                </w:rPr>
                                <w:t>18</w:t>
                              </w:r>
                            </w:hyperlink>
                            <w:hyperlink w:anchor="tNACG">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0"/>
                              <w:ind w:left="600" w:right="0" w:hanging="0"/>
                              <w:jc w:val="left"/>
                              <w:rPr/>
                            </w:pPr>
                            <w:hyperlink w:anchor="tTEC">
                              <w:r>
                                <w:rPr>
                                  <w:rStyle w:val="InternetLink"/>
                                  <w:spacing w:val="-1"/>
                                </w:rPr>
                                <w:t xml:space="preserve">Technology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TEC">
                              <w:r>
                                <w:rPr>
                                  <w:rStyle w:val="InternetLink"/>
                                  <w:spacing w:val="-1"/>
                                </w:rPr>
                                <w:t>18</w:t>
                              </w:r>
                            </w:hyperlink>
                            <w:hyperlink w:anchor="tTE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0"/>
                              <w:ind w:left="600" w:right="0" w:hanging="0"/>
                              <w:jc w:val="left"/>
                              <w:rPr/>
                            </w:pPr>
                            <w:hyperlink w:anchor="tBOA">
                              <w:r>
                                <w:rPr>
                                  <w:rStyle w:val="InternetLink"/>
                                  <w:spacing w:val="-1"/>
                                </w:rPr>
                                <w:t xml:space="preserve">Commitment of our Board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BOA">
                              <w:r>
                                <w:rPr>
                                  <w:rStyle w:val="InternetLink"/>
                                  <w:spacing w:val="-1"/>
                                </w:rPr>
                                <w:t>19</w:t>
                              </w:r>
                            </w:hyperlink>
                            <w:hyperlink w:anchor="tBO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BACE">
                              <w:r>
                                <w:rPr>
                                  <w:rStyle w:val="InternetLink"/>
                                  <w:spacing w:val="0"/>
                                </w:rPr>
                                <w:t xml:space="preserve">Board and Committee Evaluations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BACE">
                              <w:r>
                                <w:rPr>
                                  <w:rStyle w:val="InternetLink"/>
                                  <w:spacing w:val="-2"/>
                                </w:rPr>
                                <w:t>20</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0"/>
                              <w:ind w:left="600" w:right="0" w:hanging="0"/>
                              <w:jc w:val="left"/>
                              <w:rPr/>
                            </w:pPr>
                            <w:hyperlink w:anchor="tEAMP">
                              <w:r>
                                <w:rPr>
                                  <w:rStyle w:val="InternetLink"/>
                                  <w:spacing w:val="-1"/>
                                </w:rPr>
                                <w:t xml:space="preserve">Evaluations – A Multi-Step Process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EAMP">
                              <w:r>
                                <w:rPr>
                                  <w:rStyle w:val="InternetLink"/>
                                  <w:spacing w:val="-1"/>
                                </w:rPr>
                                <w:t>20</w:t>
                              </w:r>
                            </w:hyperlink>
                            <w:hyperlink w:anchor="tEAM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2DC">
                              <w:r>
                                <w:rPr>
                                  <w:rStyle w:val="InternetLink"/>
                                  <w:spacing w:val="0"/>
                                </w:rPr>
                                <w:t xml:space="preserve">2025 Director Compensation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2DC">
                              <w:r>
                                <w:rPr>
                                  <w:rStyle w:val="InternetLink"/>
                                  <w:spacing w:val="-2"/>
                                </w:rPr>
                                <w:t>21</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SOGN">
                              <w:r>
                                <w:rPr>
                                  <w:rStyle w:val="InternetLink"/>
                                  <w:spacing w:val="0"/>
                                </w:rPr>
                                <w:t xml:space="preserve">Stock Ownership Guidelines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SOGN">
                              <w:r>
                                <w:rPr>
                                  <w:rStyle w:val="InternetLink"/>
                                  <w:spacing w:val="-2"/>
                                </w:rPr>
                                <w:t>24</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8994" w:type="dxa"/>
                            <w:tcBorders/>
                            <w:shd w:fill="BAD8EA" w:val="clear"/>
                            <w:vAlign w:val="center"/>
                          </w:tcPr>
                          <w:p>
                            <w:pPr>
                              <w:pStyle w:val="TableContents"/>
                              <w:bidi w:val="0"/>
                              <w:spacing w:lineRule="atLeast" w:line="192" w:before="0" w:after="0"/>
                              <w:ind w:left="200" w:right="0" w:hanging="0"/>
                              <w:jc w:val="left"/>
                              <w:rPr/>
                            </w:pPr>
                            <w:hyperlink w:anchor="tSOOD">
                              <w:r>
                                <w:rPr>
                                  <w:rStyle w:val="InternetLink"/>
                                  <w:spacing w:val="-2"/>
                                </w:rPr>
                                <w:t xml:space="preserve">SECURITY OWNERSHIP OF DIRECTORS, EXECUTIVE OFFICERS AND CERTAIN BENEFICIAL HOLDERS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87" w:type="dxa"/>
                            <w:tcBorders/>
                            <w:shd w:fill="BAD8EA" w:val="clear"/>
                            <w:vAlign w:val="center"/>
                          </w:tcPr>
                          <w:p>
                            <w:pPr>
                              <w:pStyle w:val="TableContents"/>
                              <w:bidi w:val="0"/>
                              <w:spacing w:before="0" w:after="283"/>
                              <w:jc w:val="right"/>
                              <w:rPr/>
                            </w:pPr>
                            <w:hyperlink w:anchor="tSOOD">
                              <w:r>
                                <w:rPr>
                                  <w:rStyle w:val="InternetLink"/>
                                  <w:spacing w:val="-2"/>
                                </w:rPr>
                                <w:t>25</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DAEO">
                              <w:r>
                                <w:rPr>
                                  <w:rStyle w:val="InternetLink"/>
                                  <w:spacing w:val="0"/>
                                </w:rPr>
                                <w:t xml:space="preserve">Directors and Executive Officers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DAEO">
                              <w:r>
                                <w:rPr>
                                  <w:rStyle w:val="InternetLink"/>
                                  <w:spacing w:val="-2"/>
                                </w:rPr>
                                <w:t>25</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FPH">
                              <w:r>
                                <w:rPr>
                                  <w:rStyle w:val="InternetLink"/>
                                  <w:spacing w:val="0"/>
                                </w:rPr>
                                <w:t xml:space="preserve">Five-Percent Holders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FPH">
                              <w:r>
                                <w:rPr>
                                  <w:rStyle w:val="InternetLink"/>
                                  <w:spacing w:val="-2"/>
                                </w:rPr>
                                <w:t>27</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8994" w:type="dxa"/>
                            <w:tcBorders/>
                            <w:shd w:fill="BAD8EA" w:val="clear"/>
                            <w:vAlign w:val="center"/>
                          </w:tcPr>
                          <w:p>
                            <w:pPr>
                              <w:pStyle w:val="TableContents"/>
                              <w:bidi w:val="0"/>
                              <w:spacing w:before="0" w:after="0"/>
                              <w:ind w:left="200" w:right="0" w:hanging="0"/>
                              <w:jc w:val="left"/>
                              <w:rPr/>
                            </w:pPr>
                            <w:hyperlink w:anchor="tS1BO">
                              <w:r>
                                <w:rPr>
                                  <w:rStyle w:val="InternetLink"/>
                                  <w:spacing w:val="0"/>
                                </w:rPr>
                                <w:t xml:space="preserve">SECTION 16(a) BENEFICIAL OWNERSHIP REPORTING </w:t>
                              </w:r>
                            </w:hyperlink>
                            <w:hyperlink w:anchor="tS1BO">
                              <w:r>
                                <w:rPr>
                                  <w:rStyle w:val="InternetLink"/>
                                </w:rPr>
                                <w:br/>
                              </w:r>
                            </w:hyperlink>
                            <w:hyperlink w:anchor="tS1BO">
                              <w:r>
                                <w:rPr>
                                  <w:rStyle w:val="InternetLink"/>
                                  <w:spacing w:val="-2"/>
                                </w:rPr>
                                <w:t xml:space="preserve">COMPLIANCE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87" w:type="dxa"/>
                            <w:tcBorders/>
                            <w:shd w:fill="BAD8EA" w:val="clear"/>
                            <w:vAlign w:val="center"/>
                          </w:tcPr>
                          <w:p>
                            <w:pPr>
                              <w:pStyle w:val="TableContents"/>
                              <w:bidi w:val="0"/>
                              <w:spacing w:before="0" w:after="283"/>
                              <w:jc w:val="right"/>
                              <w:rPr/>
                            </w:pPr>
                            <w:hyperlink w:anchor="tS1BO">
                              <w:r>
                                <w:rPr>
                                  <w:rStyle w:val="InternetLink"/>
                                  <w:spacing w:val="-2"/>
                                </w:rPr>
                                <w:t>28</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978"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8994" w:type="dxa"/>
                            <w:tcBorders/>
                            <w:shd w:fill="BAD8EA" w:val="clear"/>
                            <w:vAlign w:val="center"/>
                          </w:tcPr>
                          <w:p>
                            <w:pPr>
                              <w:pStyle w:val="TableContents"/>
                              <w:bidi w:val="0"/>
                              <w:spacing w:before="0" w:after="0"/>
                              <w:ind w:left="200" w:right="0" w:hanging="0"/>
                              <w:jc w:val="left"/>
                              <w:rPr/>
                            </w:pPr>
                            <w:hyperlink w:anchor="tCCIA">
                              <w:r>
                                <w:rPr>
                                  <w:rStyle w:val="InternetLink"/>
                                  <w:spacing w:val="-2"/>
                                </w:rPr>
                                <w:t xml:space="preserve">COMPENSATION COMMITTEE INTERLOCKS AND INSIDER PARTICIPATION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87" w:type="dxa"/>
                            <w:tcBorders/>
                            <w:shd w:fill="BAD8EA" w:val="clear"/>
                            <w:vAlign w:val="center"/>
                          </w:tcPr>
                          <w:p>
                            <w:pPr>
                              <w:pStyle w:val="TableContents"/>
                              <w:bidi w:val="0"/>
                              <w:spacing w:before="0" w:after="283"/>
                              <w:jc w:val="right"/>
                              <w:rPr/>
                            </w:pPr>
                            <w:hyperlink w:anchor="tCCIA">
                              <w:r>
                                <w:rPr>
                                  <w:rStyle w:val="InternetLink"/>
                                  <w:spacing w:val="-2"/>
                                </w:rPr>
                                <w:t>28</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978"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8994" w:type="dxa"/>
                            <w:tcBorders/>
                            <w:shd w:fill="BAD8EA" w:val="clear"/>
                            <w:vAlign w:val="center"/>
                          </w:tcPr>
                          <w:p>
                            <w:pPr>
                              <w:pStyle w:val="TableContents"/>
                              <w:bidi w:val="0"/>
                              <w:spacing w:before="0" w:after="0"/>
                              <w:ind w:left="200" w:right="0" w:hanging="0"/>
                              <w:jc w:val="left"/>
                              <w:rPr/>
                            </w:pPr>
                            <w:hyperlink w:anchor="tRTAC">
                              <w:r>
                                <w:rPr>
                                  <w:rStyle w:val="InternetLink"/>
                                  <w:spacing w:val="-2"/>
                                </w:rPr>
                                <w:t xml:space="preserve">RELATED-PARTY TRANSACTIONS AND CERTAIN RELATIONSHIPS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87" w:type="dxa"/>
                            <w:tcBorders/>
                            <w:shd w:fill="BAD8EA" w:val="clear"/>
                            <w:vAlign w:val="center"/>
                          </w:tcPr>
                          <w:p>
                            <w:pPr>
                              <w:pStyle w:val="TableContents"/>
                              <w:bidi w:val="0"/>
                              <w:spacing w:before="0" w:after="283"/>
                              <w:jc w:val="right"/>
                              <w:rPr/>
                            </w:pPr>
                            <w:hyperlink w:anchor="tRTAC">
                              <w:r>
                                <w:rPr>
                                  <w:rStyle w:val="InternetLink"/>
                                  <w:spacing w:val="-2"/>
                                </w:rPr>
                                <w:t>29</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RTP">
                              <w:r>
                                <w:rPr>
                                  <w:rStyle w:val="InternetLink"/>
                                  <w:spacing w:val="0"/>
                                </w:rPr>
                                <w:t xml:space="preserve">Related-Party Transactions Policy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RTP">
                              <w:r>
                                <w:rPr>
                                  <w:rStyle w:val="InternetLink"/>
                                  <w:spacing w:val="-2"/>
                                </w:rPr>
                                <w:t>29</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8994"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PSM">
                              <w:r>
                                <w:rPr>
                                  <w:rStyle w:val="InternetLink"/>
                                  <w:spacing w:val="0"/>
                                </w:rPr>
                                <w:t xml:space="preserve">Pershing Square Agreements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87" w:type="dxa"/>
                            <w:tcBorders>
                              <w:bottom w:val="single" w:sz="2" w:space="0" w:color="7F7F7F"/>
                            </w:tcBorders>
                            <w:tcMar>
                              <w:bottom w:w="28" w:type="dxa"/>
                            </w:tcMar>
                            <w:vAlign w:val="center"/>
                          </w:tcPr>
                          <w:p>
                            <w:pPr>
                              <w:pStyle w:val="TableContents"/>
                              <w:bidi w:val="0"/>
                              <w:spacing w:before="0" w:after="283"/>
                              <w:jc w:val="right"/>
                              <w:rPr/>
                            </w:pPr>
                            <w:hyperlink w:anchor="tPSM">
                              <w:r>
                                <w:rPr>
                                  <w:rStyle w:val="InternetLink"/>
                                  <w:spacing w:val="-2"/>
                                </w:rPr>
                                <w:t>29</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0"/>
                              <w:ind w:left="600" w:right="0" w:hanging="0"/>
                              <w:jc w:val="left"/>
                              <w:rPr/>
                            </w:pPr>
                            <w:hyperlink w:anchor="t2RRA">
                              <w:r>
                                <w:rPr>
                                  <w:rStyle w:val="InternetLink"/>
                                  <w:spacing w:val="-1"/>
                                </w:rPr>
                                <w:t xml:space="preserve">Registration Rights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2RRA">
                              <w:r>
                                <w:rPr>
                                  <w:rStyle w:val="InternetLink"/>
                                  <w:spacing w:val="-1"/>
                                </w:rPr>
                                <w:t>29</w:t>
                              </w:r>
                            </w:hyperlink>
                            <w:hyperlink w:anchor="t2RR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0"/>
                              <w:ind w:left="600" w:right="0" w:hanging="0"/>
                              <w:jc w:val="left"/>
                              <w:rPr/>
                            </w:pPr>
                            <w:hyperlink w:anchor="tPS2P">
                              <w:r>
                                <w:rPr>
                                  <w:rStyle w:val="InternetLink"/>
                                  <w:spacing w:val="-1"/>
                                </w:rPr>
                                <w:t xml:space="preserve">Pershing Square Purchase of Common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PS2P">
                              <w:r>
                                <w:rPr>
                                  <w:rStyle w:val="InternetLink"/>
                                  <w:spacing w:val="-1"/>
                                </w:rPr>
                                <w:t>30</w:t>
                              </w:r>
                            </w:hyperlink>
                            <w:hyperlink w:anchor="tPS2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lineRule="atLeast" w:line="192" w:before="0" w:after="0"/>
                              <w:ind w:left="600" w:right="0" w:hanging="0"/>
                              <w:jc w:val="left"/>
                              <w:rPr/>
                            </w:pPr>
                            <w:hyperlink w:anchor="tSSAP">
                              <w:r>
                                <w:rPr>
                                  <w:rStyle w:val="InternetLink"/>
                                  <w:spacing w:val="-1"/>
                                </w:rPr>
                                <w:t xml:space="preserve">SEG Spinoff; Pershing Square Standby Purchase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SSAP">
                              <w:r>
                                <w:rPr>
                                  <w:rStyle w:val="InternetLink"/>
                                  <w:spacing w:val="-1"/>
                                </w:rPr>
                                <w:t>30</w:t>
                              </w:r>
                            </w:hyperlink>
                            <w:hyperlink w:anchor="tSS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994" w:type="dxa"/>
                            <w:tcBorders/>
                            <w:vAlign w:val="center"/>
                          </w:tcPr>
                          <w:p>
                            <w:pPr>
                              <w:pStyle w:val="TableContents"/>
                              <w:bidi w:val="0"/>
                              <w:spacing w:before="0" w:after="0"/>
                              <w:ind w:left="600" w:right="0" w:hanging="0"/>
                              <w:jc w:val="left"/>
                              <w:rPr/>
                            </w:pPr>
                            <w:hyperlink w:anchor="tPS2P1">
                              <w:r>
                                <w:rPr>
                                  <w:rStyle w:val="InternetLink"/>
                                  <w:spacing w:val="-1"/>
                                </w:rPr>
                                <w:t xml:space="preserve">Pershing Square 2025 Purchase of Common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PS2P1">
                              <w:r>
                                <w:rPr>
                                  <w:rStyle w:val="InternetLink"/>
                                  <w:spacing w:val="-1"/>
                                </w:rPr>
                                <w:t>30</w:t>
                              </w:r>
                            </w:hyperlink>
                            <w:hyperlink w:anchor="tPS2P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304800" distR="0" simplePos="0" locked="0" layoutInCell="1" allowOverlap="1" relativeHeight="144">
                <wp:simplePos x="0" y="0"/>
                <wp:positionH relativeFrom="column">
                  <wp:align>left</wp:align>
                </wp:positionH>
                <wp:positionV relativeFrom="line">
                  <wp:posOffset>635</wp:posOffset>
                </wp:positionV>
                <wp:extent cx="3060700" cy="9972040"/>
                <wp:effectExtent l="0" t="0" r="0" b="0"/>
                <wp:wrapSquare wrapText="right"/>
                <wp:docPr id="21" name="Frame10"/>
                <a:graphic xmlns:a="http://schemas.openxmlformats.org/drawingml/2006/main">
                  <a:graphicData uri="http://schemas.microsoft.com/office/word/2010/wordprocessingShape">
                    <wps:wsp>
                      <wps:cNvSpPr txBox="1"/>
                      <wps:spPr>
                        <a:xfrm>
                          <a:off x="0" y="0"/>
                          <a:ext cx="30607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9012"/>
                              <w:gridCol w:w="109"/>
                              <w:gridCol w:w="109"/>
                              <w:gridCol w:w="109"/>
                              <w:gridCol w:w="109"/>
                              <w:gridCol w:w="369"/>
                              <w:gridCol w:w="109"/>
                              <w:gridCol w:w="155"/>
                            </w:tblGrid>
                            <w:tr>
                              <w:trPr/>
                              <w:tc>
                                <w:tcPr>
                                  <w:tcW w:w="124" w:type="dxa"/>
                                  <w:tcBorders/>
                                  <w:shd w:fill="BAD8EA" w:val="clear"/>
                                  <w:vAlign w:val="center"/>
                                </w:tcPr>
                                <w:p>
                                  <w:pPr>
                                    <w:pStyle w:val="TableContents"/>
                                    <w:bidi w:val="0"/>
                                    <w:spacing w:before="0" w:after="283"/>
                                    <w:jc w:val="left"/>
                                    <w:rPr/>
                                  </w:pPr>
                                  <w:r>
                                    <w:rPr/>
                                    <w:t>​</w:t>
                                  </w:r>
                                </w:p>
                              </w:tc>
                              <w:tc>
                                <w:tcPr>
                                  <w:tcW w:w="9012" w:type="dxa"/>
                                  <w:tcBorders/>
                                  <w:shd w:fill="BAD8EA" w:val="clear"/>
                                  <w:vAlign w:val="center"/>
                                </w:tcPr>
                                <w:p>
                                  <w:pPr>
                                    <w:pStyle w:val="TableContents"/>
                                    <w:bidi w:val="0"/>
                                    <w:spacing w:before="0" w:after="0"/>
                                    <w:ind w:left="200" w:right="0" w:hanging="0"/>
                                    <w:jc w:val="left"/>
                                    <w:rPr/>
                                  </w:pPr>
                                  <w:hyperlink w:anchor="tPN1E">
                                    <w:r>
                                      <w:rPr>
                                        <w:rStyle w:val="InternetLink"/>
                                        <w:spacing w:val="-2"/>
                                      </w:rPr>
                                      <w:t xml:space="preserve">PROPOSAL NO. 1 – ELECTION OF DIRECTORS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69" w:type="dxa"/>
                                  <w:tcBorders/>
                                  <w:shd w:fill="BAD8EA" w:val="clear"/>
                                  <w:vAlign w:val="center"/>
                                </w:tcPr>
                                <w:p>
                                  <w:pPr>
                                    <w:pStyle w:val="TableContents"/>
                                    <w:bidi w:val="0"/>
                                    <w:spacing w:before="0" w:after="283"/>
                                    <w:jc w:val="right"/>
                                    <w:rPr/>
                                  </w:pPr>
                                  <w:hyperlink w:anchor="tPN1E">
                                    <w:r>
                                      <w:rPr>
                                        <w:rStyle w:val="InternetLink"/>
                                        <w:spacing w:val="-2"/>
                                      </w:rPr>
                                      <w:t>37</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960"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9012" w:type="dxa"/>
                                  <w:tcBorders/>
                                  <w:shd w:fill="BAD8EA" w:val="clear"/>
                                  <w:vAlign w:val="center"/>
                                </w:tcPr>
                                <w:p>
                                  <w:pPr>
                                    <w:pStyle w:val="TableContents"/>
                                    <w:bidi w:val="0"/>
                                    <w:spacing w:before="0" w:after="0"/>
                                    <w:ind w:left="200" w:right="0" w:hanging="0"/>
                                    <w:jc w:val="left"/>
                                    <w:rPr/>
                                  </w:pPr>
                                  <w:hyperlink w:anchor="tPN2A">
                                    <w:r>
                                      <w:rPr>
                                        <w:rStyle w:val="InternetLink"/>
                                        <w:spacing w:val="-2"/>
                                      </w:rPr>
                                      <w:t xml:space="preserve">PROPOSAL NO. 2 – ADVISORY (NON-BINDING) VOTE ON EXECUTIVE COMPENSATION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69" w:type="dxa"/>
                                  <w:tcBorders/>
                                  <w:shd w:fill="BAD8EA" w:val="clear"/>
                                  <w:vAlign w:val="center"/>
                                </w:tcPr>
                                <w:p>
                                  <w:pPr>
                                    <w:pStyle w:val="TableContents"/>
                                    <w:bidi w:val="0"/>
                                    <w:spacing w:before="0" w:after="283"/>
                                    <w:jc w:val="right"/>
                                    <w:rPr/>
                                  </w:pPr>
                                  <w:hyperlink w:anchor="tPN2A">
                                    <w:r>
                                      <w:rPr>
                                        <w:rStyle w:val="InternetLink"/>
                                        <w:spacing w:val="-2"/>
                                      </w:rPr>
                                      <w:t>43</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960"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9012" w:type="dxa"/>
                                  <w:tcBorders/>
                                  <w:shd w:fill="BAD8EA" w:val="clear"/>
                                  <w:vAlign w:val="center"/>
                                </w:tcPr>
                                <w:p>
                                  <w:pPr>
                                    <w:pStyle w:val="TableContents"/>
                                    <w:bidi w:val="0"/>
                                    <w:spacing w:before="0" w:after="0"/>
                                    <w:ind w:left="200" w:right="0" w:hanging="0"/>
                                    <w:jc w:val="left"/>
                                    <w:rPr/>
                                  </w:pPr>
                                  <w:hyperlink w:anchor="tPN3R">
                                    <w:r>
                                      <w:rPr>
                                        <w:rStyle w:val="InternetLink"/>
                                        <w:spacing w:val="-2"/>
                                      </w:rPr>
                                      <w:t xml:space="preserve">PROPOSAL NO. 3 – RATIFICATION OF THE APPOINTMENT OF KPMG LLP AS THE COMPANY’S INDEPENDENT REGISTERED PUBLIC ACCOUNTING FIRM FOR FISCAL 2026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69" w:type="dxa"/>
                                  <w:tcBorders/>
                                  <w:shd w:fill="BAD8EA" w:val="clear"/>
                                  <w:vAlign w:val="center"/>
                                </w:tcPr>
                                <w:p>
                                  <w:pPr>
                                    <w:pStyle w:val="TableContents"/>
                                    <w:bidi w:val="0"/>
                                    <w:spacing w:before="0" w:after="283"/>
                                    <w:jc w:val="right"/>
                                    <w:rPr/>
                                  </w:pPr>
                                  <w:hyperlink w:anchor="tPN3R">
                                    <w:r>
                                      <w:rPr>
                                        <w:rStyle w:val="InternetLink"/>
                                        <w:spacing w:val="-2"/>
                                      </w:rPr>
                                      <w:t>44</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RWIR">
                                    <w:r>
                                      <w:rPr>
                                        <w:rStyle w:val="InternetLink"/>
                                        <w:spacing w:val="0"/>
                                      </w:rPr>
                                      <w:t xml:space="preserve">Relationship with Independent Registered Public Accounting Firm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RWIR">
                                    <w:r>
                                      <w:rPr>
                                        <w:rStyle w:val="InternetLink"/>
                                        <w:spacing w:val="-2"/>
                                      </w:rPr>
                                      <w:t>44</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IRAF">
                                    <w:r>
                                      <w:rPr>
                                        <w:rStyle w:val="InternetLink"/>
                                        <w:spacing w:val="0"/>
                                      </w:rPr>
                                      <w:t xml:space="preserve">Independent Registered Accounting Firm Fees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IRAF">
                                    <w:r>
                                      <w:rPr>
                                        <w:rStyle w:val="InternetLink"/>
                                        <w:spacing w:val="-2"/>
                                      </w:rPr>
                                      <w:t>45</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PPAP">
                                    <w:r>
                                      <w:rPr>
                                        <w:rStyle w:val="InternetLink"/>
                                        <w:spacing w:val="0"/>
                                      </w:rPr>
                                      <w:t xml:space="preserve">Pre-Approval Policies and Procedures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PPAP">
                                    <w:r>
                                      <w:rPr>
                                        <w:rStyle w:val="InternetLink"/>
                                        <w:spacing w:val="-2"/>
                                      </w:rPr>
                                      <w:t>45</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9012" w:type="dxa"/>
                                  <w:tcBorders/>
                                  <w:shd w:fill="BAD8EA" w:val="clear"/>
                                  <w:vAlign w:val="center"/>
                                </w:tcPr>
                                <w:p>
                                  <w:pPr>
                                    <w:pStyle w:val="TableContents"/>
                                    <w:bidi w:val="0"/>
                                    <w:spacing w:before="0" w:after="0"/>
                                    <w:ind w:left="200" w:right="0" w:hanging="0"/>
                                    <w:jc w:val="left"/>
                                    <w:rPr/>
                                  </w:pPr>
                                  <w:hyperlink w:anchor="tACR">
                                    <w:r>
                                      <w:rPr>
                                        <w:rStyle w:val="InternetLink"/>
                                        <w:spacing w:val="-2"/>
                                      </w:rPr>
                                      <w:t xml:space="preserve">AUDIT COMMITTEE REPORT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69" w:type="dxa"/>
                                  <w:tcBorders/>
                                  <w:shd w:fill="BAD8EA" w:val="clear"/>
                                  <w:vAlign w:val="center"/>
                                </w:tcPr>
                                <w:p>
                                  <w:pPr>
                                    <w:pStyle w:val="TableContents"/>
                                    <w:bidi w:val="0"/>
                                    <w:spacing w:before="0" w:after="283"/>
                                    <w:jc w:val="right"/>
                                    <w:rPr/>
                                  </w:pPr>
                                  <w:hyperlink w:anchor="tACR">
                                    <w:r>
                                      <w:rPr>
                                        <w:rStyle w:val="InternetLink"/>
                                        <w:spacing w:val="-2"/>
                                      </w:rPr>
                                      <w:t>46</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960"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9012" w:type="dxa"/>
                                  <w:tcBorders/>
                                  <w:shd w:fill="BAD8EA" w:val="clear"/>
                                  <w:vAlign w:val="center"/>
                                </w:tcPr>
                                <w:p>
                                  <w:pPr>
                                    <w:pStyle w:val="TableContents"/>
                                    <w:bidi w:val="0"/>
                                    <w:spacing w:before="0" w:after="0"/>
                                    <w:ind w:left="200" w:right="0" w:hanging="0"/>
                                    <w:jc w:val="left"/>
                                    <w:rPr/>
                                  </w:pPr>
                                  <w:hyperlink w:anchor="tEXOF">
                                    <w:r>
                                      <w:rPr>
                                        <w:rStyle w:val="InternetLink"/>
                                        <w:spacing w:val="-2"/>
                                      </w:rPr>
                                      <w:t xml:space="preserve">EXECUTIVE OFFICERS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69" w:type="dxa"/>
                                  <w:tcBorders/>
                                  <w:shd w:fill="BAD8EA" w:val="clear"/>
                                  <w:vAlign w:val="center"/>
                                </w:tcPr>
                                <w:p>
                                  <w:pPr>
                                    <w:pStyle w:val="TableContents"/>
                                    <w:bidi w:val="0"/>
                                    <w:spacing w:before="0" w:after="283"/>
                                    <w:jc w:val="right"/>
                                    <w:rPr/>
                                  </w:pPr>
                                  <w:hyperlink w:anchor="tEXOF">
                                    <w:r>
                                      <w:rPr>
                                        <w:rStyle w:val="InternetLink"/>
                                        <w:spacing w:val="-2"/>
                                      </w:rPr>
                                      <w:t>48</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960"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9012" w:type="dxa"/>
                                  <w:tcBorders/>
                                  <w:shd w:fill="BAD8EA" w:val="clear"/>
                                  <w:vAlign w:val="center"/>
                                </w:tcPr>
                                <w:p>
                                  <w:pPr>
                                    <w:pStyle w:val="TableContents"/>
                                    <w:bidi w:val="0"/>
                                    <w:spacing w:before="0" w:after="0"/>
                                    <w:ind w:left="200" w:right="0" w:hanging="0"/>
                                    <w:jc w:val="left"/>
                                    <w:rPr/>
                                  </w:pPr>
                                  <w:hyperlink w:anchor="tCDAA">
                                    <w:r>
                                      <w:rPr>
                                        <w:rStyle w:val="InternetLink"/>
                                        <w:spacing w:val="-2"/>
                                      </w:rPr>
                                      <w:t xml:space="preserve">COMPENSATION DISCUSSION AND ANALYSIS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69" w:type="dxa"/>
                                  <w:tcBorders/>
                                  <w:shd w:fill="BAD8EA" w:val="clear"/>
                                  <w:vAlign w:val="center"/>
                                </w:tcPr>
                                <w:p>
                                  <w:pPr>
                                    <w:pStyle w:val="TableContents"/>
                                    <w:bidi w:val="0"/>
                                    <w:spacing w:before="0" w:after="283"/>
                                    <w:jc w:val="right"/>
                                    <w:rPr/>
                                  </w:pPr>
                                  <w:hyperlink w:anchor="tCDAA">
                                    <w:r>
                                      <w:rPr>
                                        <w:rStyle w:val="InternetLink"/>
                                        <w:spacing w:val="-2"/>
                                      </w:rPr>
                                      <w:t>53</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EXCO">
                                    <w:r>
                                      <w:rPr>
                                        <w:rStyle w:val="InternetLink"/>
                                        <w:spacing w:val="0"/>
                                      </w:rPr>
                                      <w:t xml:space="preserve">Executive Compensation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EXCO">
                                    <w:r>
                                      <w:rPr>
                                        <w:rStyle w:val="InternetLink"/>
                                        <w:spacing w:val="-2"/>
                                      </w:rPr>
                                      <w:t>53</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EXSU">
                                    <w:r>
                                      <w:rPr>
                                        <w:rStyle w:val="InternetLink"/>
                                        <w:spacing w:val="0"/>
                                      </w:rPr>
                                      <w:t xml:space="preserve">Executive Summary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EXSU">
                                    <w:r>
                                      <w:rPr>
                                        <w:rStyle w:val="InternetLink"/>
                                        <w:spacing w:val="-2"/>
                                      </w:rPr>
                                      <w:t>53</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FAOH">
                                    <w:r>
                                      <w:rPr>
                                        <w:rStyle w:val="InternetLink"/>
                                        <w:spacing w:val="-1"/>
                                      </w:rPr>
                                      <w:t xml:space="preserve">Financial and Operational Highlights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FAOH">
                                    <w:r>
                                      <w:rPr>
                                        <w:rStyle w:val="InternetLink"/>
                                        <w:spacing w:val="-1"/>
                                      </w:rPr>
                                      <w:t>54</w:t>
                                    </w:r>
                                  </w:hyperlink>
                                  <w:hyperlink w:anchor="tFAOH">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2CH">
                                    <w:r>
                                      <w:rPr>
                                        <w:rStyle w:val="InternetLink"/>
                                        <w:spacing w:val="-1"/>
                                      </w:rPr>
                                      <w:t xml:space="preserve">2025 Compensation Highlights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2CH">
                                    <w:r>
                                      <w:rPr>
                                        <w:rStyle w:val="InternetLink"/>
                                        <w:spacing w:val="-1"/>
                                      </w:rPr>
                                      <w:t>56</w:t>
                                    </w:r>
                                  </w:hyperlink>
                                  <w:hyperlink w:anchor="t2CH">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CAGB">
                                    <w:r>
                                      <w:rPr>
                                        <w:rStyle w:val="InternetLink"/>
                                        <w:spacing w:val="-1"/>
                                      </w:rPr>
                                      <w:t xml:space="preserve">Compensation and Governance Best Practices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CAGB">
                                    <w:r>
                                      <w:rPr>
                                        <w:rStyle w:val="InternetLink"/>
                                        <w:spacing w:val="-1"/>
                                      </w:rPr>
                                      <w:t>56</w:t>
                                    </w:r>
                                  </w:hyperlink>
                                  <w:hyperlink w:anchor="tCAG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CPAO">
                                    <w:r>
                                      <w:rPr>
                                        <w:rStyle w:val="InternetLink"/>
                                        <w:spacing w:val="-1"/>
                                      </w:rPr>
                                      <w:t xml:space="preserve">Compensation Philosophy and Objectives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CPAO">
                                    <w:r>
                                      <w:rPr>
                                        <w:rStyle w:val="InternetLink"/>
                                        <w:spacing w:val="-1"/>
                                      </w:rPr>
                                      <w:t>57</w:t>
                                    </w:r>
                                  </w:hyperlink>
                                  <w:hyperlink w:anchor="tCPA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KEOE">
                                    <w:r>
                                      <w:rPr>
                                        <w:rStyle w:val="InternetLink"/>
                                        <w:spacing w:val="-1"/>
                                      </w:rPr>
                                      <w:t xml:space="preserve">Key Elements of Executive Compensation Program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KEOE">
                                    <w:r>
                                      <w:rPr>
                                        <w:rStyle w:val="InternetLink"/>
                                        <w:spacing w:val="-1"/>
                                      </w:rPr>
                                      <w:t>61</w:t>
                                    </w:r>
                                  </w:hyperlink>
                                  <w:hyperlink w:anchor="tKEO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9012" w:type="dxa"/>
                                  <w:tcBorders/>
                                  <w:shd w:fill="BAD8EA" w:val="clear"/>
                                  <w:vAlign w:val="center"/>
                                </w:tcPr>
                                <w:p>
                                  <w:pPr>
                                    <w:pStyle w:val="TableContents"/>
                                    <w:bidi w:val="0"/>
                                    <w:spacing w:before="0" w:after="0"/>
                                    <w:ind w:left="200" w:right="0" w:hanging="0"/>
                                    <w:jc w:val="left"/>
                                    <w:rPr/>
                                  </w:pPr>
                                  <w:hyperlink w:anchor="tCCRO">
                                    <w:r>
                                      <w:rPr>
                                        <w:rStyle w:val="InternetLink"/>
                                        <w:spacing w:val="-2"/>
                                      </w:rPr>
                                      <w:t xml:space="preserve">COMPENSATION COMMITTEE REPORT ON EXECUTIVE COMPENSATION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69" w:type="dxa"/>
                                  <w:tcBorders/>
                                  <w:shd w:fill="BAD8EA" w:val="clear"/>
                                  <w:vAlign w:val="center"/>
                                </w:tcPr>
                                <w:p>
                                  <w:pPr>
                                    <w:pStyle w:val="TableContents"/>
                                    <w:bidi w:val="0"/>
                                    <w:spacing w:before="0" w:after="283"/>
                                    <w:jc w:val="right"/>
                                    <w:rPr/>
                                  </w:pPr>
                                  <w:hyperlink w:anchor="tCCRO">
                                    <w:r>
                                      <w:rPr>
                                        <w:rStyle w:val="InternetLink"/>
                                        <w:spacing w:val="-2"/>
                                      </w:rPr>
                                      <w:t>72</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960"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9012" w:type="dxa"/>
                                  <w:tcBorders/>
                                  <w:shd w:fill="BAD8EA" w:val="clear"/>
                                  <w:vAlign w:val="center"/>
                                </w:tcPr>
                                <w:p>
                                  <w:pPr>
                                    <w:pStyle w:val="TableContents"/>
                                    <w:bidi w:val="0"/>
                                    <w:spacing w:before="0" w:after="0"/>
                                    <w:ind w:left="200" w:right="0" w:hanging="0"/>
                                    <w:jc w:val="left"/>
                                    <w:rPr/>
                                  </w:pPr>
                                  <w:hyperlink w:anchor="tEXCO1">
                                    <w:r>
                                      <w:rPr>
                                        <w:rStyle w:val="InternetLink"/>
                                        <w:spacing w:val="-2"/>
                                      </w:rPr>
                                      <w:t xml:space="preserve">EXECUTIVE COMPENSATION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69" w:type="dxa"/>
                                  <w:tcBorders/>
                                  <w:shd w:fill="BAD8EA" w:val="clear"/>
                                  <w:vAlign w:val="center"/>
                                </w:tcPr>
                                <w:p>
                                  <w:pPr>
                                    <w:pStyle w:val="TableContents"/>
                                    <w:bidi w:val="0"/>
                                    <w:spacing w:before="0" w:after="283"/>
                                    <w:jc w:val="right"/>
                                    <w:rPr/>
                                  </w:pPr>
                                  <w:hyperlink w:anchor="tEXCO1">
                                    <w:r>
                                      <w:rPr>
                                        <w:rStyle w:val="InternetLink"/>
                                        <w:spacing w:val="-2"/>
                                      </w:rPr>
                                      <w:t>73</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SCT">
                                    <w:r>
                                      <w:rPr>
                                        <w:rStyle w:val="InternetLink"/>
                                        <w:spacing w:val="0"/>
                                      </w:rPr>
                                      <w:t xml:space="preserve">Summary Compensation Table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SCT">
                                    <w:r>
                                      <w:rPr>
                                        <w:rStyle w:val="InternetLink"/>
                                        <w:spacing w:val="-2"/>
                                      </w:rPr>
                                      <w:t>73</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2GOP">
                                    <w:r>
                                      <w:rPr>
                                        <w:rStyle w:val="InternetLink"/>
                                        <w:spacing w:val="0"/>
                                      </w:rPr>
                                      <w:t xml:space="preserve">2025 Grants of Plan-Based Awards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2GOP">
                                    <w:r>
                                      <w:rPr>
                                        <w:rStyle w:val="InternetLink"/>
                                        <w:spacing w:val="-2"/>
                                      </w:rPr>
                                      <w:t>75</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EAAA">
                                    <w:r>
                                      <w:rPr>
                                        <w:rStyle w:val="InternetLink"/>
                                        <w:spacing w:val="0"/>
                                      </w:rPr>
                                      <w:t xml:space="preserve">Employment Arrangements with the NEOs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EAAA">
                                    <w:r>
                                      <w:rPr>
                                        <w:rStyle w:val="InternetLink"/>
                                        <w:spacing w:val="-2"/>
                                      </w:rPr>
                                      <w:t>76</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DAOR">
                                    <w:r>
                                      <w:rPr>
                                        <w:rStyle w:val="InternetLink"/>
                                        <w:spacing w:val="-1"/>
                                      </w:rPr>
                                      <w:t xml:space="preserve">David O’Reilly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DAOR">
                                    <w:r>
                                      <w:rPr>
                                        <w:rStyle w:val="InternetLink"/>
                                        <w:spacing w:val="-1"/>
                                      </w:rPr>
                                      <w:t>76</w:t>
                                    </w:r>
                                  </w:hyperlink>
                                  <w:hyperlink w:anchor="tDAO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CAO">
                                    <w:r>
                                      <w:rPr>
                                        <w:rStyle w:val="InternetLink"/>
                                        <w:spacing w:val="-1"/>
                                      </w:rPr>
                                      <w:t xml:space="preserve">Carlos A. Olea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CAO">
                                    <w:r>
                                      <w:rPr>
                                        <w:rStyle w:val="InternetLink"/>
                                        <w:spacing w:val="-1"/>
                                      </w:rPr>
                                      <w:t>77</w:t>
                                    </w:r>
                                  </w:hyperlink>
                                  <w:hyperlink w:anchor="tCA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JOVA">
                                    <w:r>
                                      <w:rPr>
                                        <w:rStyle w:val="InternetLink"/>
                                        <w:spacing w:val="-1"/>
                                      </w:rPr>
                                      <w:t xml:space="preserve">Joseph Valane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JOVA">
                                    <w:r>
                                      <w:rPr>
                                        <w:rStyle w:val="InternetLink"/>
                                        <w:spacing w:val="-1"/>
                                      </w:rPr>
                                      <w:t>79</w:t>
                                    </w:r>
                                  </w:hyperlink>
                                  <w:hyperlink w:anchor="tJOV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DOJO">
                                    <w:r>
                                      <w:rPr>
                                        <w:rStyle w:val="InternetLink"/>
                                        <w:spacing w:val="-1"/>
                                      </w:rPr>
                                      <w:t>Doug Johnstone</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DOJO">
                                    <w:r>
                                      <w:rPr>
                                        <w:rStyle w:val="InternetLink"/>
                                        <w:spacing w:val="-1"/>
                                      </w:rPr>
                                      <w:t>81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ANDA">
                                    <w:r>
                                      <w:rPr>
                                        <w:rStyle w:val="InternetLink"/>
                                        <w:spacing w:val="-1"/>
                                      </w:rPr>
                                      <w:t xml:space="preserve">Andrew Davis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ANDA">
                                    <w:r>
                                      <w:rPr>
                                        <w:rStyle w:val="InternetLink"/>
                                        <w:spacing w:val="-1"/>
                                      </w:rPr>
                                      <w:t>82</w:t>
                                    </w:r>
                                  </w:hyperlink>
                                  <w:hyperlink w:anchor="tAND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LJC">
                                    <w:r>
                                      <w:rPr>
                                        <w:rStyle w:val="InternetLink"/>
                                        <w:spacing w:val="-1"/>
                                      </w:rPr>
                                      <w:t xml:space="preserve">L. Jay Cross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LJC">
                                    <w:r>
                                      <w:rPr>
                                        <w:rStyle w:val="InternetLink"/>
                                        <w:spacing w:val="-1"/>
                                      </w:rPr>
                                      <w:t>82</w:t>
                                    </w:r>
                                  </w:hyperlink>
                                  <w:hyperlink w:anchor="tLJ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EAD">
                                    <w:r>
                                      <w:rPr>
                                        <w:rStyle w:val="InternetLink"/>
                                        <w:spacing w:val="-1"/>
                                      </w:rPr>
                                      <w:t xml:space="preserve">Employment Agreements – Definitions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EAD">
                                    <w:r>
                                      <w:rPr>
                                        <w:rStyle w:val="InternetLink"/>
                                        <w:spacing w:val="-1"/>
                                      </w:rPr>
                                      <w:t>83</w:t>
                                    </w:r>
                                  </w:hyperlink>
                                  <w:hyperlink w:anchor="tEA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OEAA">
                                    <w:r>
                                      <w:rPr>
                                        <w:rStyle w:val="InternetLink"/>
                                        <w:spacing w:val="0"/>
                                      </w:rPr>
                                      <w:t xml:space="preserve">Outstanding Equity Awards at Fiscal Year-End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OEAA">
                                    <w:r>
                                      <w:rPr>
                                        <w:rStyle w:val="InternetLink"/>
                                        <w:spacing w:val="-2"/>
                                      </w:rPr>
                                      <w:t>84</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2OEA">
                                    <w:r>
                                      <w:rPr>
                                        <w:rStyle w:val="InternetLink"/>
                                        <w:spacing w:val="0"/>
                                      </w:rPr>
                                      <w:t xml:space="preserve">2025 Option Exercises and Stock Vested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2OEA">
                                    <w:r>
                                      <w:rPr>
                                        <w:rStyle w:val="InternetLink"/>
                                        <w:spacing w:val="-2"/>
                                      </w:rPr>
                                      <w:t>86</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NDC">
                                    <w:r>
                                      <w:rPr>
                                        <w:rStyle w:val="InternetLink"/>
                                        <w:spacing w:val="0"/>
                                      </w:rPr>
                                      <w:t xml:space="preserve">Nonqualified Deferred Compensation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NDC">
                                    <w:r>
                                      <w:rPr>
                                        <w:rStyle w:val="InternetLink"/>
                                        <w:spacing w:val="-2"/>
                                      </w:rPr>
                                      <w:t>86</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PPUT">
                                    <w:r>
                                      <w:rPr>
                                        <w:rStyle w:val="InternetLink"/>
                                        <w:spacing w:val="0"/>
                                      </w:rPr>
                                      <w:t xml:space="preserve">Potential Payments Upon Termination or Change in </w:t>
                                      <w:br/>
                                      <w:t xml:space="preserve">Control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PPUT">
                                    <w:r>
                                      <w:rPr>
                                        <w:rStyle w:val="InternetLink"/>
                                        <w:spacing w:val="-2"/>
                                      </w:rPr>
                                      <w:t>86</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PRD">
                                    <w:r>
                                      <w:rPr>
                                        <w:rStyle w:val="InternetLink"/>
                                        <w:spacing w:val="0"/>
                                      </w:rPr>
                                      <w:t xml:space="preserve">Pay Ratio Disclosure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PRD">
                                    <w:r>
                                      <w:rPr>
                                        <w:rStyle w:val="InternetLink"/>
                                        <w:spacing w:val="-2"/>
                                      </w:rPr>
                                      <w:t>88</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PVP">
                                    <w:r>
                                      <w:rPr>
                                        <w:rStyle w:val="InternetLink"/>
                                        <w:spacing w:val="0"/>
                                      </w:rPr>
                                      <w:t xml:space="preserve">Pay vs. Performance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PVP">
                                    <w:r>
                                      <w:rPr>
                                        <w:rStyle w:val="InternetLink"/>
                                        <w:spacing w:val="-2"/>
                                      </w:rPr>
                                      <w:t>88</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960"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9012" w:type="dxa"/>
                                  <w:tcBorders/>
                                  <w:shd w:fill="BAD8EA" w:val="clear"/>
                                  <w:vAlign w:val="center"/>
                                </w:tcPr>
                                <w:p>
                                  <w:pPr>
                                    <w:pStyle w:val="TableContents"/>
                                    <w:bidi w:val="0"/>
                                    <w:spacing w:before="0" w:after="0"/>
                                    <w:ind w:left="200" w:right="0" w:hanging="0"/>
                                    <w:jc w:val="left"/>
                                    <w:rPr/>
                                  </w:pPr>
                                  <w:hyperlink w:anchor="tSPFT">
                                    <w:r>
                                      <w:rPr>
                                        <w:rStyle w:val="InternetLink"/>
                                        <w:spacing w:val="-2"/>
                                      </w:rPr>
                                      <w:t xml:space="preserve">STOCKHOLDER PROPOSALS FOR 2027 ANNUAL MEETING OF STOCKHOLDERS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69" w:type="dxa"/>
                                  <w:tcBorders/>
                                  <w:shd w:fill="BAD8EA" w:val="clear"/>
                                  <w:vAlign w:val="center"/>
                                </w:tcPr>
                                <w:p>
                                  <w:pPr>
                                    <w:pStyle w:val="TableContents"/>
                                    <w:bidi w:val="0"/>
                                    <w:spacing w:before="0" w:after="283"/>
                                    <w:jc w:val="right"/>
                                    <w:rPr/>
                                  </w:pPr>
                                  <w:hyperlink w:anchor="tSPFT">
                                    <w:r>
                                      <w:rPr>
                                        <w:rStyle w:val="InternetLink"/>
                                        <w:spacing w:val="-2"/>
                                      </w:rPr>
                                      <w:t>92</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960"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9012" w:type="dxa"/>
                                  <w:tcBorders/>
                                  <w:shd w:fill="BAD8EA" w:val="clear"/>
                                  <w:vAlign w:val="center"/>
                                </w:tcPr>
                                <w:p>
                                  <w:pPr>
                                    <w:pStyle w:val="TableContents"/>
                                    <w:bidi w:val="0"/>
                                    <w:spacing w:before="0" w:after="0"/>
                                    <w:ind w:left="200" w:right="0" w:hanging="0"/>
                                    <w:jc w:val="left"/>
                                    <w:rPr/>
                                  </w:pPr>
                                  <w:hyperlink w:anchor="tOTMA">
                                    <w:r>
                                      <w:rPr>
                                        <w:rStyle w:val="InternetLink"/>
                                        <w:spacing w:val="-2"/>
                                      </w:rPr>
                                      <w:t xml:space="preserve">OTHER MATTERS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69" w:type="dxa"/>
                                  <w:tcBorders/>
                                  <w:shd w:fill="BAD8EA" w:val="clear"/>
                                  <w:vAlign w:val="center"/>
                                </w:tcPr>
                                <w:p>
                                  <w:pPr>
                                    <w:pStyle w:val="TableContents"/>
                                    <w:bidi w:val="0"/>
                                    <w:spacing w:before="0" w:after="283"/>
                                    <w:jc w:val="right"/>
                                    <w:rPr/>
                                  </w:pPr>
                                  <w:hyperlink w:anchor="tOTMA">
                                    <w:r>
                                      <w:rPr>
                                        <w:rStyle w:val="InternetLink"/>
                                        <w:spacing w:val="-2"/>
                                      </w:rPr>
                                      <w:t>92</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960"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9012" w:type="dxa"/>
                                  <w:tcBorders/>
                                  <w:shd w:fill="BAD8EA" w:val="clear"/>
                                  <w:vAlign w:val="center"/>
                                </w:tcPr>
                                <w:p>
                                  <w:pPr>
                                    <w:pStyle w:val="TableContents"/>
                                    <w:bidi w:val="0"/>
                                    <w:spacing w:before="0" w:after="0"/>
                                    <w:ind w:left="160" w:right="0" w:hanging="0"/>
                                    <w:jc w:val="left"/>
                                    <w:rPr/>
                                  </w:pPr>
                                  <w:hyperlink w:anchor="tAABU">
                                    <w:r>
                                      <w:rPr>
                                        <w:rStyle w:val="InternetLink"/>
                                      </w:rPr>
                                      <w:t>ANNEX A</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69" w:type="dxa"/>
                                  <w:tcBorders/>
                                  <w:shd w:fill="BAD8EA" w:val="clear"/>
                                  <w:vAlign w:val="center"/>
                                </w:tcPr>
                                <w:p>
                                  <w:pPr>
                                    <w:pStyle w:val="TableContents"/>
                                    <w:bidi w:val="0"/>
                                    <w:spacing w:before="0" w:after="283"/>
                                    <w:jc w:val="right"/>
                                    <w:rPr/>
                                  </w:pPr>
                                  <w:r>
                                    <w:rPr/>
                                    <w:t>​</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1pt;height:785.2pt;mso-wrap-distance-left:24pt;mso-wrap-distance-right:0pt;mso-wrap-distance-top:0pt;mso-wrap-distance-bottom:0pt;margin-top:0pt;mso-position-vertical:top;mso-position-vertical-relative:text;margin-left:24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9012"/>
                        <w:gridCol w:w="109"/>
                        <w:gridCol w:w="109"/>
                        <w:gridCol w:w="109"/>
                        <w:gridCol w:w="109"/>
                        <w:gridCol w:w="369"/>
                        <w:gridCol w:w="109"/>
                        <w:gridCol w:w="155"/>
                      </w:tblGrid>
                      <w:tr>
                        <w:trPr/>
                        <w:tc>
                          <w:tcPr>
                            <w:tcW w:w="124" w:type="dxa"/>
                            <w:tcBorders/>
                            <w:shd w:fill="BAD8EA" w:val="clear"/>
                            <w:vAlign w:val="center"/>
                          </w:tcPr>
                          <w:p>
                            <w:pPr>
                              <w:pStyle w:val="TableContents"/>
                              <w:bidi w:val="0"/>
                              <w:spacing w:before="0" w:after="283"/>
                              <w:jc w:val="left"/>
                              <w:rPr/>
                            </w:pPr>
                            <w:r>
                              <w:rPr/>
                              <w:t>​</w:t>
                            </w:r>
                          </w:p>
                        </w:tc>
                        <w:tc>
                          <w:tcPr>
                            <w:tcW w:w="9012" w:type="dxa"/>
                            <w:tcBorders/>
                            <w:shd w:fill="BAD8EA" w:val="clear"/>
                            <w:vAlign w:val="center"/>
                          </w:tcPr>
                          <w:p>
                            <w:pPr>
                              <w:pStyle w:val="TableContents"/>
                              <w:bidi w:val="0"/>
                              <w:spacing w:before="0" w:after="0"/>
                              <w:ind w:left="200" w:right="0" w:hanging="0"/>
                              <w:jc w:val="left"/>
                              <w:rPr/>
                            </w:pPr>
                            <w:hyperlink w:anchor="tPN1E">
                              <w:r>
                                <w:rPr>
                                  <w:rStyle w:val="InternetLink"/>
                                  <w:spacing w:val="-2"/>
                                </w:rPr>
                                <w:t xml:space="preserve">PROPOSAL NO. 1 – ELECTION OF DIRECTORS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69" w:type="dxa"/>
                            <w:tcBorders/>
                            <w:shd w:fill="BAD8EA" w:val="clear"/>
                            <w:vAlign w:val="center"/>
                          </w:tcPr>
                          <w:p>
                            <w:pPr>
                              <w:pStyle w:val="TableContents"/>
                              <w:bidi w:val="0"/>
                              <w:spacing w:before="0" w:after="283"/>
                              <w:jc w:val="right"/>
                              <w:rPr/>
                            </w:pPr>
                            <w:hyperlink w:anchor="tPN1E">
                              <w:r>
                                <w:rPr>
                                  <w:rStyle w:val="InternetLink"/>
                                  <w:spacing w:val="-2"/>
                                </w:rPr>
                                <w:t>37</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960"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9012" w:type="dxa"/>
                            <w:tcBorders/>
                            <w:shd w:fill="BAD8EA" w:val="clear"/>
                            <w:vAlign w:val="center"/>
                          </w:tcPr>
                          <w:p>
                            <w:pPr>
                              <w:pStyle w:val="TableContents"/>
                              <w:bidi w:val="0"/>
                              <w:spacing w:before="0" w:after="0"/>
                              <w:ind w:left="200" w:right="0" w:hanging="0"/>
                              <w:jc w:val="left"/>
                              <w:rPr/>
                            </w:pPr>
                            <w:hyperlink w:anchor="tPN2A">
                              <w:r>
                                <w:rPr>
                                  <w:rStyle w:val="InternetLink"/>
                                  <w:spacing w:val="-2"/>
                                </w:rPr>
                                <w:t xml:space="preserve">PROPOSAL NO. 2 – ADVISORY (NON-BINDING) VOTE ON EXECUTIVE COMPENSATION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69" w:type="dxa"/>
                            <w:tcBorders/>
                            <w:shd w:fill="BAD8EA" w:val="clear"/>
                            <w:vAlign w:val="center"/>
                          </w:tcPr>
                          <w:p>
                            <w:pPr>
                              <w:pStyle w:val="TableContents"/>
                              <w:bidi w:val="0"/>
                              <w:spacing w:before="0" w:after="283"/>
                              <w:jc w:val="right"/>
                              <w:rPr/>
                            </w:pPr>
                            <w:hyperlink w:anchor="tPN2A">
                              <w:r>
                                <w:rPr>
                                  <w:rStyle w:val="InternetLink"/>
                                  <w:spacing w:val="-2"/>
                                </w:rPr>
                                <w:t>43</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960"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9012" w:type="dxa"/>
                            <w:tcBorders/>
                            <w:shd w:fill="BAD8EA" w:val="clear"/>
                            <w:vAlign w:val="center"/>
                          </w:tcPr>
                          <w:p>
                            <w:pPr>
                              <w:pStyle w:val="TableContents"/>
                              <w:bidi w:val="0"/>
                              <w:spacing w:before="0" w:after="0"/>
                              <w:ind w:left="200" w:right="0" w:hanging="0"/>
                              <w:jc w:val="left"/>
                              <w:rPr/>
                            </w:pPr>
                            <w:hyperlink w:anchor="tPN3R">
                              <w:r>
                                <w:rPr>
                                  <w:rStyle w:val="InternetLink"/>
                                  <w:spacing w:val="-2"/>
                                </w:rPr>
                                <w:t xml:space="preserve">PROPOSAL NO. 3 – RATIFICATION OF THE APPOINTMENT OF KPMG LLP AS THE COMPANY’S INDEPENDENT REGISTERED PUBLIC ACCOUNTING FIRM FOR FISCAL 2026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69" w:type="dxa"/>
                            <w:tcBorders/>
                            <w:shd w:fill="BAD8EA" w:val="clear"/>
                            <w:vAlign w:val="center"/>
                          </w:tcPr>
                          <w:p>
                            <w:pPr>
                              <w:pStyle w:val="TableContents"/>
                              <w:bidi w:val="0"/>
                              <w:spacing w:before="0" w:after="283"/>
                              <w:jc w:val="right"/>
                              <w:rPr/>
                            </w:pPr>
                            <w:hyperlink w:anchor="tPN3R">
                              <w:r>
                                <w:rPr>
                                  <w:rStyle w:val="InternetLink"/>
                                  <w:spacing w:val="-2"/>
                                </w:rPr>
                                <w:t>44</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RWIR">
                              <w:r>
                                <w:rPr>
                                  <w:rStyle w:val="InternetLink"/>
                                  <w:spacing w:val="0"/>
                                </w:rPr>
                                <w:t xml:space="preserve">Relationship with Independent Registered Public Accounting Firm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RWIR">
                              <w:r>
                                <w:rPr>
                                  <w:rStyle w:val="InternetLink"/>
                                  <w:spacing w:val="-2"/>
                                </w:rPr>
                                <w:t>44</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IRAF">
                              <w:r>
                                <w:rPr>
                                  <w:rStyle w:val="InternetLink"/>
                                  <w:spacing w:val="0"/>
                                </w:rPr>
                                <w:t xml:space="preserve">Independent Registered Accounting Firm Fees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IRAF">
                              <w:r>
                                <w:rPr>
                                  <w:rStyle w:val="InternetLink"/>
                                  <w:spacing w:val="-2"/>
                                </w:rPr>
                                <w:t>45</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PPAP">
                              <w:r>
                                <w:rPr>
                                  <w:rStyle w:val="InternetLink"/>
                                  <w:spacing w:val="0"/>
                                </w:rPr>
                                <w:t xml:space="preserve">Pre-Approval Policies and Procedures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PPAP">
                              <w:r>
                                <w:rPr>
                                  <w:rStyle w:val="InternetLink"/>
                                  <w:spacing w:val="-2"/>
                                </w:rPr>
                                <w:t>45</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9012" w:type="dxa"/>
                            <w:tcBorders/>
                            <w:shd w:fill="BAD8EA" w:val="clear"/>
                            <w:vAlign w:val="center"/>
                          </w:tcPr>
                          <w:p>
                            <w:pPr>
                              <w:pStyle w:val="TableContents"/>
                              <w:bidi w:val="0"/>
                              <w:spacing w:before="0" w:after="0"/>
                              <w:ind w:left="200" w:right="0" w:hanging="0"/>
                              <w:jc w:val="left"/>
                              <w:rPr/>
                            </w:pPr>
                            <w:hyperlink w:anchor="tACR">
                              <w:r>
                                <w:rPr>
                                  <w:rStyle w:val="InternetLink"/>
                                  <w:spacing w:val="-2"/>
                                </w:rPr>
                                <w:t xml:space="preserve">AUDIT COMMITTEE REPORT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69" w:type="dxa"/>
                            <w:tcBorders/>
                            <w:shd w:fill="BAD8EA" w:val="clear"/>
                            <w:vAlign w:val="center"/>
                          </w:tcPr>
                          <w:p>
                            <w:pPr>
                              <w:pStyle w:val="TableContents"/>
                              <w:bidi w:val="0"/>
                              <w:spacing w:before="0" w:after="283"/>
                              <w:jc w:val="right"/>
                              <w:rPr/>
                            </w:pPr>
                            <w:hyperlink w:anchor="tACR">
                              <w:r>
                                <w:rPr>
                                  <w:rStyle w:val="InternetLink"/>
                                  <w:spacing w:val="-2"/>
                                </w:rPr>
                                <w:t>46</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960"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9012" w:type="dxa"/>
                            <w:tcBorders/>
                            <w:shd w:fill="BAD8EA" w:val="clear"/>
                            <w:vAlign w:val="center"/>
                          </w:tcPr>
                          <w:p>
                            <w:pPr>
                              <w:pStyle w:val="TableContents"/>
                              <w:bidi w:val="0"/>
                              <w:spacing w:before="0" w:after="0"/>
                              <w:ind w:left="200" w:right="0" w:hanging="0"/>
                              <w:jc w:val="left"/>
                              <w:rPr/>
                            </w:pPr>
                            <w:hyperlink w:anchor="tEXOF">
                              <w:r>
                                <w:rPr>
                                  <w:rStyle w:val="InternetLink"/>
                                  <w:spacing w:val="-2"/>
                                </w:rPr>
                                <w:t xml:space="preserve">EXECUTIVE OFFICERS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69" w:type="dxa"/>
                            <w:tcBorders/>
                            <w:shd w:fill="BAD8EA" w:val="clear"/>
                            <w:vAlign w:val="center"/>
                          </w:tcPr>
                          <w:p>
                            <w:pPr>
                              <w:pStyle w:val="TableContents"/>
                              <w:bidi w:val="0"/>
                              <w:spacing w:before="0" w:after="283"/>
                              <w:jc w:val="right"/>
                              <w:rPr/>
                            </w:pPr>
                            <w:hyperlink w:anchor="tEXOF">
                              <w:r>
                                <w:rPr>
                                  <w:rStyle w:val="InternetLink"/>
                                  <w:spacing w:val="-2"/>
                                </w:rPr>
                                <w:t>48</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960"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9012" w:type="dxa"/>
                            <w:tcBorders/>
                            <w:shd w:fill="BAD8EA" w:val="clear"/>
                            <w:vAlign w:val="center"/>
                          </w:tcPr>
                          <w:p>
                            <w:pPr>
                              <w:pStyle w:val="TableContents"/>
                              <w:bidi w:val="0"/>
                              <w:spacing w:before="0" w:after="0"/>
                              <w:ind w:left="200" w:right="0" w:hanging="0"/>
                              <w:jc w:val="left"/>
                              <w:rPr/>
                            </w:pPr>
                            <w:hyperlink w:anchor="tCDAA">
                              <w:r>
                                <w:rPr>
                                  <w:rStyle w:val="InternetLink"/>
                                  <w:spacing w:val="-2"/>
                                </w:rPr>
                                <w:t xml:space="preserve">COMPENSATION DISCUSSION AND ANALYSIS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69" w:type="dxa"/>
                            <w:tcBorders/>
                            <w:shd w:fill="BAD8EA" w:val="clear"/>
                            <w:vAlign w:val="center"/>
                          </w:tcPr>
                          <w:p>
                            <w:pPr>
                              <w:pStyle w:val="TableContents"/>
                              <w:bidi w:val="0"/>
                              <w:spacing w:before="0" w:after="283"/>
                              <w:jc w:val="right"/>
                              <w:rPr/>
                            </w:pPr>
                            <w:hyperlink w:anchor="tCDAA">
                              <w:r>
                                <w:rPr>
                                  <w:rStyle w:val="InternetLink"/>
                                  <w:spacing w:val="-2"/>
                                </w:rPr>
                                <w:t>53</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EXCO">
                              <w:r>
                                <w:rPr>
                                  <w:rStyle w:val="InternetLink"/>
                                  <w:spacing w:val="0"/>
                                </w:rPr>
                                <w:t xml:space="preserve">Executive Compensation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EXCO">
                              <w:r>
                                <w:rPr>
                                  <w:rStyle w:val="InternetLink"/>
                                  <w:spacing w:val="-2"/>
                                </w:rPr>
                                <w:t>53</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EXSU">
                              <w:r>
                                <w:rPr>
                                  <w:rStyle w:val="InternetLink"/>
                                  <w:spacing w:val="0"/>
                                </w:rPr>
                                <w:t xml:space="preserve">Executive Summary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EXSU">
                              <w:r>
                                <w:rPr>
                                  <w:rStyle w:val="InternetLink"/>
                                  <w:spacing w:val="-2"/>
                                </w:rPr>
                                <w:t>53</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FAOH">
                              <w:r>
                                <w:rPr>
                                  <w:rStyle w:val="InternetLink"/>
                                  <w:spacing w:val="-1"/>
                                </w:rPr>
                                <w:t xml:space="preserve">Financial and Operational Highlights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FAOH">
                              <w:r>
                                <w:rPr>
                                  <w:rStyle w:val="InternetLink"/>
                                  <w:spacing w:val="-1"/>
                                </w:rPr>
                                <w:t>54</w:t>
                              </w:r>
                            </w:hyperlink>
                            <w:hyperlink w:anchor="tFAOH">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2CH">
                              <w:r>
                                <w:rPr>
                                  <w:rStyle w:val="InternetLink"/>
                                  <w:spacing w:val="-1"/>
                                </w:rPr>
                                <w:t xml:space="preserve">2025 Compensation Highlights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2CH">
                              <w:r>
                                <w:rPr>
                                  <w:rStyle w:val="InternetLink"/>
                                  <w:spacing w:val="-1"/>
                                </w:rPr>
                                <w:t>56</w:t>
                              </w:r>
                            </w:hyperlink>
                            <w:hyperlink w:anchor="t2CH">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CAGB">
                              <w:r>
                                <w:rPr>
                                  <w:rStyle w:val="InternetLink"/>
                                  <w:spacing w:val="-1"/>
                                </w:rPr>
                                <w:t xml:space="preserve">Compensation and Governance Best Practices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CAGB">
                              <w:r>
                                <w:rPr>
                                  <w:rStyle w:val="InternetLink"/>
                                  <w:spacing w:val="-1"/>
                                </w:rPr>
                                <w:t>56</w:t>
                              </w:r>
                            </w:hyperlink>
                            <w:hyperlink w:anchor="tCAG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CPAO">
                              <w:r>
                                <w:rPr>
                                  <w:rStyle w:val="InternetLink"/>
                                  <w:spacing w:val="-1"/>
                                </w:rPr>
                                <w:t xml:space="preserve">Compensation Philosophy and Objectives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CPAO">
                              <w:r>
                                <w:rPr>
                                  <w:rStyle w:val="InternetLink"/>
                                  <w:spacing w:val="-1"/>
                                </w:rPr>
                                <w:t>57</w:t>
                              </w:r>
                            </w:hyperlink>
                            <w:hyperlink w:anchor="tCPA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KEOE">
                              <w:r>
                                <w:rPr>
                                  <w:rStyle w:val="InternetLink"/>
                                  <w:spacing w:val="-1"/>
                                </w:rPr>
                                <w:t xml:space="preserve">Key Elements of Executive Compensation Program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KEOE">
                              <w:r>
                                <w:rPr>
                                  <w:rStyle w:val="InternetLink"/>
                                  <w:spacing w:val="-1"/>
                                </w:rPr>
                                <w:t>61</w:t>
                              </w:r>
                            </w:hyperlink>
                            <w:hyperlink w:anchor="tKEO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9012" w:type="dxa"/>
                            <w:tcBorders/>
                            <w:shd w:fill="BAD8EA" w:val="clear"/>
                            <w:vAlign w:val="center"/>
                          </w:tcPr>
                          <w:p>
                            <w:pPr>
                              <w:pStyle w:val="TableContents"/>
                              <w:bidi w:val="0"/>
                              <w:spacing w:before="0" w:after="0"/>
                              <w:ind w:left="200" w:right="0" w:hanging="0"/>
                              <w:jc w:val="left"/>
                              <w:rPr/>
                            </w:pPr>
                            <w:hyperlink w:anchor="tCCRO">
                              <w:r>
                                <w:rPr>
                                  <w:rStyle w:val="InternetLink"/>
                                  <w:spacing w:val="-2"/>
                                </w:rPr>
                                <w:t xml:space="preserve">COMPENSATION COMMITTEE REPORT ON EXECUTIVE COMPENSATION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69" w:type="dxa"/>
                            <w:tcBorders/>
                            <w:shd w:fill="BAD8EA" w:val="clear"/>
                            <w:vAlign w:val="center"/>
                          </w:tcPr>
                          <w:p>
                            <w:pPr>
                              <w:pStyle w:val="TableContents"/>
                              <w:bidi w:val="0"/>
                              <w:spacing w:before="0" w:after="283"/>
                              <w:jc w:val="right"/>
                              <w:rPr/>
                            </w:pPr>
                            <w:hyperlink w:anchor="tCCRO">
                              <w:r>
                                <w:rPr>
                                  <w:rStyle w:val="InternetLink"/>
                                  <w:spacing w:val="-2"/>
                                </w:rPr>
                                <w:t>72</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960"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9012" w:type="dxa"/>
                            <w:tcBorders/>
                            <w:shd w:fill="BAD8EA" w:val="clear"/>
                            <w:vAlign w:val="center"/>
                          </w:tcPr>
                          <w:p>
                            <w:pPr>
                              <w:pStyle w:val="TableContents"/>
                              <w:bidi w:val="0"/>
                              <w:spacing w:before="0" w:after="0"/>
                              <w:ind w:left="200" w:right="0" w:hanging="0"/>
                              <w:jc w:val="left"/>
                              <w:rPr/>
                            </w:pPr>
                            <w:hyperlink w:anchor="tEXCO1">
                              <w:r>
                                <w:rPr>
                                  <w:rStyle w:val="InternetLink"/>
                                  <w:spacing w:val="-2"/>
                                </w:rPr>
                                <w:t xml:space="preserve">EXECUTIVE COMPENSATION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69" w:type="dxa"/>
                            <w:tcBorders/>
                            <w:shd w:fill="BAD8EA" w:val="clear"/>
                            <w:vAlign w:val="center"/>
                          </w:tcPr>
                          <w:p>
                            <w:pPr>
                              <w:pStyle w:val="TableContents"/>
                              <w:bidi w:val="0"/>
                              <w:spacing w:before="0" w:after="283"/>
                              <w:jc w:val="right"/>
                              <w:rPr/>
                            </w:pPr>
                            <w:hyperlink w:anchor="tEXCO1">
                              <w:r>
                                <w:rPr>
                                  <w:rStyle w:val="InternetLink"/>
                                  <w:spacing w:val="-2"/>
                                </w:rPr>
                                <w:t>73</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SCT">
                              <w:r>
                                <w:rPr>
                                  <w:rStyle w:val="InternetLink"/>
                                  <w:spacing w:val="0"/>
                                </w:rPr>
                                <w:t xml:space="preserve">Summary Compensation Table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SCT">
                              <w:r>
                                <w:rPr>
                                  <w:rStyle w:val="InternetLink"/>
                                  <w:spacing w:val="-2"/>
                                </w:rPr>
                                <w:t>73</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2GOP">
                              <w:r>
                                <w:rPr>
                                  <w:rStyle w:val="InternetLink"/>
                                  <w:spacing w:val="0"/>
                                </w:rPr>
                                <w:t xml:space="preserve">2025 Grants of Plan-Based Awards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2GOP">
                              <w:r>
                                <w:rPr>
                                  <w:rStyle w:val="InternetLink"/>
                                  <w:spacing w:val="-2"/>
                                </w:rPr>
                                <w:t>75</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EAAA">
                              <w:r>
                                <w:rPr>
                                  <w:rStyle w:val="InternetLink"/>
                                  <w:spacing w:val="0"/>
                                </w:rPr>
                                <w:t xml:space="preserve">Employment Arrangements with the NEOs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EAAA">
                              <w:r>
                                <w:rPr>
                                  <w:rStyle w:val="InternetLink"/>
                                  <w:spacing w:val="-2"/>
                                </w:rPr>
                                <w:t>76</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DAOR">
                              <w:r>
                                <w:rPr>
                                  <w:rStyle w:val="InternetLink"/>
                                  <w:spacing w:val="-1"/>
                                </w:rPr>
                                <w:t xml:space="preserve">David O’Reilly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DAOR">
                              <w:r>
                                <w:rPr>
                                  <w:rStyle w:val="InternetLink"/>
                                  <w:spacing w:val="-1"/>
                                </w:rPr>
                                <w:t>76</w:t>
                              </w:r>
                            </w:hyperlink>
                            <w:hyperlink w:anchor="tDAO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CAO">
                              <w:r>
                                <w:rPr>
                                  <w:rStyle w:val="InternetLink"/>
                                  <w:spacing w:val="-1"/>
                                </w:rPr>
                                <w:t xml:space="preserve">Carlos A. Olea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CAO">
                              <w:r>
                                <w:rPr>
                                  <w:rStyle w:val="InternetLink"/>
                                  <w:spacing w:val="-1"/>
                                </w:rPr>
                                <w:t>77</w:t>
                              </w:r>
                            </w:hyperlink>
                            <w:hyperlink w:anchor="tCA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JOVA">
                              <w:r>
                                <w:rPr>
                                  <w:rStyle w:val="InternetLink"/>
                                  <w:spacing w:val="-1"/>
                                </w:rPr>
                                <w:t xml:space="preserve">Joseph Valane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JOVA">
                              <w:r>
                                <w:rPr>
                                  <w:rStyle w:val="InternetLink"/>
                                  <w:spacing w:val="-1"/>
                                </w:rPr>
                                <w:t>79</w:t>
                              </w:r>
                            </w:hyperlink>
                            <w:hyperlink w:anchor="tJOV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DOJO">
                              <w:r>
                                <w:rPr>
                                  <w:rStyle w:val="InternetLink"/>
                                  <w:spacing w:val="-1"/>
                                </w:rPr>
                                <w:t>Doug Johnstone</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DOJO">
                              <w:r>
                                <w:rPr>
                                  <w:rStyle w:val="InternetLink"/>
                                  <w:spacing w:val="-1"/>
                                </w:rPr>
                                <w:t>81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ANDA">
                              <w:r>
                                <w:rPr>
                                  <w:rStyle w:val="InternetLink"/>
                                  <w:spacing w:val="-1"/>
                                </w:rPr>
                                <w:t xml:space="preserve">Andrew Davis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ANDA">
                              <w:r>
                                <w:rPr>
                                  <w:rStyle w:val="InternetLink"/>
                                  <w:spacing w:val="-1"/>
                                </w:rPr>
                                <w:t>82</w:t>
                              </w:r>
                            </w:hyperlink>
                            <w:hyperlink w:anchor="tAND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LJC">
                              <w:r>
                                <w:rPr>
                                  <w:rStyle w:val="InternetLink"/>
                                  <w:spacing w:val="-1"/>
                                </w:rPr>
                                <w:t xml:space="preserve">L. Jay Cross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LJC">
                              <w:r>
                                <w:rPr>
                                  <w:rStyle w:val="InternetLink"/>
                                  <w:spacing w:val="-1"/>
                                </w:rPr>
                                <w:t>82</w:t>
                              </w:r>
                            </w:hyperlink>
                            <w:hyperlink w:anchor="tLJ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0"/>
                              <w:ind w:left="600" w:right="0" w:hanging="0"/>
                              <w:jc w:val="left"/>
                              <w:rPr/>
                            </w:pPr>
                            <w:hyperlink w:anchor="tEAD">
                              <w:r>
                                <w:rPr>
                                  <w:rStyle w:val="InternetLink"/>
                                  <w:spacing w:val="-1"/>
                                </w:rPr>
                                <w:t xml:space="preserve">Employment Agreements – Definitions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9" w:type="dxa"/>
                            <w:tcBorders/>
                            <w:vAlign w:val="center"/>
                          </w:tcPr>
                          <w:p>
                            <w:pPr>
                              <w:pStyle w:val="TableContents"/>
                              <w:bidi w:val="0"/>
                              <w:spacing w:before="0" w:after="283"/>
                              <w:jc w:val="right"/>
                              <w:rPr/>
                            </w:pPr>
                            <w:hyperlink w:anchor="tEAD">
                              <w:r>
                                <w:rPr>
                                  <w:rStyle w:val="InternetLink"/>
                                  <w:spacing w:val="-1"/>
                                </w:rPr>
                                <w:t>83</w:t>
                              </w:r>
                            </w:hyperlink>
                            <w:hyperlink w:anchor="tEA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OEAA">
                              <w:r>
                                <w:rPr>
                                  <w:rStyle w:val="InternetLink"/>
                                  <w:spacing w:val="0"/>
                                </w:rPr>
                                <w:t xml:space="preserve">Outstanding Equity Awards at Fiscal Year-End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OEAA">
                              <w:r>
                                <w:rPr>
                                  <w:rStyle w:val="InternetLink"/>
                                  <w:spacing w:val="-2"/>
                                </w:rPr>
                                <w:t>84</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2OEA">
                              <w:r>
                                <w:rPr>
                                  <w:rStyle w:val="InternetLink"/>
                                  <w:spacing w:val="0"/>
                                </w:rPr>
                                <w:t xml:space="preserve">2025 Option Exercises and Stock Vested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2OEA">
                              <w:r>
                                <w:rPr>
                                  <w:rStyle w:val="InternetLink"/>
                                  <w:spacing w:val="-2"/>
                                </w:rPr>
                                <w:t>86</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NDC">
                              <w:r>
                                <w:rPr>
                                  <w:rStyle w:val="InternetLink"/>
                                  <w:spacing w:val="0"/>
                                </w:rPr>
                                <w:t xml:space="preserve">Nonqualified Deferred Compensation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NDC">
                              <w:r>
                                <w:rPr>
                                  <w:rStyle w:val="InternetLink"/>
                                  <w:spacing w:val="-2"/>
                                </w:rPr>
                                <w:t>86</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PPUT">
                              <w:r>
                                <w:rPr>
                                  <w:rStyle w:val="InternetLink"/>
                                  <w:spacing w:val="0"/>
                                </w:rPr>
                                <w:t xml:space="preserve">Potential Payments Upon Termination or Change in </w:t>
                                <w:br/>
                                <w:t xml:space="preserve">Control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PPUT">
                              <w:r>
                                <w:rPr>
                                  <w:rStyle w:val="InternetLink"/>
                                  <w:spacing w:val="-2"/>
                                </w:rPr>
                                <w:t>86</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PRD">
                              <w:r>
                                <w:rPr>
                                  <w:rStyle w:val="InternetLink"/>
                                  <w:spacing w:val="0"/>
                                </w:rPr>
                                <w:t xml:space="preserve">Pay Ratio Disclosure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PRD">
                              <w:r>
                                <w:rPr>
                                  <w:rStyle w:val="InternetLink"/>
                                  <w:spacing w:val="-2"/>
                                </w:rPr>
                                <w:t>88</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9012" w:type="dxa"/>
                            <w:tcBorders>
                              <w:bottom w:val="single" w:sz="2" w:space="0" w:color="7F7F7F"/>
                            </w:tcBorders>
                            <w:tcMar>
                              <w:bottom w:w="28" w:type="dxa"/>
                            </w:tcMar>
                            <w:vAlign w:val="center"/>
                          </w:tcPr>
                          <w:p>
                            <w:pPr>
                              <w:pStyle w:val="TableContents"/>
                              <w:bidi w:val="0"/>
                              <w:spacing w:before="0" w:after="0"/>
                              <w:ind w:left="400" w:right="0" w:hanging="0"/>
                              <w:jc w:val="left"/>
                              <w:rPr/>
                            </w:pPr>
                            <w:hyperlink w:anchor="tPVP">
                              <w:r>
                                <w:rPr>
                                  <w:rStyle w:val="InternetLink"/>
                                  <w:spacing w:val="0"/>
                                </w:rPr>
                                <w:t xml:space="preserve">Pay vs. Performance </w:t>
                              </w:r>
                            </w:hyperlink>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right"/>
                              <w:rPr/>
                            </w:pPr>
                            <w:r>
                              <w:rPr/>
                              <w:t>​</w:t>
                            </w:r>
                          </w:p>
                        </w:tc>
                        <w:tc>
                          <w:tcPr>
                            <w:tcW w:w="369" w:type="dxa"/>
                            <w:tcBorders>
                              <w:bottom w:val="single" w:sz="2" w:space="0" w:color="7F7F7F"/>
                            </w:tcBorders>
                            <w:tcMar>
                              <w:bottom w:w="28" w:type="dxa"/>
                            </w:tcMar>
                            <w:vAlign w:val="center"/>
                          </w:tcPr>
                          <w:p>
                            <w:pPr>
                              <w:pStyle w:val="TableContents"/>
                              <w:bidi w:val="0"/>
                              <w:spacing w:before="0" w:after="283"/>
                              <w:jc w:val="right"/>
                              <w:rPr/>
                            </w:pPr>
                            <w:hyperlink w:anchor="tPVP">
                              <w:r>
                                <w:rPr>
                                  <w:rStyle w:val="InternetLink"/>
                                  <w:spacing w:val="-2"/>
                                </w:rPr>
                                <w:t>88</w:t>
                              </w:r>
                            </w:hyperlink>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55"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960"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9012" w:type="dxa"/>
                            <w:tcBorders/>
                            <w:shd w:fill="BAD8EA" w:val="clear"/>
                            <w:vAlign w:val="center"/>
                          </w:tcPr>
                          <w:p>
                            <w:pPr>
                              <w:pStyle w:val="TableContents"/>
                              <w:bidi w:val="0"/>
                              <w:spacing w:before="0" w:after="0"/>
                              <w:ind w:left="200" w:right="0" w:hanging="0"/>
                              <w:jc w:val="left"/>
                              <w:rPr/>
                            </w:pPr>
                            <w:hyperlink w:anchor="tSPFT">
                              <w:r>
                                <w:rPr>
                                  <w:rStyle w:val="InternetLink"/>
                                  <w:spacing w:val="-2"/>
                                </w:rPr>
                                <w:t xml:space="preserve">STOCKHOLDER PROPOSALS FOR 2027 ANNUAL MEETING OF STOCKHOLDERS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69" w:type="dxa"/>
                            <w:tcBorders/>
                            <w:shd w:fill="BAD8EA" w:val="clear"/>
                            <w:vAlign w:val="center"/>
                          </w:tcPr>
                          <w:p>
                            <w:pPr>
                              <w:pStyle w:val="TableContents"/>
                              <w:bidi w:val="0"/>
                              <w:spacing w:before="0" w:after="283"/>
                              <w:jc w:val="right"/>
                              <w:rPr/>
                            </w:pPr>
                            <w:hyperlink w:anchor="tSPFT">
                              <w:r>
                                <w:rPr>
                                  <w:rStyle w:val="InternetLink"/>
                                  <w:spacing w:val="-2"/>
                                </w:rPr>
                                <w:t>92</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960"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9012" w:type="dxa"/>
                            <w:tcBorders/>
                            <w:shd w:fill="BAD8EA" w:val="clear"/>
                            <w:vAlign w:val="center"/>
                          </w:tcPr>
                          <w:p>
                            <w:pPr>
                              <w:pStyle w:val="TableContents"/>
                              <w:bidi w:val="0"/>
                              <w:spacing w:before="0" w:after="0"/>
                              <w:ind w:left="200" w:right="0" w:hanging="0"/>
                              <w:jc w:val="left"/>
                              <w:rPr/>
                            </w:pPr>
                            <w:hyperlink w:anchor="tOTMA">
                              <w:r>
                                <w:rPr>
                                  <w:rStyle w:val="InternetLink"/>
                                  <w:spacing w:val="-2"/>
                                </w:rPr>
                                <w:t xml:space="preserve">OTHER MATTERS </w:t>
                              </w:r>
                            </w:hyperlink>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69" w:type="dxa"/>
                            <w:tcBorders/>
                            <w:shd w:fill="BAD8EA" w:val="clear"/>
                            <w:vAlign w:val="center"/>
                          </w:tcPr>
                          <w:p>
                            <w:pPr>
                              <w:pStyle w:val="TableContents"/>
                              <w:bidi w:val="0"/>
                              <w:spacing w:before="0" w:after="283"/>
                              <w:jc w:val="right"/>
                              <w:rPr/>
                            </w:pPr>
                            <w:hyperlink w:anchor="tOTMA">
                              <w:r>
                                <w:rPr>
                                  <w:rStyle w:val="InternetLink"/>
                                  <w:spacing w:val="-2"/>
                                </w:rPr>
                                <w:t>92</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012"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960"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shd w:fill="BAD8EA" w:val="clear"/>
                            <w:vAlign w:val="center"/>
                          </w:tcPr>
                          <w:p>
                            <w:pPr>
                              <w:pStyle w:val="TableContents"/>
                              <w:bidi w:val="0"/>
                              <w:spacing w:before="0" w:after="283"/>
                              <w:jc w:val="left"/>
                              <w:rPr/>
                            </w:pPr>
                            <w:r>
                              <w:rPr/>
                              <w:t>​</w:t>
                            </w:r>
                          </w:p>
                        </w:tc>
                        <w:tc>
                          <w:tcPr>
                            <w:tcW w:w="9012" w:type="dxa"/>
                            <w:tcBorders/>
                            <w:shd w:fill="BAD8EA" w:val="clear"/>
                            <w:vAlign w:val="center"/>
                          </w:tcPr>
                          <w:p>
                            <w:pPr>
                              <w:pStyle w:val="TableContents"/>
                              <w:bidi w:val="0"/>
                              <w:spacing w:before="0" w:after="0"/>
                              <w:ind w:left="160" w:right="0" w:hanging="0"/>
                              <w:jc w:val="left"/>
                              <w:rPr/>
                            </w:pPr>
                            <w:hyperlink w:anchor="tAABU">
                              <w:r>
                                <w:rPr>
                                  <w:rStyle w:val="InternetLink"/>
                                </w:rPr>
                                <w:t>ANNEX A</w:t>
                              </w:r>
                            </w:hyperlink>
                            <w:r>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right"/>
                              <w:rPr/>
                            </w:pPr>
                            <w:r>
                              <w:rPr/>
                              <w:t>​</w:t>
                            </w:r>
                          </w:p>
                        </w:tc>
                        <w:tc>
                          <w:tcPr>
                            <w:tcW w:w="369" w:type="dxa"/>
                            <w:tcBorders/>
                            <w:shd w:fill="BAD8EA" w:val="clear"/>
                            <w:vAlign w:val="center"/>
                          </w:tcPr>
                          <w:p>
                            <w:pPr>
                              <w:pStyle w:val="TableContents"/>
                              <w:bidi w:val="0"/>
                              <w:spacing w:before="0" w:after="283"/>
                              <w:jc w:val="right"/>
                              <w:rPr/>
                            </w:pPr>
                            <w:r>
                              <w:rPr/>
                              <w:t>​</w:t>
                            </w:r>
                          </w:p>
                        </w:tc>
                        <w:tc>
                          <w:tcPr>
                            <w:tcW w:w="109" w:type="dxa"/>
                            <w:tcBorders/>
                            <w:shd w:fill="BAD8EA" w:val="cle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SU"/>
      <w:bookmarkEnd w:id="4"/>
      <w:r>
        <w:rPr>
          <w:rFonts w:ascii="calibri;arial;sans-serif" w:hAnsi="calibri;arial;sans-serif"/>
          <w:b w:val="false"/>
          <w:i w:val="false"/>
          <w:caps w:val="false"/>
          <w:smallCaps w:val="false"/>
          <w:color w:val="000000"/>
          <w:sz w:val="16"/>
        </w:rPr>
        <w:t>​</w:t>
      </w:r>
      <w:bookmarkStart w:id="5" w:name="t2AMI"/>
      <w:bookmarkEnd w:id="5"/>
      <w:r>
        <w:rPr>
          <w:rFonts w:ascii="calibri;arial;sans-serif" w:hAnsi="calibri;arial;sans-serif"/>
          <w:b w:val="false"/>
          <w:i w:val="false"/>
          <w:caps w:val="false"/>
          <w:smallCaps w:val="false"/>
          <w:color w:val="000000"/>
          <w:sz w:val="16"/>
        </w:rPr>
        <w:t>​</w:t>
      </w:r>
      <w:bookmarkStart w:id="6" w:name="tMTBV"/>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480" w:before="200" w:after="580"/>
        <w:ind w:left="800" w:right="0" w:hanging="0"/>
        <w:jc w:val="left"/>
        <w:rPr>
          <w:caps w:val="false"/>
          <w:smallCaps w:val="false"/>
          <w:color w:val="000000"/>
        </w:rPr>
      </w:pPr>
      <w:r>
        <w:rPr>
          <w:caps w:val="false"/>
          <w:smallCaps w:val="false"/>
          <w:color w:val="000000"/>
          <w:spacing w:val="-6"/>
        </w:rPr>
        <w:t> </w:t>
      </w:r>
      <w:r>
        <w:rPr>
          <w:caps w:val="false"/>
          <w:smallCaps w:val="false"/>
          <w:color w:val="000000"/>
        </w:rPr>
        <w:t xml:space="preserve"> </w:t>
      </w:r>
    </w:p>
    <w:p>
      <w:pPr>
        <w:pStyle w:val="TextBody"/>
        <w:bidi w:val="0"/>
        <w:spacing w:lineRule="atLeast" w:line="480" w:before="674" w:after="283"/>
        <w:ind w:left="800" w:right="0" w:hanging="0"/>
        <w:jc w:val="left"/>
        <w:rPr>
          <w:rFonts w:ascii="Arial;Helvetica;sans-serif" w:hAnsi="Arial;Helvetica;sans-serif"/>
          <w:b/>
          <w:i w:val="false"/>
          <w:caps w:val="false"/>
          <w:smallCaps w:val="false"/>
          <w:color w:val="000000"/>
          <w:spacing w:val="-1"/>
          <w:sz w:val="44"/>
        </w:rPr>
      </w:pPr>
      <w:r>
        <w:rPr>
          <w:rFonts w:ascii="Arial;Helvetica;sans-serif" w:hAnsi="Arial;Helvetica;sans-serif"/>
          <w:b/>
          <w:i w:val="false"/>
          <w:caps w:val="false"/>
          <w:smallCaps w:val="false"/>
          <w:color w:val="000000"/>
          <w:spacing w:val="-1"/>
          <w:sz w:val="44"/>
        </w:rPr>
        <w:t xml:space="preserve">Proxy Summary </w:t>
      </w:r>
    </w:p>
    <w:p>
      <w:pPr>
        <w:pStyle w:val="TextBody"/>
        <w:bidi w:val="0"/>
        <w:spacing w:lineRule="atLeast" w:line="240" w:before="160" w:after="3338"/>
        <w:ind w:left="900" w:right="0" w:hanging="0"/>
        <w:jc w:val="both"/>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This summary highlights certain information from our Proxy Statement for the 2026 Annual Meeting of Stockholders. You should read the entire Proxy Statement carefully before voting.</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340" w:before="320" w:after="283"/>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2026 ANNUAL MEETING INFORMATION</w:t>
      </w:r>
      <w:r>
        <w:rPr>
          <w:rFonts w:ascii="Arial;Helvetica;sans-serif" w:hAnsi="Arial;Helvetica;sans-serif"/>
          <w:b/>
          <w:i w:val="false"/>
          <w:caps w:val="false"/>
          <w:smallCaps w:val="false"/>
          <w:color w:val="000000"/>
          <w:spacing w:val="6"/>
          <w:sz w:val="30"/>
        </w:rPr>
        <w:t xml:space="preserve"> </w:t>
      </w:r>
    </w:p>
    <w:tbl>
      <w:tblPr>
        <w:tblW w:w="6998" w:type="dxa"/>
        <w:jc w:val="left"/>
        <w:tblInd w:w="900" w:type="dxa"/>
        <w:tblLayout w:type="fixed"/>
        <w:tblCellMar>
          <w:top w:w="0" w:type="dxa"/>
          <w:left w:w="0" w:type="dxa"/>
          <w:bottom w:w="0" w:type="dxa"/>
          <w:right w:w="0" w:type="dxa"/>
        </w:tblCellMar>
      </w:tblPr>
      <w:tblGrid>
        <w:gridCol w:w="124"/>
        <w:gridCol w:w="641"/>
        <w:gridCol w:w="109"/>
        <w:gridCol w:w="109"/>
        <w:gridCol w:w="2059"/>
        <w:gridCol w:w="109"/>
        <w:gridCol w:w="109"/>
        <w:gridCol w:w="806"/>
        <w:gridCol w:w="109"/>
        <w:gridCol w:w="109"/>
        <w:gridCol w:w="2560"/>
        <w:gridCol w:w="154"/>
      </w:tblGrid>
      <w:tr>
        <w:trPr/>
        <w:tc>
          <w:tcPr>
            <w:tcW w:w="124" w:type="dxa"/>
            <w:tcBorders/>
            <w:vAlign w:val="center"/>
          </w:tcPr>
          <w:p>
            <w:pPr>
              <w:pStyle w:val="TableContents"/>
              <w:bidi w:val="0"/>
              <w:spacing w:before="0" w:after="283"/>
              <w:jc w:val="left"/>
              <w:rPr/>
            </w:pPr>
            <w:r>
              <w:rPr/>
              <w:t>​</w:t>
            </w:r>
          </w:p>
        </w:tc>
        <w:tc>
          <w:tcPr>
            <w:tcW w:w="641" w:type="dxa"/>
            <w:tcBorders/>
            <w:vAlign w:val="center"/>
          </w:tcPr>
          <w:p>
            <w:pPr>
              <w:pStyle w:val="TableContents"/>
              <w:bidi w:val="0"/>
              <w:spacing w:before="0" w:after="0"/>
              <w:jc w:val="left"/>
              <w:rPr/>
            </w:pPr>
            <w:r>
              <w:rPr/>
              <w:drawing>
                <wp:inline distT="0" distB="0" distL="0" distR="0">
                  <wp:extent cx="314325" cy="304800"/>
                  <wp:effectExtent l="0" t="0" r="0" b="0"/>
                  <wp:docPr id="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 descr=""/>
                          <pic:cNvPicPr>
                            <a:picLocks noChangeAspect="1" noChangeArrowheads="1"/>
                          </pic:cNvPicPr>
                        </pic:nvPicPr>
                        <pic:blipFill>
                          <a:blip r:embed="rId13"/>
                          <a:stretch>
                            <a:fillRect/>
                          </a:stretch>
                        </pic:blipFill>
                        <pic:spPr bwMode="auto">
                          <a:xfrm>
                            <a:off x="0" y="0"/>
                            <a:ext cx="31432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59" w:type="dxa"/>
            <w:tcBorders/>
            <w:vAlign w:val="center"/>
          </w:tcPr>
          <w:p>
            <w:pPr>
              <w:pStyle w:val="TableContents"/>
              <w:bidi w:val="0"/>
              <w:spacing w:lineRule="atLeast" w:line="240" w:before="0" w:after="283"/>
              <w:jc w:val="left"/>
              <w:rPr/>
            </w:pPr>
            <w:r>
              <w:rPr>
                <w:spacing w:val="0"/>
              </w:rPr>
              <w:t>Wednesday,</w:t>
            </w:r>
            <w:r>
              <w:rPr>
                <w:spacing w:val="-3"/>
              </w:rPr>
              <w:t xml:space="preserve"> </w:t>
            </w:r>
            <w:r>
              <w:rPr/>
              <w:br/>
            </w:r>
            <w:r>
              <w:rPr>
                <w:spacing w:val="0"/>
              </w:rPr>
              <w:t>September 30,</w:t>
            </w:r>
            <w:r>
              <w:rPr>
                <w:spacing w:val="-3"/>
              </w:rPr>
              <w:t xml:space="preserve"> 2026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6" w:type="dxa"/>
            <w:tcBorders/>
            <w:vAlign w:val="center"/>
          </w:tcPr>
          <w:p>
            <w:pPr>
              <w:pStyle w:val="TableContents"/>
              <w:bidi w:val="0"/>
              <w:spacing w:before="0" w:after="0"/>
              <w:jc w:val="center"/>
              <w:rPr/>
            </w:pPr>
            <w:r>
              <w:rPr/>
              <w:drawing>
                <wp:inline distT="0" distB="0" distL="0" distR="0">
                  <wp:extent cx="342900" cy="352425"/>
                  <wp:effectExtent l="0" t="0" r="0" b="0"/>
                  <wp:docPr id="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3" descr=""/>
                          <pic:cNvPicPr>
                            <a:picLocks noChangeAspect="1" noChangeArrowheads="1"/>
                          </pic:cNvPicPr>
                        </pic:nvPicPr>
                        <pic:blipFill>
                          <a:blip r:embed="rId14"/>
                          <a:stretch>
                            <a:fillRect/>
                          </a:stretch>
                        </pic:blipFill>
                        <pic:spPr bwMode="auto">
                          <a:xfrm>
                            <a:off x="0" y="0"/>
                            <a:ext cx="342900"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60" w:type="dxa"/>
            <w:tcBorders/>
            <w:vAlign w:val="center"/>
          </w:tcPr>
          <w:p>
            <w:pPr>
              <w:pStyle w:val="TableContents"/>
              <w:bidi w:val="0"/>
              <w:spacing w:lineRule="atLeast" w:line="240" w:before="0" w:after="283"/>
              <w:jc w:val="left"/>
              <w:rPr/>
            </w:pPr>
            <w:r>
              <w:rPr>
                <w:spacing w:val="0"/>
              </w:rPr>
              <w:t>9:00 a.m. Eastern Time</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1" w:type="dxa"/>
            <w:tcBorders/>
            <w:vAlign w:val="center"/>
          </w:tcPr>
          <w:p>
            <w:pPr>
              <w:pStyle w:val="TableContents"/>
              <w:bidi w:val="0"/>
              <w:spacing w:before="0" w:after="0"/>
              <w:jc w:val="left"/>
              <w:rPr/>
            </w:pPr>
            <w:r>
              <w:rPr/>
              <w:drawing>
                <wp:inline distT="0" distB="0" distL="0" distR="0">
                  <wp:extent cx="314325" cy="457200"/>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15"/>
                          <a:stretch>
                            <a:fillRect/>
                          </a:stretch>
                        </pic:blipFill>
                        <pic:spPr bwMode="auto">
                          <a:xfrm>
                            <a:off x="0" y="0"/>
                            <a:ext cx="314325" cy="457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59" w:type="dxa"/>
            <w:tcBorders/>
            <w:vAlign w:val="center"/>
          </w:tcPr>
          <w:p>
            <w:pPr>
              <w:pStyle w:val="TableContents"/>
              <w:bidi w:val="0"/>
              <w:spacing w:lineRule="atLeast" w:line="240" w:before="0" w:after="283"/>
              <w:jc w:val="left"/>
              <w:rPr/>
            </w:pPr>
            <w:r>
              <w:rPr>
                <w:spacing w:val="0"/>
              </w:rPr>
              <w:t>Record Date</w:t>
            </w:r>
            <w:r>
              <w:rPr>
                <w:spacing w:val="-3"/>
              </w:rPr>
              <w:t xml:space="preserve"> </w:t>
            </w:r>
            <w:r>
              <w:rPr/>
              <w:br/>
            </w:r>
            <w:r>
              <w:rPr>
                <w:spacing w:val="0"/>
              </w:rPr>
              <w:t>August</w:t>
            </w:r>
            <w:r>
              <w:rPr>
                <w:spacing w:val="-3"/>
              </w:rPr>
              <w:t xml:space="preserve"> 17, 2026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6" w:type="dxa"/>
            <w:tcBorders/>
            <w:vAlign w:val="center"/>
          </w:tcPr>
          <w:p>
            <w:pPr>
              <w:pStyle w:val="TableContents"/>
              <w:bidi w:val="0"/>
              <w:spacing w:before="0" w:after="0"/>
              <w:jc w:val="left"/>
              <w:rPr/>
            </w:pPr>
            <w:r>
              <w:rPr/>
              <w:drawing>
                <wp:inline distT="0" distB="0" distL="0" distR="0">
                  <wp:extent cx="419100" cy="419100"/>
                  <wp:effectExtent l="0" t="0" r="0" b="0"/>
                  <wp:docPr id="2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5" descr=""/>
                          <pic:cNvPicPr>
                            <a:picLocks noChangeAspect="1" noChangeArrowheads="1"/>
                          </pic:cNvPicPr>
                        </pic:nvPicPr>
                        <pic:blipFill>
                          <a:blip r:embed="rId16"/>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60" w:type="dxa"/>
            <w:tcBorders/>
            <w:vAlign w:val="center"/>
          </w:tcPr>
          <w:p>
            <w:pPr>
              <w:pStyle w:val="TableContents"/>
              <w:bidi w:val="0"/>
              <w:spacing w:lineRule="atLeast" w:line="240" w:before="0" w:after="283"/>
              <w:jc w:val="left"/>
              <w:rPr/>
            </w:pPr>
            <w:r>
              <w:rPr>
                <w:spacing w:val="-3"/>
              </w:rPr>
              <w:t>787 7</w:t>
            </w:r>
            <w:r>
              <w:rPr>
                <w:spacing w:val="0"/>
                <w:sz w:val="15"/>
              </w:rPr>
              <w:t>th</w:t>
            </w:r>
            <w:r>
              <w:rPr>
                <w:spacing w:val="0"/>
              </w:rPr>
              <w:t xml:space="preserve"> Ave., Auditorium </w:t>
              <w:br/>
              <w:t>New York, NY 10019</w:t>
            </w:r>
            <w:r>
              <w:rPr/>
              <w:t xml:space="preserve"> </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1231"/>
        <w:gridCol w:w="109"/>
        <w:gridCol w:w="109"/>
        <w:gridCol w:w="7577"/>
        <w:gridCol w:w="155"/>
      </w:tblGrid>
      <w:tr>
        <w:trPr/>
        <w:tc>
          <w:tcPr>
            <w:tcW w:w="124" w:type="dxa"/>
            <w:tcBorders/>
            <w:vAlign w:val="center"/>
          </w:tcPr>
          <w:p>
            <w:pPr>
              <w:pStyle w:val="TableContents"/>
              <w:bidi w:val="0"/>
              <w:spacing w:before="0" w:after="283"/>
              <w:jc w:val="left"/>
              <w:rPr/>
            </w:pPr>
            <w:r>
              <w:rPr/>
              <w:t>​</w:t>
            </w:r>
          </w:p>
        </w:tc>
        <w:tc>
          <w:tcPr>
            <w:tcW w:w="1231" w:type="dxa"/>
            <w:tcBorders/>
            <w:vAlign w:val="center"/>
          </w:tcPr>
          <w:p>
            <w:pPr>
              <w:pStyle w:val="TableContents"/>
              <w:bidi w:val="0"/>
              <w:spacing w:before="0" w:after="0"/>
              <w:jc w:val="both"/>
              <w:rPr>
                <w:b/>
              </w:rPr>
            </w:pPr>
            <w:r>
              <w:rPr>
                <w:b/>
                <w:spacing w:val="0"/>
              </w:rPr>
              <w:t>Admission:</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77" w:type="dxa"/>
            <w:tcBorders/>
            <w:vAlign w:val="center"/>
          </w:tcPr>
          <w:p>
            <w:pPr>
              <w:pStyle w:val="TableContents"/>
              <w:bidi w:val="0"/>
              <w:spacing w:before="0" w:after="0"/>
              <w:ind w:left="720" w:right="0" w:hanging="0"/>
              <w:jc w:val="both"/>
              <w:rPr/>
            </w:pPr>
            <w:r>
              <w:rPr>
                <w:spacing w:val="-2"/>
              </w:rPr>
              <w:t>Photo identification is required to attend the Annual Meeting. In addition, all attendees must pre-register with the Company in order to attend the Annual Meeting.</w:t>
            </w:r>
            <w:r>
              <w:rPr/>
              <w:t xml:space="preserve"> </w:t>
            </w:r>
          </w:p>
        </w:tc>
        <w:tc>
          <w:tcPr>
            <w:tcW w:w="155"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420"/>
        <w:gridCol w:w="109"/>
        <w:gridCol w:w="109"/>
        <w:gridCol w:w="8388"/>
        <w:gridCol w:w="155"/>
      </w:tblGrid>
      <w:tr>
        <w:trPr/>
        <w:tc>
          <w:tcPr>
            <w:tcW w:w="124" w:type="dxa"/>
            <w:tcBorders/>
            <w:vAlign w:val="center"/>
          </w:tcPr>
          <w:p>
            <w:pPr>
              <w:pStyle w:val="TableContents"/>
              <w:bidi w:val="0"/>
              <w:spacing w:before="0" w:after="283"/>
              <w:jc w:val="left"/>
              <w:rPr/>
            </w:pPr>
            <w:r>
              <w:rPr/>
              <w:t>​</w:t>
            </w:r>
          </w:p>
        </w:tc>
        <w:tc>
          <w:tcPr>
            <w:tcW w:w="420" w:type="dxa"/>
            <w:tcBorders/>
            <w:vAlign w:val="center"/>
          </w:tcPr>
          <w:p>
            <w:pPr>
              <w:pStyle w:val="TableContents"/>
              <w:bidi w:val="0"/>
              <w:spacing w:before="0" w:after="0"/>
              <w:jc w:val="left"/>
              <w:rPr/>
            </w:pPr>
            <w:r>
              <w:rPr/>
              <w:drawing>
                <wp:inline distT="0" distB="0" distL="0" distR="0">
                  <wp:extent cx="190500" cy="190500"/>
                  <wp:effectExtent l="0" t="0" r="0" b="0"/>
                  <wp:docPr id="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 descr=""/>
                          <pic:cNvPicPr>
                            <a:picLocks noChangeAspect="1" noChangeArrowheads="1"/>
                          </pic:cNvPicPr>
                        </pic:nvPicPr>
                        <pic:blipFill>
                          <a:blip r:embed="rId17"/>
                          <a:stretch>
                            <a:fillRect/>
                          </a:stretch>
                        </pic:blipFill>
                        <pic:spPr bwMode="auto">
                          <a:xfrm>
                            <a:off x="0" y="0"/>
                            <a:ext cx="190500" cy="190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88" w:type="dxa"/>
            <w:tcBorders/>
            <w:vAlign w:val="center"/>
          </w:tcPr>
          <w:p>
            <w:pPr>
              <w:pStyle w:val="TableContents"/>
              <w:bidi w:val="0"/>
              <w:spacing w:lineRule="atLeast" w:line="240" w:before="0" w:after="283"/>
              <w:jc w:val="both"/>
              <w:rPr/>
            </w:pPr>
            <w:r>
              <w:rPr>
                <w:spacing w:val="-2"/>
              </w:rPr>
              <w:t>For additional information about our Annual Meeting, see “</w:t>
            </w:r>
            <w:r>
              <w:rPr>
                <w:i/>
              </w:rPr>
              <w:t>Questions and Answers Regarding This Proxy Statement and The Annual Meeting</w:t>
            </w:r>
            <w:r>
              <w:rPr>
                <w:spacing w:val="-2"/>
              </w:rPr>
              <w:t>.”</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340" w:before="320" w:after="283"/>
        <w:ind w:left="900"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MATTERS TO BE VOTED ON AT OUR 2026 ANNUAL MEETING</w:t>
      </w:r>
      <w:r>
        <w:rPr>
          <w:rFonts w:ascii="Arial;Helvetica;sans-serif" w:hAnsi="Arial;Helvetica;sans-serif"/>
          <w:b/>
          <w:i w:val="false"/>
          <w:caps w:val="false"/>
          <w:smallCaps w:val="false"/>
          <w:color w:val="000000"/>
          <w:spacing w:val="6"/>
          <w:sz w:val="30"/>
        </w:rPr>
        <w:t xml:space="preserve"> </w:t>
      </w:r>
    </w:p>
    <w:tbl>
      <w:tblPr>
        <w:tblW w:w="9305" w:type="dxa"/>
        <w:jc w:val="left"/>
        <w:tblInd w:w="900" w:type="dxa"/>
        <w:tblLayout w:type="fixed"/>
        <w:tblCellMar>
          <w:top w:w="0" w:type="dxa"/>
          <w:left w:w="0" w:type="dxa"/>
          <w:bottom w:w="0" w:type="dxa"/>
          <w:right w:w="0" w:type="dxa"/>
        </w:tblCellMar>
      </w:tblPr>
      <w:tblGrid>
        <w:gridCol w:w="124"/>
        <w:gridCol w:w="374"/>
        <w:gridCol w:w="109"/>
        <w:gridCol w:w="109"/>
        <w:gridCol w:w="5338"/>
        <w:gridCol w:w="109"/>
        <w:gridCol w:w="109"/>
        <w:gridCol w:w="2064"/>
        <w:gridCol w:w="109"/>
        <w:gridCol w:w="109"/>
        <w:gridCol w:w="595"/>
        <w:gridCol w:w="156"/>
      </w:tblGrid>
      <w:tr>
        <w:trPr/>
        <w:tc>
          <w:tcPr>
            <w:tcW w:w="124" w:type="dxa"/>
            <w:tcBorders/>
            <w:shd w:fill="BAD8EA" w:val="clear"/>
            <w:vAlign w:val="center"/>
          </w:tcPr>
          <w:p>
            <w:pPr>
              <w:pStyle w:val="TableContents"/>
              <w:bidi w:val="0"/>
              <w:spacing w:before="0" w:after="283"/>
              <w:jc w:val="left"/>
              <w:rPr/>
            </w:pPr>
            <w:r>
              <w:rPr/>
              <w:t>​</w:t>
            </w:r>
          </w:p>
        </w:tc>
        <w:tc>
          <w:tcPr>
            <w:tcW w:w="5930" w:type="dxa"/>
            <w:gridSpan w:val="4"/>
            <w:tcBorders/>
            <w:shd w:fill="BAD8EA" w:val="clear"/>
            <w:vAlign w:val="center"/>
          </w:tcPr>
          <w:p>
            <w:pPr>
              <w:pStyle w:val="TableContents"/>
              <w:bidi w:val="0"/>
              <w:spacing w:before="0" w:after="0"/>
              <w:jc w:val="left"/>
              <w:rPr>
                <w:spacing w:val="0"/>
              </w:rPr>
            </w:pPr>
            <w:r>
              <w:rPr>
                <w:spacing w:val="0"/>
              </w:rPr>
              <w:t xml:space="preserve">Proposal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2064" w:type="dxa"/>
            <w:tcBorders/>
            <w:shd w:fill="BAD8EA" w:val="clear"/>
            <w:vAlign w:val="center"/>
          </w:tcPr>
          <w:p>
            <w:pPr>
              <w:pStyle w:val="TableContents"/>
              <w:bidi w:val="0"/>
              <w:spacing w:before="0" w:after="0"/>
              <w:jc w:val="left"/>
              <w:rPr>
                <w:spacing w:val="0"/>
              </w:rPr>
            </w:pPr>
            <w:r>
              <w:rPr>
                <w:spacing w:val="0"/>
              </w:rPr>
              <w:t xml:space="preserve">Board Recommendation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595" w:type="dxa"/>
            <w:tcBorders/>
            <w:shd w:fill="BAD8EA" w:val="clear"/>
            <w:vAlign w:val="center"/>
          </w:tcPr>
          <w:p>
            <w:pPr>
              <w:pStyle w:val="TableContents"/>
              <w:bidi w:val="0"/>
              <w:spacing w:before="0" w:after="0"/>
              <w:jc w:val="left"/>
              <w:rPr>
                <w:spacing w:val="0"/>
              </w:rPr>
            </w:pPr>
            <w:r>
              <w:rPr>
                <w:spacing w:val="0"/>
              </w:rPr>
              <w:t xml:space="preserve">Page </w:t>
            </w:r>
          </w:p>
        </w:tc>
        <w:tc>
          <w:tcPr>
            <w:tcW w:w="156"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2E2925"/>
            </w:tcBorders>
            <w:tcMar>
              <w:bottom w:w="28" w:type="dxa"/>
            </w:tcMar>
            <w:vAlign w:val="center"/>
          </w:tcPr>
          <w:p>
            <w:pPr>
              <w:pStyle w:val="TableContents"/>
              <w:bidi w:val="0"/>
              <w:spacing w:before="0" w:after="283"/>
              <w:jc w:val="left"/>
              <w:rPr/>
            </w:pPr>
            <w:r>
              <w:rPr/>
              <w:t>​</w:t>
            </w:r>
          </w:p>
        </w:tc>
        <w:tc>
          <w:tcPr>
            <w:tcW w:w="374" w:type="dxa"/>
            <w:tcBorders>
              <w:bottom w:val="single" w:sz="2" w:space="0" w:color="2E2925"/>
            </w:tcBorders>
            <w:tcMar>
              <w:bottom w:w="50" w:type="dxa"/>
            </w:tcMar>
            <w:vAlign w:val="center"/>
          </w:tcPr>
          <w:p>
            <w:pPr>
              <w:pStyle w:val="TableContents"/>
              <w:bidi w:val="0"/>
              <w:spacing w:lineRule="atLeast" w:line="440" w:before="0" w:after="0"/>
              <w:jc w:val="left"/>
              <w:rPr>
                <w:b/>
                <w:color w:val="2E2925"/>
                <w:sz w:val="44"/>
              </w:rPr>
            </w:pPr>
            <w:r>
              <w:rPr>
                <w:b/>
                <w:color w:val="2E2925"/>
                <w:spacing w:val="-6"/>
                <w:sz w:val="44"/>
              </w:rPr>
              <w:t>1</w:t>
            </w:r>
            <w:r>
              <w:rPr>
                <w:b/>
                <w:color w:val="2E2925"/>
                <w:sz w:val="44"/>
              </w:rPr>
              <w:t xml:space="preserve"> </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5338" w:type="dxa"/>
            <w:tcBorders>
              <w:bottom w:val="single" w:sz="2" w:space="0" w:color="2E2925"/>
            </w:tcBorders>
            <w:tcMar>
              <w:bottom w:w="28" w:type="dxa"/>
            </w:tcMar>
            <w:vAlign w:val="center"/>
          </w:tcPr>
          <w:p>
            <w:pPr>
              <w:pStyle w:val="TableContents"/>
              <w:bidi w:val="0"/>
              <w:spacing w:lineRule="atLeast" w:line="240" w:before="0" w:after="0"/>
              <w:jc w:val="left"/>
              <w:rPr>
                <w:spacing w:val="-2"/>
              </w:rPr>
            </w:pPr>
            <w:r>
              <w:rPr>
                <w:spacing w:val="-2"/>
              </w:rPr>
              <w:t xml:space="preserve">Election of directors </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2064" w:type="dxa"/>
            <w:tcBorders>
              <w:bottom w:val="single" w:sz="2" w:space="0" w:color="2E2925"/>
            </w:tcBorders>
            <w:tcMar>
              <w:bottom w:w="28" w:type="dxa"/>
            </w:tcMar>
            <w:vAlign w:val="center"/>
          </w:tcPr>
          <w:p>
            <w:pPr>
              <w:pStyle w:val="TableContents"/>
              <w:bidi w:val="0"/>
              <w:spacing w:lineRule="atLeast" w:line="240" w:before="0" w:after="0"/>
              <w:jc w:val="center"/>
              <w:rPr>
                <w:color w:val="2E2925"/>
              </w:rPr>
            </w:pPr>
            <w:r>
              <w:rPr>
                <w:color w:val="2E2925"/>
              </w:rPr>
              <w:drawing>
                <wp:inline distT="0" distB="0" distL="0" distR="0">
                  <wp:extent cx="133350" cy="142240"/>
                  <wp:effectExtent l="0" t="0" r="0" b="0"/>
                  <wp:docPr id="2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7" descr=""/>
                          <pic:cNvPicPr>
                            <a:picLocks noChangeAspect="1" noChangeArrowheads="1"/>
                          </pic:cNvPicPr>
                        </pic:nvPicPr>
                        <pic:blipFill>
                          <a:blip r:embed="rId18"/>
                          <a:stretch>
                            <a:fillRect/>
                          </a:stretch>
                        </pic:blipFill>
                        <pic:spPr bwMode="auto">
                          <a:xfrm>
                            <a:off x="0" y="0"/>
                            <a:ext cx="133350" cy="142240"/>
                          </a:xfrm>
                          <a:prstGeom prst="rect">
                            <a:avLst/>
                          </a:prstGeom>
                        </pic:spPr>
                      </pic:pic>
                    </a:graphicData>
                  </a:graphic>
                </wp:inline>
              </w:drawing>
            </w:r>
            <w:r>
              <w:rPr>
                <w:color w:val="000000"/>
                <w:spacing w:val="-3"/>
              </w:rPr>
              <w:t> </w:t>
            </w:r>
            <w:r>
              <w:rPr>
                <w:b/>
                <w:color w:val="2E2925"/>
                <w:spacing w:val="-3"/>
              </w:rPr>
              <w:t>FOR</w:t>
            </w:r>
            <w:r>
              <w:rPr>
                <w:b/>
                <w:color w:val="2E2925"/>
              </w:rPr>
              <w:t xml:space="preserve"> </w:t>
            </w:r>
          </w:p>
          <w:p>
            <w:pPr>
              <w:pStyle w:val="TableContents"/>
              <w:bidi w:val="0"/>
              <w:spacing w:lineRule="atLeast" w:line="240" w:before="0" w:after="0"/>
              <w:jc w:val="center"/>
              <w:rPr>
                <w:spacing w:val="-2"/>
              </w:rPr>
            </w:pPr>
            <w:r>
              <w:rPr>
                <w:spacing w:val="-2"/>
              </w:rPr>
              <w:t xml:space="preserve">each director nominee </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595" w:type="dxa"/>
            <w:tcBorders>
              <w:bottom w:val="single" w:sz="2" w:space="0" w:color="2E2925"/>
            </w:tcBorders>
            <w:tcMar>
              <w:bottom w:w="50" w:type="dxa"/>
            </w:tcMar>
            <w:vAlign w:val="center"/>
          </w:tcPr>
          <w:p>
            <w:pPr>
              <w:pStyle w:val="TableContents"/>
              <w:bidi w:val="0"/>
              <w:spacing w:lineRule="atLeast" w:line="240" w:before="0" w:after="0"/>
              <w:jc w:val="center"/>
              <w:rPr/>
            </w:pPr>
            <w:hyperlink w:anchor="tPN1E">
              <w:r>
                <w:rPr>
                  <w:rStyle w:val="InternetLink"/>
                  <w:spacing w:val="-2"/>
                </w:rPr>
                <w:t>37</w:t>
              </w:r>
            </w:hyperlink>
            <w:r>
              <w:rPr>
                <w:spacing w:val="-2"/>
              </w:rPr>
              <w:t xml:space="preserve"> </w:t>
            </w:r>
          </w:p>
        </w:tc>
        <w:tc>
          <w:tcPr>
            <w:tcW w:w="156" w:type="dxa"/>
            <w:tcBorders>
              <w:bottom w:val="single" w:sz="2" w:space="0" w:color="2E2925"/>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2E2925"/>
            </w:tcBorders>
            <w:tcMar>
              <w:bottom w:w="28" w:type="dxa"/>
            </w:tcMar>
            <w:vAlign w:val="center"/>
          </w:tcPr>
          <w:p>
            <w:pPr>
              <w:pStyle w:val="TableContents"/>
              <w:bidi w:val="0"/>
              <w:spacing w:before="0" w:after="283"/>
              <w:jc w:val="left"/>
              <w:rPr/>
            </w:pPr>
            <w:r>
              <w:rPr/>
              <w:t>​</w:t>
            </w:r>
          </w:p>
        </w:tc>
        <w:tc>
          <w:tcPr>
            <w:tcW w:w="374" w:type="dxa"/>
            <w:tcBorders>
              <w:bottom w:val="single" w:sz="2" w:space="0" w:color="2E2925"/>
            </w:tcBorders>
            <w:tcMar>
              <w:bottom w:w="50" w:type="dxa"/>
            </w:tcMar>
            <w:vAlign w:val="center"/>
          </w:tcPr>
          <w:p>
            <w:pPr>
              <w:pStyle w:val="TableContents"/>
              <w:bidi w:val="0"/>
              <w:spacing w:lineRule="atLeast" w:line="440" w:before="0" w:after="0"/>
              <w:jc w:val="left"/>
              <w:rPr>
                <w:b/>
                <w:color w:val="2E2925"/>
                <w:sz w:val="44"/>
              </w:rPr>
            </w:pPr>
            <w:r>
              <w:rPr>
                <w:b/>
                <w:color w:val="2E2925"/>
                <w:spacing w:val="-6"/>
                <w:sz w:val="44"/>
              </w:rPr>
              <w:t>2</w:t>
            </w:r>
            <w:r>
              <w:rPr>
                <w:b/>
                <w:color w:val="2E2925"/>
                <w:sz w:val="44"/>
              </w:rPr>
              <w:t xml:space="preserve"> </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5338" w:type="dxa"/>
            <w:tcBorders>
              <w:bottom w:val="single" w:sz="2" w:space="0" w:color="2E2925"/>
            </w:tcBorders>
            <w:tcMar>
              <w:bottom w:w="28" w:type="dxa"/>
            </w:tcMar>
            <w:vAlign w:val="center"/>
          </w:tcPr>
          <w:p>
            <w:pPr>
              <w:pStyle w:val="TableContents"/>
              <w:bidi w:val="0"/>
              <w:spacing w:lineRule="atLeast" w:line="240" w:before="0" w:after="0"/>
              <w:jc w:val="left"/>
              <w:rPr>
                <w:spacing w:val="-2"/>
              </w:rPr>
            </w:pPr>
            <w:r>
              <w:rPr>
                <w:spacing w:val="-2"/>
              </w:rPr>
              <w:t xml:space="preserve">Advisory (non-binding) vote to approve executive compensation </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2064" w:type="dxa"/>
            <w:tcBorders>
              <w:bottom w:val="single" w:sz="2" w:space="0" w:color="2E2925"/>
            </w:tcBorders>
            <w:tcMar>
              <w:bottom w:w="28" w:type="dxa"/>
            </w:tcMar>
            <w:vAlign w:val="center"/>
          </w:tcPr>
          <w:p>
            <w:pPr>
              <w:pStyle w:val="TableContents"/>
              <w:bidi w:val="0"/>
              <w:spacing w:lineRule="atLeast" w:line="240" w:before="0" w:after="0"/>
              <w:jc w:val="center"/>
              <w:rPr/>
            </w:pPr>
            <w:r>
              <w:rPr/>
              <w:drawing>
                <wp:inline distT="0" distB="0" distL="0" distR="0">
                  <wp:extent cx="133350" cy="142240"/>
                  <wp:effectExtent l="0" t="0" r="0" b="0"/>
                  <wp:docPr id="2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8" descr=""/>
                          <pic:cNvPicPr>
                            <a:picLocks noChangeAspect="1" noChangeArrowheads="1"/>
                          </pic:cNvPicPr>
                        </pic:nvPicPr>
                        <pic:blipFill>
                          <a:blip r:embed="rId19"/>
                          <a:stretch>
                            <a:fillRect/>
                          </a:stretch>
                        </pic:blipFill>
                        <pic:spPr bwMode="auto">
                          <a:xfrm>
                            <a:off x="0" y="0"/>
                            <a:ext cx="133350" cy="142240"/>
                          </a:xfrm>
                          <a:prstGeom prst="rect">
                            <a:avLst/>
                          </a:prstGeom>
                        </pic:spPr>
                      </pic:pic>
                    </a:graphicData>
                  </a:graphic>
                </wp:inline>
              </w:drawing>
            </w:r>
            <w:r>
              <w:rPr>
                <w:spacing w:val="-3"/>
              </w:rPr>
              <w:t> </w:t>
            </w:r>
            <w:r>
              <w:rPr>
                <w:b/>
                <w:color w:val="2E2925"/>
                <w:spacing w:val="-3"/>
              </w:rPr>
              <w:t>FOR</w:t>
            </w:r>
            <w:r>
              <w:rPr>
                <w:b/>
              </w:rPr>
              <w:t xml:space="preserve"> </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595" w:type="dxa"/>
            <w:tcBorders>
              <w:bottom w:val="single" w:sz="2" w:space="0" w:color="2E2925"/>
            </w:tcBorders>
            <w:tcMar>
              <w:bottom w:w="50" w:type="dxa"/>
            </w:tcMar>
            <w:vAlign w:val="center"/>
          </w:tcPr>
          <w:p>
            <w:pPr>
              <w:pStyle w:val="TableContents"/>
              <w:bidi w:val="0"/>
              <w:spacing w:lineRule="atLeast" w:line="240" w:before="0" w:after="0"/>
              <w:jc w:val="center"/>
              <w:rPr/>
            </w:pPr>
            <w:hyperlink w:anchor="tPN2A">
              <w:r>
                <w:rPr>
                  <w:rStyle w:val="InternetLink"/>
                  <w:spacing w:val="-2"/>
                </w:rPr>
                <w:t>43</w:t>
              </w:r>
            </w:hyperlink>
            <w:r>
              <w:rPr>
                <w:spacing w:val="-2"/>
              </w:rPr>
              <w:t xml:space="preserve"> </w:t>
            </w:r>
          </w:p>
        </w:tc>
        <w:tc>
          <w:tcPr>
            <w:tcW w:w="156" w:type="dxa"/>
            <w:tcBorders>
              <w:bottom w:val="single" w:sz="2" w:space="0" w:color="2E2925"/>
            </w:tcBorders>
            <w:tcMar>
              <w:bottom w:w="28" w:type="dxa"/>
            </w:tcMar>
            <w:vAlign w:val="center"/>
          </w:tcPr>
          <w:p>
            <w:pPr>
              <w:pStyle w:val="TableContents"/>
              <w:bidi w:val="0"/>
              <w:spacing w:before="0" w:after="283"/>
              <w:jc w:val="left"/>
              <w:rPr/>
            </w:pPr>
            <w:r>
              <w:rPr/>
              <w:t>​</w:t>
            </w:r>
          </w:p>
        </w:tc>
      </w:tr>
      <w:tr>
        <w:trPr/>
        <w:tc>
          <w:tcPr>
            <w:tcW w:w="124" w:type="dxa"/>
            <w:tcBorders>
              <w:bottom w:val="single" w:sz="8" w:space="0" w:color="7F7F7F"/>
            </w:tcBorders>
            <w:tcMar>
              <w:bottom w:w="28" w:type="dxa"/>
            </w:tcMar>
            <w:vAlign w:val="center"/>
          </w:tcPr>
          <w:p>
            <w:pPr>
              <w:pStyle w:val="TableContents"/>
              <w:bidi w:val="0"/>
              <w:spacing w:before="0" w:after="283"/>
              <w:jc w:val="left"/>
              <w:rPr/>
            </w:pPr>
            <w:r>
              <w:rPr/>
              <w:t>​</w:t>
            </w:r>
          </w:p>
        </w:tc>
        <w:tc>
          <w:tcPr>
            <w:tcW w:w="374" w:type="dxa"/>
            <w:tcBorders>
              <w:bottom w:val="single" w:sz="8" w:space="0" w:color="7F7F7F"/>
            </w:tcBorders>
            <w:tcMar>
              <w:bottom w:w="160" w:type="dxa"/>
            </w:tcMar>
            <w:vAlign w:val="center"/>
          </w:tcPr>
          <w:p>
            <w:pPr>
              <w:pStyle w:val="TableContents"/>
              <w:bidi w:val="0"/>
              <w:spacing w:lineRule="atLeast" w:line="440" w:before="0" w:after="0"/>
              <w:jc w:val="left"/>
              <w:rPr>
                <w:b/>
                <w:color w:val="2E2925"/>
                <w:sz w:val="44"/>
              </w:rPr>
            </w:pPr>
            <w:r>
              <w:rPr>
                <w:b/>
                <w:color w:val="2E2925"/>
                <w:spacing w:val="-6"/>
                <w:sz w:val="44"/>
              </w:rPr>
              <w:t>3</w:t>
            </w:r>
            <w:r>
              <w:rPr>
                <w:b/>
                <w:color w:val="2E2925"/>
                <w:sz w:val="44"/>
              </w:rPr>
              <w:t xml:space="preserve">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5338" w:type="dxa"/>
            <w:tcBorders>
              <w:bottom w:val="single" w:sz="8" w:space="0" w:color="7F7F7F"/>
            </w:tcBorders>
            <w:tcMar>
              <w:bottom w:w="28" w:type="dxa"/>
            </w:tcMar>
            <w:vAlign w:val="center"/>
          </w:tcPr>
          <w:p>
            <w:pPr>
              <w:pStyle w:val="TableContents"/>
              <w:bidi w:val="0"/>
              <w:spacing w:lineRule="atLeast" w:line="240" w:before="0" w:after="0"/>
              <w:jc w:val="left"/>
              <w:rPr>
                <w:spacing w:val="-2"/>
              </w:rPr>
            </w:pPr>
            <w:r>
              <w:rPr>
                <w:spacing w:val="-2"/>
              </w:rPr>
              <w:t xml:space="preserve">Ratification of the appointment of KPMG LLP as our independent registered public accounting firm for fiscal 2026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2064" w:type="dxa"/>
            <w:tcBorders>
              <w:bottom w:val="single" w:sz="8" w:space="0" w:color="7F7F7F"/>
            </w:tcBorders>
            <w:tcMar>
              <w:bottom w:w="28" w:type="dxa"/>
            </w:tcMar>
            <w:vAlign w:val="center"/>
          </w:tcPr>
          <w:p>
            <w:pPr>
              <w:pStyle w:val="TableContents"/>
              <w:bidi w:val="0"/>
              <w:spacing w:lineRule="atLeast" w:line="240" w:before="0" w:after="0"/>
              <w:jc w:val="center"/>
              <w:rPr>
                <w:color w:val="2E2925"/>
              </w:rPr>
            </w:pPr>
            <w:r>
              <w:rPr>
                <w:color w:val="2E2925"/>
              </w:rPr>
              <w:drawing>
                <wp:inline distT="0" distB="0" distL="0" distR="0">
                  <wp:extent cx="133350" cy="142240"/>
                  <wp:effectExtent l="0" t="0" r="0" b="0"/>
                  <wp:docPr id="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9" descr=""/>
                          <pic:cNvPicPr>
                            <a:picLocks noChangeAspect="1" noChangeArrowheads="1"/>
                          </pic:cNvPicPr>
                        </pic:nvPicPr>
                        <pic:blipFill>
                          <a:blip r:embed="rId20"/>
                          <a:stretch>
                            <a:fillRect/>
                          </a:stretch>
                        </pic:blipFill>
                        <pic:spPr bwMode="auto">
                          <a:xfrm>
                            <a:off x="0" y="0"/>
                            <a:ext cx="133350" cy="142240"/>
                          </a:xfrm>
                          <a:prstGeom prst="rect">
                            <a:avLst/>
                          </a:prstGeom>
                        </pic:spPr>
                      </pic:pic>
                    </a:graphicData>
                  </a:graphic>
                </wp:inline>
              </w:drawing>
            </w:r>
            <w:r>
              <w:rPr>
                <w:color w:val="000000"/>
                <w:spacing w:val="-3"/>
              </w:rPr>
              <w:t> </w:t>
            </w:r>
            <w:r>
              <w:rPr>
                <w:b/>
                <w:color w:val="2E2925"/>
                <w:spacing w:val="-3"/>
              </w:rPr>
              <w:t>FOR</w:t>
            </w:r>
            <w:r>
              <w:rPr>
                <w:b/>
                <w:color w:val="2E2925"/>
              </w:rPr>
              <w:t xml:space="preserve">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595" w:type="dxa"/>
            <w:tcBorders>
              <w:bottom w:val="single" w:sz="8" w:space="0" w:color="7F7F7F"/>
            </w:tcBorders>
            <w:tcMar>
              <w:bottom w:w="160" w:type="dxa"/>
            </w:tcMar>
            <w:vAlign w:val="center"/>
          </w:tcPr>
          <w:p>
            <w:pPr>
              <w:pStyle w:val="TableContents"/>
              <w:bidi w:val="0"/>
              <w:spacing w:lineRule="atLeast" w:line="240" w:before="0" w:after="0"/>
              <w:jc w:val="center"/>
              <w:rPr/>
            </w:pPr>
            <w:hyperlink w:anchor="tPN3R">
              <w:r>
                <w:rPr>
                  <w:rStyle w:val="InternetLink"/>
                  <w:spacing w:val="-2"/>
                </w:rPr>
                <w:t>44</w:t>
              </w:r>
            </w:hyperlink>
            <w:r>
              <w:rPr>
                <w:spacing w:val="-2"/>
              </w:rPr>
              <w:t xml:space="preserve"> </w:t>
            </w:r>
          </w:p>
        </w:tc>
        <w:tc>
          <w:tcPr>
            <w:tcW w:w="156" w:type="dxa"/>
            <w:tcBorders>
              <w:bottom w:val="single" w:sz="8" w:space="0" w:color="7F7F7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DINO"/>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Proxy Summary</w:t>
      </w:r>
      <w:r>
        <w:rPr>
          <w:rFonts w:ascii="Arial;Helvetica;sans-serif" w:hAnsi="Arial;Helvetica;sans-serif"/>
          <w:b/>
          <w:i w:val="false"/>
          <w:caps w:val="false"/>
          <w:smallCaps w:val="false"/>
          <w:color w:val="7F7F7F"/>
          <w:spacing w:val="-3"/>
          <w:sz w:val="22"/>
        </w:rPr>
        <w:t xml:space="preserve"> </w:t>
      </w:r>
    </w:p>
    <w:p>
      <w:pPr>
        <w:pStyle w:val="TextBody"/>
        <w:bidi w:val="0"/>
        <w:spacing w:lineRule="atLeast" w:line="340" w:before="120" w:after="2027"/>
        <w:ind w:left="901"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DIRECTOR NOMINEES</w:t>
      </w:r>
      <w:r>
        <w:rPr>
          <w:rFonts w:ascii="Arial;Helvetica;sans-serif" w:hAnsi="Arial;Helvetica;sans-serif"/>
          <w:b/>
          <w:i w:val="false"/>
          <w:caps w:val="false"/>
          <w:smallCaps w:val="false"/>
          <w:color w:val="000000"/>
          <w:spacing w:val="6"/>
          <w:sz w:val="30"/>
        </w:rPr>
        <w:t xml:space="preserve"> </w:t>
      </w:r>
    </w:p>
    <w:tbl>
      <w:tblPr>
        <w:tblW w:w="15914" w:type="dxa"/>
        <w:jc w:val="left"/>
        <w:tblInd w:w="901" w:type="dxa"/>
        <w:tblLayout w:type="fixed"/>
        <w:tblCellMar>
          <w:top w:w="0" w:type="dxa"/>
          <w:left w:w="0" w:type="dxa"/>
          <w:bottom w:w="28" w:type="dxa"/>
          <w:right w:w="0" w:type="dxa"/>
        </w:tblCellMar>
      </w:tblPr>
      <w:tblGrid>
        <w:gridCol w:w="124"/>
        <w:gridCol w:w="1486"/>
        <w:gridCol w:w="109"/>
        <w:gridCol w:w="109"/>
        <w:gridCol w:w="511"/>
        <w:gridCol w:w="109"/>
        <w:gridCol w:w="109"/>
        <w:gridCol w:w="886"/>
        <w:gridCol w:w="109"/>
        <w:gridCol w:w="109"/>
        <w:gridCol w:w="781"/>
        <w:gridCol w:w="109"/>
        <w:gridCol w:w="109"/>
        <w:gridCol w:w="1276"/>
        <w:gridCol w:w="109"/>
        <w:gridCol w:w="109"/>
        <w:gridCol w:w="1387"/>
        <w:gridCol w:w="109"/>
        <w:gridCol w:w="109"/>
        <w:gridCol w:w="646"/>
        <w:gridCol w:w="109"/>
        <w:gridCol w:w="109"/>
        <w:gridCol w:w="1471"/>
        <w:gridCol w:w="109"/>
        <w:gridCol w:w="109"/>
        <w:gridCol w:w="1261"/>
        <w:gridCol w:w="109"/>
        <w:gridCol w:w="109"/>
        <w:gridCol w:w="1246"/>
        <w:gridCol w:w="109"/>
        <w:gridCol w:w="109"/>
        <w:gridCol w:w="1021"/>
        <w:gridCol w:w="109"/>
        <w:gridCol w:w="109"/>
        <w:gridCol w:w="1266"/>
        <w:gridCol w:w="154"/>
      </w:tblGrid>
      <w:tr>
        <w:trPr/>
        <w:tc>
          <w:tcPr>
            <w:tcW w:w="124" w:type="dxa"/>
            <w:tcBorders>
              <w:bottom w:val="single" w:sz="8" w:space="0" w:color="7F7F7F"/>
            </w:tcBorders>
            <w:vAlign w:val="center"/>
          </w:tcPr>
          <w:p>
            <w:pPr>
              <w:pStyle w:val="TableContents"/>
              <w:bidi w:val="0"/>
              <w:spacing w:before="0" w:after="283"/>
              <w:jc w:val="left"/>
              <w:rPr/>
            </w:pPr>
            <w:r>
              <w:rPr/>
              <w:t>​</w:t>
            </w:r>
          </w:p>
        </w:tc>
        <w:tc>
          <w:tcPr>
            <w:tcW w:w="1486"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511"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886"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781"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276"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387"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12" w:space="0" w:color="7F7F7F"/>
            </w:tcBorders>
            <w:vAlign w:val="center"/>
          </w:tcPr>
          <w:p>
            <w:pPr>
              <w:pStyle w:val="TableContents"/>
              <w:bidi w:val="0"/>
              <w:spacing w:before="0" w:after="283"/>
              <w:jc w:val="left"/>
              <w:rPr/>
            </w:pPr>
            <w:r>
              <w:rPr/>
              <w:t>​</w:t>
            </w:r>
          </w:p>
        </w:tc>
        <w:tc>
          <w:tcPr>
            <w:tcW w:w="6517" w:type="dxa"/>
            <w:gridSpan w:val="13"/>
            <w:tcBorders>
              <w:bottom w:val="single" w:sz="12" w:space="0" w:color="7F7F7F"/>
            </w:tcBorders>
            <w:shd w:fill="7F7F7F" w:val="clear"/>
            <w:vAlign w:val="center"/>
          </w:tcPr>
          <w:p>
            <w:pPr>
              <w:pStyle w:val="TableContents"/>
              <w:bidi w:val="0"/>
              <w:spacing w:before="0" w:after="0"/>
              <w:jc w:val="center"/>
              <w:rPr/>
            </w:pPr>
            <w:r>
              <w:rPr>
                <w:spacing w:val="-1"/>
              </w:rPr>
              <w:t>Committee Memberships</w:t>
            </w:r>
            <w:r>
              <w:rPr/>
              <w:t xml:space="preserve"> </w:t>
            </w:r>
          </w:p>
        </w:tc>
        <w:tc>
          <w:tcPr>
            <w:tcW w:w="109" w:type="dxa"/>
            <w:tcBorders>
              <w:bottom w:val="single" w:sz="12"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266" w:type="dxa"/>
            <w:tcBorders>
              <w:bottom w:val="single" w:sz="8" w:space="0" w:color="7F7F7F"/>
            </w:tcBorders>
            <w:vAlign w:val="center"/>
          </w:tcPr>
          <w:p>
            <w:pPr>
              <w:pStyle w:val="TableContents"/>
              <w:bidi w:val="0"/>
              <w:spacing w:before="0" w:after="283"/>
              <w:jc w:val="left"/>
              <w:rPr/>
            </w:pPr>
            <w:r>
              <w:rPr/>
              <w:t>​</w:t>
            </w:r>
          </w:p>
        </w:tc>
        <w:tc>
          <w:tcPr>
            <w:tcW w:w="154" w:type="dxa"/>
            <w:tcBorders>
              <w:bottom w:val="single" w:sz="8" w:space="0" w:color="7F7F7F"/>
            </w:tcBorders>
            <w:vAlign w:val="center"/>
          </w:tcPr>
          <w:p>
            <w:pPr>
              <w:pStyle w:val="TableContents"/>
              <w:bidi w:val="0"/>
              <w:spacing w:before="0" w:after="283"/>
              <w:jc w:val="left"/>
              <w:rPr/>
            </w:pPr>
            <w:r>
              <w:rPr/>
              <w:t>​</w:t>
            </w:r>
          </w:p>
        </w:tc>
      </w:tr>
      <w:tr>
        <w:trPr/>
        <w:tc>
          <w:tcPr>
            <w:tcW w:w="124" w:type="dxa"/>
            <w:tcBorders/>
            <w:shd w:fill="BAD8EA" w:val="clear"/>
            <w:tcMar>
              <w:bottom w:w="0" w:type="dxa"/>
            </w:tcMar>
            <w:vAlign w:val="center"/>
          </w:tcPr>
          <w:p>
            <w:pPr>
              <w:pStyle w:val="TableContents"/>
              <w:bidi w:val="0"/>
              <w:spacing w:before="0" w:after="283"/>
              <w:jc w:val="left"/>
              <w:rPr/>
            </w:pPr>
            <w:r>
              <w:rPr/>
              <w:t>​</w:t>
            </w:r>
          </w:p>
        </w:tc>
        <w:tc>
          <w:tcPr>
            <w:tcW w:w="1486" w:type="dxa"/>
            <w:tcBorders/>
            <w:shd w:fill="BAD8EA" w:val="clear"/>
            <w:tcMar>
              <w:bottom w:w="0" w:type="dxa"/>
            </w:tcMar>
            <w:vAlign w:val="center"/>
          </w:tcPr>
          <w:p>
            <w:pPr>
              <w:pStyle w:val="TableContents"/>
              <w:bidi w:val="0"/>
              <w:spacing w:before="0" w:after="0"/>
              <w:jc w:val="left"/>
              <w:rPr>
                <w:spacing w:val="0"/>
              </w:rPr>
            </w:pPr>
            <w:r>
              <w:rPr>
                <w:spacing w:val="0"/>
              </w:rPr>
              <w:t xml:space="preserve">Name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511" w:type="dxa"/>
            <w:tcBorders/>
            <w:shd w:fill="BAD8EA" w:val="clear"/>
            <w:tcMar>
              <w:bottom w:w="0" w:type="dxa"/>
            </w:tcMar>
            <w:vAlign w:val="center"/>
          </w:tcPr>
          <w:p>
            <w:pPr>
              <w:pStyle w:val="TableContents"/>
              <w:bidi w:val="0"/>
              <w:spacing w:before="0" w:after="0"/>
              <w:jc w:val="center"/>
              <w:rPr>
                <w:spacing w:val="0"/>
              </w:rPr>
            </w:pPr>
            <w:r>
              <w:rPr>
                <w:spacing w:val="0"/>
              </w:rPr>
              <w:t xml:space="preserve">Age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886" w:type="dxa"/>
            <w:tcBorders/>
            <w:shd w:fill="BAD8EA" w:val="clear"/>
            <w:tcMar>
              <w:bottom w:w="0" w:type="dxa"/>
            </w:tcMar>
            <w:vAlign w:val="center"/>
          </w:tcPr>
          <w:p>
            <w:pPr>
              <w:pStyle w:val="TableContents"/>
              <w:bidi w:val="0"/>
              <w:spacing w:lineRule="atLeast" w:line="142" w:before="0" w:after="0"/>
              <w:jc w:val="center"/>
              <w:rPr>
                <w:spacing w:val="0"/>
              </w:rPr>
            </w:pPr>
            <w:r>
              <w:rPr>
                <w:spacing w:val="0"/>
              </w:rPr>
              <w:t xml:space="preserve">Director </w:t>
              <w:br/>
              <w:t xml:space="preserve">Since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781" w:type="dxa"/>
            <w:tcBorders/>
            <w:shd w:fill="BAD8EA" w:val="clear"/>
            <w:tcMar>
              <w:bottom w:w="0" w:type="dxa"/>
            </w:tcMar>
            <w:vAlign w:val="center"/>
          </w:tcPr>
          <w:p>
            <w:pPr>
              <w:pStyle w:val="TableContents"/>
              <w:bidi w:val="0"/>
              <w:spacing w:before="0" w:after="0"/>
              <w:jc w:val="center"/>
              <w:rPr>
                <w:spacing w:val="0"/>
              </w:rPr>
            </w:pPr>
            <w:r>
              <w:rPr>
                <w:spacing w:val="0"/>
              </w:rPr>
              <w:t xml:space="preserve">Tenure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276" w:type="dxa"/>
            <w:tcBorders/>
            <w:shd w:fill="BAD8EA" w:val="clear"/>
            <w:tcMar>
              <w:bottom w:w="0" w:type="dxa"/>
            </w:tcMar>
            <w:vAlign w:val="center"/>
          </w:tcPr>
          <w:p>
            <w:pPr>
              <w:pStyle w:val="TableContents"/>
              <w:bidi w:val="0"/>
              <w:spacing w:before="0" w:after="0"/>
              <w:jc w:val="center"/>
              <w:rPr>
                <w:spacing w:val="0"/>
              </w:rPr>
            </w:pPr>
            <w:r>
              <w:rPr>
                <w:spacing w:val="0"/>
              </w:rPr>
              <w:t xml:space="preserve">Independent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387" w:type="dxa"/>
            <w:tcBorders/>
            <w:shd w:fill="BAD8EA" w:val="clear"/>
            <w:tcMar>
              <w:bottom w:w="0" w:type="dxa"/>
            </w:tcMar>
            <w:vAlign w:val="center"/>
          </w:tcPr>
          <w:p>
            <w:pPr>
              <w:pStyle w:val="TableContents"/>
              <w:bidi w:val="0"/>
              <w:spacing w:before="0" w:after="0"/>
              <w:jc w:val="center"/>
              <w:rPr>
                <w:spacing w:val="0"/>
              </w:rPr>
            </w:pPr>
            <w:r>
              <w:rPr>
                <w:spacing w:val="0"/>
              </w:rPr>
              <w:t xml:space="preserve">Principal Occupation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646" w:type="dxa"/>
            <w:tcBorders/>
            <w:shd w:fill="BAD8EA" w:val="clear"/>
            <w:tcMar>
              <w:bottom w:w="0" w:type="dxa"/>
            </w:tcMar>
            <w:vAlign w:val="center"/>
          </w:tcPr>
          <w:p>
            <w:pPr>
              <w:pStyle w:val="TableContents"/>
              <w:bidi w:val="0"/>
              <w:spacing w:before="0" w:after="0"/>
              <w:jc w:val="center"/>
              <w:rPr>
                <w:spacing w:val="0"/>
              </w:rPr>
            </w:pPr>
            <w:r>
              <w:rPr>
                <w:spacing w:val="0"/>
              </w:rPr>
              <w:t xml:space="preserve">Audit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471" w:type="dxa"/>
            <w:tcBorders/>
            <w:shd w:fill="BAD8EA" w:val="clear"/>
            <w:tcMar>
              <w:bottom w:w="0" w:type="dxa"/>
            </w:tcMar>
            <w:vAlign w:val="center"/>
          </w:tcPr>
          <w:p>
            <w:pPr>
              <w:pStyle w:val="TableContents"/>
              <w:bidi w:val="0"/>
              <w:spacing w:before="0" w:after="0"/>
              <w:jc w:val="center"/>
              <w:rPr>
                <w:spacing w:val="0"/>
              </w:rPr>
            </w:pPr>
            <w:r>
              <w:rPr>
                <w:spacing w:val="0"/>
              </w:rPr>
              <w:t xml:space="preserve">Compensation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261" w:type="dxa"/>
            <w:tcBorders/>
            <w:shd w:fill="BAD8EA" w:val="clear"/>
            <w:tcMar>
              <w:bottom w:w="0" w:type="dxa"/>
            </w:tcMar>
            <w:vAlign w:val="center"/>
          </w:tcPr>
          <w:p>
            <w:pPr>
              <w:pStyle w:val="TableContents"/>
              <w:bidi w:val="0"/>
              <w:spacing w:before="0" w:after="0"/>
              <w:jc w:val="center"/>
              <w:rPr/>
            </w:pPr>
            <w:r>
              <w:rPr>
                <w:spacing w:val="0"/>
              </w:rPr>
              <w:t>Nominating</w:t>
            </w:r>
            <w:r>
              <w:rPr/>
              <w:t xml:space="preserve"> </w:t>
              <w:br/>
            </w:r>
            <w:r>
              <w:rPr>
                <w:spacing w:val="-2"/>
              </w:rPr>
              <w:t>&amp;</w:t>
            </w:r>
            <w:r>
              <w:rPr/>
              <w:t xml:space="preserve"> </w:t>
              <w:br/>
            </w:r>
            <w:r>
              <w:rPr>
                <w:spacing w:val="0"/>
              </w:rPr>
              <w:t xml:space="preserve">Corporate </w:t>
              <w:br/>
              <w:t xml:space="preserve">Governance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246" w:type="dxa"/>
            <w:tcBorders/>
            <w:shd w:fill="BAD8EA" w:val="clear"/>
            <w:tcMar>
              <w:bottom w:w="0" w:type="dxa"/>
            </w:tcMar>
            <w:vAlign w:val="center"/>
          </w:tcPr>
          <w:p>
            <w:pPr>
              <w:pStyle w:val="TableContents"/>
              <w:bidi w:val="0"/>
              <w:spacing w:before="0" w:after="0"/>
              <w:jc w:val="center"/>
              <w:rPr/>
            </w:pPr>
            <w:r>
              <w:rPr>
                <w:spacing w:val="0"/>
              </w:rPr>
              <w:t>Technology</w:t>
            </w:r>
            <w:r>
              <w:rPr/>
              <w:t xml:space="preserv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21" w:type="dxa"/>
            <w:tcBorders/>
            <w:shd w:fill="BAD8EA" w:val="clear"/>
            <w:tcMar>
              <w:bottom w:w="0" w:type="dxa"/>
            </w:tcMar>
            <w:vAlign w:val="center"/>
          </w:tcPr>
          <w:p>
            <w:pPr>
              <w:pStyle w:val="TableContents"/>
              <w:bidi w:val="0"/>
              <w:spacing w:before="0" w:after="0"/>
              <w:jc w:val="center"/>
              <w:rPr/>
            </w:pPr>
            <w:r>
              <w:rPr>
                <w:spacing w:val="0"/>
              </w:rPr>
              <w:t>Insurance</w:t>
            </w:r>
            <w:r>
              <w:rPr/>
              <w:t xml:space="preserv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266" w:type="dxa"/>
            <w:tcBorders/>
            <w:shd w:fill="BAD8EA" w:val="clear"/>
            <w:tcMar>
              <w:bottom w:w="0" w:type="dxa"/>
            </w:tcMar>
            <w:vAlign w:val="center"/>
          </w:tcPr>
          <w:p>
            <w:pPr>
              <w:pStyle w:val="TableContents"/>
              <w:bidi w:val="0"/>
              <w:spacing w:before="0" w:after="0"/>
              <w:jc w:val="center"/>
              <w:rPr/>
            </w:pPr>
            <w:r>
              <w:rPr>
                <w:spacing w:val="0"/>
              </w:rPr>
              <w:t xml:space="preserve">Other </w:t>
            </w:r>
            <w:r>
              <w:rPr/>
              <w:br/>
            </w:r>
            <w:r>
              <w:rPr>
                <w:spacing w:val="-2"/>
              </w:rPr>
              <w:t>SEC-</w:t>
            </w:r>
            <w:r>
              <w:rPr/>
              <w:t xml:space="preserve"> </w:t>
              <w:br/>
            </w:r>
            <w:r>
              <w:rPr>
                <w:spacing w:val="0"/>
              </w:rPr>
              <w:t xml:space="preserve">Reporting </w:t>
              <w:br/>
              <w:t xml:space="preserve">Public </w:t>
              <w:br/>
              <w:t>Boards</w:t>
            </w:r>
            <w:r>
              <w:rPr>
                <w:spacing w:val="-2"/>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2E2925"/>
            </w:tcBorders>
            <w:vAlign w:val="center"/>
          </w:tcPr>
          <w:p>
            <w:pPr>
              <w:pStyle w:val="TableContents"/>
              <w:bidi w:val="0"/>
              <w:spacing w:before="0" w:after="283"/>
              <w:jc w:val="left"/>
              <w:rPr/>
            </w:pPr>
            <w:r>
              <w:rPr/>
              <w:t>​</w:t>
            </w:r>
          </w:p>
        </w:tc>
        <w:tc>
          <w:tcPr>
            <w:tcW w:w="1486" w:type="dxa"/>
            <w:tcBorders>
              <w:bottom w:val="single" w:sz="2" w:space="0" w:color="2E2925"/>
            </w:tcBorders>
            <w:vAlign w:val="center"/>
          </w:tcPr>
          <w:p>
            <w:pPr>
              <w:pStyle w:val="TableContents"/>
              <w:bidi w:val="0"/>
              <w:spacing w:lineRule="atLeast" w:line="144" w:before="0" w:after="0"/>
              <w:jc w:val="left"/>
              <w:rPr>
                <w:b/>
              </w:rPr>
            </w:pPr>
            <w:r>
              <w:rPr>
                <w:b/>
                <w:spacing w:val="0"/>
              </w:rPr>
              <w:t>William A. Ackman</w:t>
            </w:r>
            <w:r>
              <w:rPr>
                <w:b/>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511" w:type="dxa"/>
            <w:tcBorders>
              <w:bottom w:val="single" w:sz="2" w:space="0" w:color="2E2925"/>
            </w:tcBorders>
            <w:vAlign w:val="center"/>
          </w:tcPr>
          <w:p>
            <w:pPr>
              <w:pStyle w:val="TableContents"/>
              <w:bidi w:val="0"/>
              <w:spacing w:lineRule="atLeast" w:line="144" w:before="0" w:after="0"/>
              <w:jc w:val="center"/>
              <w:rPr/>
            </w:pPr>
            <w:r>
              <w:rPr>
                <w:spacing w:val="-1"/>
              </w:rPr>
              <w:t>60</w:t>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886" w:type="dxa"/>
            <w:tcBorders>
              <w:bottom w:val="single" w:sz="2" w:space="0" w:color="2E2925"/>
            </w:tcBorders>
            <w:vAlign w:val="center"/>
          </w:tcPr>
          <w:p>
            <w:pPr>
              <w:pStyle w:val="TableContents"/>
              <w:bidi w:val="0"/>
              <w:spacing w:lineRule="atLeast" w:line="144" w:before="0" w:after="0"/>
              <w:jc w:val="center"/>
              <w:rPr/>
            </w:pPr>
            <w:r>
              <w:rPr>
                <w:spacing w:val="-1"/>
              </w:rPr>
              <w:t>2025*</w:t>
            </w:r>
            <w:r>
              <w:rPr/>
              <w:t xml:space="preserve"> </w:t>
            </w:r>
          </w:p>
          <w:p>
            <w:pPr>
              <w:pStyle w:val="TableContents"/>
              <w:bidi w:val="0"/>
              <w:spacing w:before="24" w:after="283"/>
              <w:jc w:val="center"/>
              <w:rPr/>
            </w:pPr>
            <w:r>
              <w:rPr/>
              <w:drawing>
                <wp:inline distT="0" distB="0" distL="0" distR="0">
                  <wp:extent cx="123825" cy="123825"/>
                  <wp:effectExtent l="0" t="0" r="0" b="0"/>
                  <wp:docPr id="3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0" descr=""/>
                          <pic:cNvPicPr>
                            <a:picLocks noChangeAspect="1" noChangeArrowheads="1"/>
                          </pic:cNvPicPr>
                        </pic:nvPicPr>
                        <pic:blipFill>
                          <a:blip r:embed="rId21"/>
                          <a:stretch>
                            <a:fillRect/>
                          </a:stretch>
                        </pic:blipFill>
                        <pic:spPr bwMode="auto">
                          <a:xfrm>
                            <a:off x="0" y="0"/>
                            <a:ext cx="123825" cy="123825"/>
                          </a:xfrm>
                          <a:prstGeom prst="rect">
                            <a:avLst/>
                          </a:prstGeom>
                        </pic:spPr>
                      </pic:pic>
                    </a:graphicData>
                  </a:graphic>
                </wp:inline>
              </w:drawing>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781" w:type="dxa"/>
            <w:tcBorders>
              <w:bottom w:val="single" w:sz="2" w:space="0" w:color="2E2925"/>
            </w:tcBorders>
            <w:vAlign w:val="center"/>
          </w:tcPr>
          <w:p>
            <w:pPr>
              <w:pStyle w:val="TableContents"/>
              <w:bidi w:val="0"/>
              <w:spacing w:lineRule="atLeast" w:line="144" w:before="0" w:after="0"/>
              <w:jc w:val="center"/>
              <w:rPr>
                <w:spacing w:val="-1"/>
              </w:rPr>
            </w:pPr>
            <w:r>
              <w:rPr>
                <w:spacing w:val="-1"/>
              </w:rPr>
              <w:t xml:space="preserve">15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76"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387" w:type="dxa"/>
            <w:tcBorders>
              <w:bottom w:val="single" w:sz="2" w:space="0" w:color="2E2925"/>
            </w:tcBorders>
            <w:tcMar>
              <w:bottom w:w="34" w:type="dxa"/>
            </w:tcMar>
            <w:vAlign w:val="center"/>
          </w:tcPr>
          <w:p>
            <w:pPr>
              <w:pStyle w:val="TableContents"/>
              <w:bidi w:val="0"/>
              <w:spacing w:lineRule="atLeast" w:line="144" w:before="0" w:after="0"/>
              <w:jc w:val="left"/>
              <w:rPr>
                <w:spacing w:val="-1"/>
              </w:rPr>
            </w:pPr>
            <w:r>
              <w:rPr>
                <w:spacing w:val="-1"/>
              </w:rPr>
              <w:t xml:space="preserve">Chief Executive Officer and Portfolio Manager of Pershing Square Capital Management, L.P., Executive Chairman, HHH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646" w:type="dxa"/>
            <w:tcBorders>
              <w:bottom w:val="single" w:sz="2" w:space="0" w:color="2E2925"/>
            </w:tcBorders>
            <w:tcMar>
              <w:bottom w:w="34" w:type="dxa"/>
            </w:tcMar>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471" w:type="dxa"/>
            <w:tcBorders>
              <w:bottom w:val="single" w:sz="2" w:space="0" w:color="2E2925"/>
            </w:tcBorders>
            <w:tcMar>
              <w:bottom w:w="34" w:type="dxa"/>
            </w:tcMar>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61" w:type="dxa"/>
            <w:tcBorders>
              <w:bottom w:val="single" w:sz="2" w:space="0" w:color="2E2925"/>
            </w:tcBorders>
            <w:tcMar>
              <w:bottom w:w="34" w:type="dxa"/>
            </w:tcMar>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46" w:type="dxa"/>
            <w:tcBorders>
              <w:bottom w:val="single" w:sz="2" w:space="0" w:color="2E2925"/>
            </w:tcBorders>
            <w:tcMar>
              <w:bottom w:w="34" w:type="dxa"/>
            </w:tcMar>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21" w:type="dxa"/>
            <w:tcBorders>
              <w:bottom w:val="single" w:sz="2" w:space="0" w:color="2E2925"/>
            </w:tcBorders>
            <w:vAlign w:val="center"/>
          </w:tcPr>
          <w:p>
            <w:pPr>
              <w:pStyle w:val="TableContents"/>
              <w:bidi w:val="0"/>
              <w:spacing w:before="0" w:after="0"/>
              <w:jc w:val="center"/>
              <w:rPr/>
            </w:pPr>
            <w:r>
              <w:rPr/>
              <w:drawing>
                <wp:inline distT="0" distB="0" distL="0" distR="0">
                  <wp:extent cx="76200" cy="161925"/>
                  <wp:effectExtent l="0" t="0" r="0" b="0"/>
                  <wp:docPr id="3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1" descr=""/>
                          <pic:cNvPicPr>
                            <a:picLocks noChangeAspect="1" noChangeArrowheads="1"/>
                          </pic:cNvPicPr>
                        </pic:nvPicPr>
                        <pic:blipFill>
                          <a:blip r:embed="rId22"/>
                          <a:stretch>
                            <a:fillRect/>
                          </a:stretch>
                        </pic:blipFill>
                        <pic:spPr bwMode="auto">
                          <a:xfrm>
                            <a:off x="0" y="0"/>
                            <a:ext cx="76200" cy="161925"/>
                          </a:xfrm>
                          <a:prstGeom prst="rect">
                            <a:avLst/>
                          </a:prstGeom>
                        </pic:spPr>
                      </pic:pic>
                    </a:graphicData>
                  </a:graphic>
                </wp:inline>
              </w:drawing>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66" w:type="dxa"/>
            <w:tcBorders>
              <w:bottom w:val="single" w:sz="2" w:space="0" w:color="2E2925"/>
            </w:tcBorders>
            <w:tcMar>
              <w:bottom w:w="34" w:type="dxa"/>
            </w:tcMar>
            <w:vAlign w:val="center"/>
          </w:tcPr>
          <w:p>
            <w:pPr>
              <w:pStyle w:val="TableContents"/>
              <w:bidi w:val="0"/>
              <w:spacing w:lineRule="atLeast" w:line="144" w:before="0" w:after="0"/>
              <w:jc w:val="left"/>
              <w:rPr>
                <w:spacing w:val="-1"/>
              </w:rPr>
            </w:pPr>
            <w:r>
              <w:rPr>
                <w:spacing w:val="-1"/>
              </w:rPr>
              <w:t xml:space="preserve">None </w:t>
            </w:r>
          </w:p>
        </w:tc>
        <w:tc>
          <w:tcPr>
            <w:tcW w:w="154" w:type="dxa"/>
            <w:tcBorders>
              <w:bottom w:val="single" w:sz="2" w:space="0" w:color="2E2925"/>
            </w:tcBorders>
            <w:vAlign w:val="center"/>
          </w:tcPr>
          <w:p>
            <w:pPr>
              <w:pStyle w:val="TableContents"/>
              <w:bidi w:val="0"/>
              <w:spacing w:before="0" w:after="283"/>
              <w:jc w:val="left"/>
              <w:rPr/>
            </w:pPr>
            <w:r>
              <w:rPr/>
              <w:t>​</w:t>
            </w:r>
          </w:p>
        </w:tc>
      </w:tr>
      <w:tr>
        <w:trPr/>
        <w:tc>
          <w:tcPr>
            <w:tcW w:w="124" w:type="dxa"/>
            <w:tcBorders>
              <w:bottom w:val="single" w:sz="2" w:space="0" w:color="2E2925"/>
            </w:tcBorders>
            <w:vAlign w:val="center"/>
          </w:tcPr>
          <w:p>
            <w:pPr>
              <w:pStyle w:val="TableContents"/>
              <w:bidi w:val="0"/>
              <w:spacing w:before="0" w:after="283"/>
              <w:jc w:val="left"/>
              <w:rPr/>
            </w:pPr>
            <w:r>
              <w:rPr/>
              <w:t>​</w:t>
            </w:r>
          </w:p>
        </w:tc>
        <w:tc>
          <w:tcPr>
            <w:tcW w:w="1486" w:type="dxa"/>
            <w:tcBorders>
              <w:bottom w:val="single" w:sz="2" w:space="0" w:color="2E2925"/>
            </w:tcBorders>
            <w:vAlign w:val="center"/>
          </w:tcPr>
          <w:p>
            <w:pPr>
              <w:pStyle w:val="TableContents"/>
              <w:bidi w:val="0"/>
              <w:spacing w:lineRule="atLeast" w:line="144" w:before="0" w:after="0"/>
              <w:jc w:val="left"/>
              <w:rPr>
                <w:b/>
              </w:rPr>
            </w:pPr>
            <w:r>
              <w:rPr>
                <w:b/>
                <w:spacing w:val="0"/>
              </w:rPr>
              <w:t>David Eun</w:t>
            </w:r>
            <w:r>
              <w:rPr>
                <w:b/>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511" w:type="dxa"/>
            <w:tcBorders>
              <w:bottom w:val="single" w:sz="2" w:space="0" w:color="2E2925"/>
            </w:tcBorders>
            <w:vAlign w:val="center"/>
          </w:tcPr>
          <w:p>
            <w:pPr>
              <w:pStyle w:val="TableContents"/>
              <w:bidi w:val="0"/>
              <w:spacing w:lineRule="atLeast" w:line="144" w:before="0" w:after="0"/>
              <w:jc w:val="center"/>
              <w:rPr>
                <w:spacing w:val="-1"/>
              </w:rPr>
            </w:pPr>
            <w:r>
              <w:rPr>
                <w:spacing w:val="-1"/>
              </w:rPr>
              <w:t xml:space="preserve">59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886" w:type="dxa"/>
            <w:tcBorders>
              <w:bottom w:val="single" w:sz="2" w:space="0" w:color="2E2925"/>
            </w:tcBorders>
            <w:vAlign w:val="center"/>
          </w:tcPr>
          <w:p>
            <w:pPr>
              <w:pStyle w:val="TableContents"/>
              <w:bidi w:val="0"/>
              <w:spacing w:lineRule="atLeast" w:line="144" w:before="0" w:after="0"/>
              <w:jc w:val="center"/>
              <w:rPr>
                <w:spacing w:val="-1"/>
              </w:rPr>
            </w:pPr>
            <w:r>
              <w:rPr>
                <w:spacing w:val="-1"/>
              </w:rPr>
              <w:t xml:space="preserve">2023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781" w:type="dxa"/>
            <w:tcBorders>
              <w:bottom w:val="single" w:sz="2" w:space="0" w:color="2E2925"/>
            </w:tcBorders>
            <w:vAlign w:val="center"/>
          </w:tcPr>
          <w:p>
            <w:pPr>
              <w:pStyle w:val="TableContents"/>
              <w:bidi w:val="0"/>
              <w:spacing w:lineRule="atLeast" w:line="144" w:before="0" w:after="0"/>
              <w:jc w:val="center"/>
              <w:rPr>
                <w:spacing w:val="-1"/>
              </w:rPr>
            </w:pPr>
            <w:r>
              <w:rPr>
                <w:spacing w:val="-1"/>
              </w:rPr>
              <w:t xml:space="preserve">3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76" w:type="dxa"/>
            <w:tcBorders>
              <w:bottom w:val="single" w:sz="2" w:space="0" w:color="2E2925"/>
            </w:tcBorders>
            <w:vAlign w:val="center"/>
          </w:tcPr>
          <w:p>
            <w:pPr>
              <w:pStyle w:val="TableContents"/>
              <w:bidi w:val="0"/>
              <w:spacing w:lineRule="atLeast" w:line="280" w:before="0" w:after="0"/>
              <w:jc w:val="center"/>
              <w:rPr/>
            </w:pPr>
            <w:r>
              <w:rPr>
                <w:spacing w:val="-2"/>
              </w:rPr>
              <w:t>✓</w:t>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387" w:type="dxa"/>
            <w:tcBorders>
              <w:bottom w:val="single" w:sz="2" w:space="0" w:color="2E2925"/>
            </w:tcBorders>
            <w:vAlign w:val="center"/>
          </w:tcPr>
          <w:p>
            <w:pPr>
              <w:pStyle w:val="TableContents"/>
              <w:bidi w:val="0"/>
              <w:spacing w:lineRule="atLeast" w:line="144" w:before="0" w:after="0"/>
              <w:jc w:val="left"/>
              <w:rPr/>
            </w:pPr>
            <w:r>
              <w:rPr>
                <w:spacing w:val="-1"/>
              </w:rPr>
              <w:t>Former President, Chief Innovation Officer, Samsung Electronics</w:t>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646" w:type="dxa"/>
            <w:tcBorders>
              <w:bottom w:val="single" w:sz="2" w:space="0" w:color="2E2925"/>
            </w:tcBorders>
            <w:vAlign w:val="center"/>
          </w:tcPr>
          <w:p>
            <w:pPr>
              <w:pStyle w:val="TableContents"/>
              <w:bidi w:val="0"/>
              <w:spacing w:before="0" w:after="0"/>
              <w:jc w:val="center"/>
              <w:rPr/>
            </w:pPr>
            <w:r>
              <w:rPr/>
              <w:drawing>
                <wp:inline distT="0" distB="0" distL="0" distR="0">
                  <wp:extent cx="76200" cy="161925"/>
                  <wp:effectExtent l="0" t="0" r="0" b="0"/>
                  <wp:docPr id="3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2" descr=""/>
                          <pic:cNvPicPr>
                            <a:picLocks noChangeAspect="1" noChangeArrowheads="1"/>
                          </pic:cNvPicPr>
                        </pic:nvPicPr>
                        <pic:blipFill>
                          <a:blip r:embed="rId23"/>
                          <a:stretch>
                            <a:fillRect/>
                          </a:stretch>
                        </pic:blipFill>
                        <pic:spPr bwMode="auto">
                          <a:xfrm>
                            <a:off x="0" y="0"/>
                            <a:ext cx="76200" cy="161925"/>
                          </a:xfrm>
                          <a:prstGeom prst="rect">
                            <a:avLst/>
                          </a:prstGeom>
                        </pic:spPr>
                      </pic:pic>
                    </a:graphicData>
                  </a:graphic>
                </wp:inline>
              </w:drawing>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471"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61"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46" w:type="dxa"/>
            <w:tcBorders>
              <w:bottom w:val="single" w:sz="2" w:space="0" w:color="2E2925"/>
            </w:tcBorders>
            <w:vAlign w:val="center"/>
          </w:tcPr>
          <w:p>
            <w:pPr>
              <w:pStyle w:val="TableContents"/>
              <w:bidi w:val="0"/>
              <w:spacing w:before="0" w:after="0"/>
              <w:jc w:val="center"/>
              <w:rPr/>
            </w:pPr>
            <w:r>
              <w:rPr/>
              <w:drawing>
                <wp:inline distT="0" distB="0" distL="0" distR="0">
                  <wp:extent cx="104775" cy="180975"/>
                  <wp:effectExtent l="0" t="0" r="0" b="0"/>
                  <wp:docPr id="3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3" descr=""/>
                          <pic:cNvPicPr>
                            <a:picLocks noChangeAspect="1" noChangeArrowheads="1"/>
                          </pic:cNvPicPr>
                        </pic:nvPicPr>
                        <pic:blipFill>
                          <a:blip r:embed="rId24"/>
                          <a:stretch>
                            <a:fillRect/>
                          </a:stretch>
                        </pic:blipFill>
                        <pic:spPr bwMode="auto">
                          <a:xfrm>
                            <a:off x="0" y="0"/>
                            <a:ext cx="104775" cy="180975"/>
                          </a:xfrm>
                          <a:prstGeom prst="rect">
                            <a:avLst/>
                          </a:prstGeom>
                        </pic:spPr>
                      </pic:pic>
                    </a:graphicData>
                  </a:graphic>
                </wp:inline>
              </w:drawing>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21"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66" w:type="dxa"/>
            <w:tcBorders>
              <w:bottom w:val="single" w:sz="2" w:space="0" w:color="2E2925"/>
            </w:tcBorders>
            <w:vAlign w:val="center"/>
          </w:tcPr>
          <w:p>
            <w:pPr>
              <w:pStyle w:val="TableContents"/>
              <w:bidi w:val="0"/>
              <w:spacing w:lineRule="atLeast" w:line="144" w:before="0" w:after="0"/>
              <w:jc w:val="left"/>
              <w:rPr>
                <w:spacing w:val="-1"/>
              </w:rPr>
            </w:pPr>
            <w:r>
              <w:rPr>
                <w:spacing w:val="-1"/>
              </w:rPr>
              <w:t xml:space="preserve">Versant Media </w:t>
              <w:br/>
              <w:t xml:space="preserve">Group, Inc. </w:t>
            </w:r>
          </w:p>
        </w:tc>
        <w:tc>
          <w:tcPr>
            <w:tcW w:w="154" w:type="dxa"/>
            <w:tcBorders>
              <w:bottom w:val="single" w:sz="2" w:space="0" w:color="2E2925"/>
            </w:tcBorders>
            <w:vAlign w:val="center"/>
          </w:tcPr>
          <w:p>
            <w:pPr>
              <w:pStyle w:val="TableContents"/>
              <w:bidi w:val="0"/>
              <w:spacing w:before="0" w:after="283"/>
              <w:jc w:val="left"/>
              <w:rPr/>
            </w:pPr>
            <w:r>
              <w:rPr/>
              <w:t>​</w:t>
            </w:r>
          </w:p>
        </w:tc>
      </w:tr>
      <w:tr>
        <w:trPr/>
        <w:tc>
          <w:tcPr>
            <w:tcW w:w="124" w:type="dxa"/>
            <w:tcBorders>
              <w:bottom w:val="single" w:sz="2" w:space="0" w:color="2E2925"/>
            </w:tcBorders>
            <w:vAlign w:val="center"/>
          </w:tcPr>
          <w:p>
            <w:pPr>
              <w:pStyle w:val="TableContents"/>
              <w:bidi w:val="0"/>
              <w:spacing w:before="0" w:after="283"/>
              <w:jc w:val="left"/>
              <w:rPr/>
            </w:pPr>
            <w:r>
              <w:rPr/>
              <w:t>​</w:t>
            </w:r>
          </w:p>
        </w:tc>
        <w:tc>
          <w:tcPr>
            <w:tcW w:w="1486" w:type="dxa"/>
            <w:tcBorders>
              <w:bottom w:val="single" w:sz="2" w:space="0" w:color="2E2925"/>
            </w:tcBorders>
            <w:vAlign w:val="center"/>
          </w:tcPr>
          <w:p>
            <w:pPr>
              <w:pStyle w:val="TableContents"/>
              <w:bidi w:val="0"/>
              <w:spacing w:lineRule="atLeast" w:line="144" w:before="0" w:after="0"/>
              <w:jc w:val="left"/>
              <w:rPr>
                <w:b/>
              </w:rPr>
            </w:pPr>
            <w:r>
              <w:rPr>
                <w:b/>
                <w:spacing w:val="0"/>
              </w:rPr>
              <w:t>Marc Grandisson</w:t>
            </w:r>
            <w:r>
              <w:rPr>
                <w:b/>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511" w:type="dxa"/>
            <w:tcBorders>
              <w:bottom w:val="single" w:sz="2" w:space="0" w:color="2E2925"/>
            </w:tcBorders>
            <w:vAlign w:val="center"/>
          </w:tcPr>
          <w:p>
            <w:pPr>
              <w:pStyle w:val="TableContents"/>
              <w:bidi w:val="0"/>
              <w:spacing w:lineRule="atLeast" w:line="144" w:before="0" w:after="0"/>
              <w:jc w:val="center"/>
              <w:rPr/>
            </w:pPr>
            <w:r>
              <w:rPr>
                <w:spacing w:val="-1"/>
              </w:rPr>
              <w:t>59</w:t>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886" w:type="dxa"/>
            <w:tcBorders>
              <w:bottom w:val="single" w:sz="2" w:space="0" w:color="2E2925"/>
            </w:tcBorders>
            <w:vAlign w:val="center"/>
          </w:tcPr>
          <w:p>
            <w:pPr>
              <w:pStyle w:val="TableContents"/>
              <w:bidi w:val="0"/>
              <w:spacing w:lineRule="atLeast" w:line="144" w:before="0" w:after="0"/>
              <w:jc w:val="center"/>
              <w:rPr/>
            </w:pPr>
            <w:r>
              <w:rPr>
                <w:spacing w:val="-1"/>
              </w:rPr>
              <w:t>2026</w:t>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781" w:type="dxa"/>
            <w:tcBorders>
              <w:bottom w:val="single" w:sz="2" w:space="0" w:color="2E2925"/>
            </w:tcBorders>
            <w:vAlign w:val="center"/>
          </w:tcPr>
          <w:p>
            <w:pPr>
              <w:pStyle w:val="TableContents"/>
              <w:bidi w:val="0"/>
              <w:spacing w:lineRule="atLeast" w:line="144" w:before="0" w:after="0"/>
              <w:jc w:val="center"/>
              <w:rPr/>
            </w:pPr>
            <w:r>
              <w:rPr>
                <w:spacing w:val="-1"/>
              </w:rPr>
              <w:t>&lt;1</w:t>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76"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387" w:type="dxa"/>
            <w:tcBorders>
              <w:bottom w:val="single" w:sz="2" w:space="0" w:color="2E2925"/>
            </w:tcBorders>
            <w:tcMar>
              <w:bottom w:w="34" w:type="dxa"/>
            </w:tcMar>
            <w:vAlign w:val="center"/>
          </w:tcPr>
          <w:p>
            <w:pPr>
              <w:pStyle w:val="TableContents"/>
              <w:bidi w:val="0"/>
              <w:spacing w:lineRule="atLeast" w:line="144" w:before="0" w:after="0"/>
              <w:jc w:val="left"/>
              <w:rPr/>
            </w:pPr>
            <w:r>
              <w:rPr>
                <w:spacing w:val="-1"/>
              </w:rPr>
              <w:t>Former Chief Executive Officer of Arch Capital Group Ltd.; Executive Chair, Vantage</w:t>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646" w:type="dxa"/>
            <w:tcBorders>
              <w:bottom w:val="single" w:sz="2" w:space="0" w:color="2E2925"/>
            </w:tcBorders>
            <w:tcMar>
              <w:bottom w:w="34" w:type="dxa"/>
            </w:tcMar>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471" w:type="dxa"/>
            <w:tcBorders>
              <w:bottom w:val="single" w:sz="2" w:space="0" w:color="2E2925"/>
            </w:tcBorders>
            <w:tcMar>
              <w:bottom w:w="34" w:type="dxa"/>
            </w:tcMar>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61" w:type="dxa"/>
            <w:tcBorders>
              <w:bottom w:val="single" w:sz="2" w:space="0" w:color="2E2925"/>
            </w:tcBorders>
            <w:tcMar>
              <w:bottom w:w="34" w:type="dxa"/>
            </w:tcMar>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46" w:type="dxa"/>
            <w:tcBorders>
              <w:bottom w:val="single" w:sz="2" w:space="0" w:color="2E2925"/>
            </w:tcBorders>
            <w:tcMar>
              <w:bottom w:w="34" w:type="dxa"/>
            </w:tcMar>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21" w:type="dxa"/>
            <w:tcBorders>
              <w:bottom w:val="single" w:sz="2" w:space="0" w:color="2E2925"/>
            </w:tcBorders>
            <w:vAlign w:val="center"/>
          </w:tcPr>
          <w:p>
            <w:pPr>
              <w:pStyle w:val="TableContents"/>
              <w:bidi w:val="0"/>
              <w:spacing w:before="0" w:after="0"/>
              <w:jc w:val="center"/>
              <w:rPr/>
            </w:pPr>
            <w:r>
              <w:rPr/>
              <w:drawing>
                <wp:inline distT="0" distB="0" distL="0" distR="0">
                  <wp:extent cx="104775" cy="180975"/>
                  <wp:effectExtent l="0" t="0" r="0" b="0"/>
                  <wp:docPr id="3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4" descr=""/>
                          <pic:cNvPicPr>
                            <a:picLocks noChangeAspect="1" noChangeArrowheads="1"/>
                          </pic:cNvPicPr>
                        </pic:nvPicPr>
                        <pic:blipFill>
                          <a:blip r:embed="rId25"/>
                          <a:stretch>
                            <a:fillRect/>
                          </a:stretch>
                        </pic:blipFill>
                        <pic:spPr bwMode="auto">
                          <a:xfrm>
                            <a:off x="0" y="0"/>
                            <a:ext cx="104775" cy="180975"/>
                          </a:xfrm>
                          <a:prstGeom prst="rect">
                            <a:avLst/>
                          </a:prstGeom>
                        </pic:spPr>
                      </pic:pic>
                    </a:graphicData>
                  </a:graphic>
                </wp:inline>
              </w:drawing>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66" w:type="dxa"/>
            <w:tcBorders>
              <w:bottom w:val="single" w:sz="2" w:space="0" w:color="2E2925"/>
            </w:tcBorders>
            <w:tcMar>
              <w:bottom w:w="34" w:type="dxa"/>
            </w:tcMar>
            <w:vAlign w:val="center"/>
          </w:tcPr>
          <w:p>
            <w:pPr>
              <w:pStyle w:val="TableContents"/>
              <w:bidi w:val="0"/>
              <w:spacing w:lineRule="atLeast" w:line="144" w:before="0" w:after="0"/>
              <w:jc w:val="left"/>
              <w:rPr>
                <w:spacing w:val="-1"/>
              </w:rPr>
            </w:pPr>
            <w:r>
              <w:rPr>
                <w:spacing w:val="-1"/>
              </w:rPr>
              <w:t xml:space="preserve">None </w:t>
            </w:r>
          </w:p>
        </w:tc>
        <w:tc>
          <w:tcPr>
            <w:tcW w:w="154" w:type="dxa"/>
            <w:tcBorders>
              <w:bottom w:val="single" w:sz="2" w:space="0" w:color="2E2925"/>
            </w:tcBorders>
            <w:vAlign w:val="center"/>
          </w:tcPr>
          <w:p>
            <w:pPr>
              <w:pStyle w:val="TableContents"/>
              <w:bidi w:val="0"/>
              <w:spacing w:before="0" w:after="283"/>
              <w:jc w:val="left"/>
              <w:rPr/>
            </w:pPr>
            <w:r>
              <w:rPr/>
              <w:t>​</w:t>
            </w:r>
          </w:p>
        </w:tc>
      </w:tr>
      <w:tr>
        <w:trPr/>
        <w:tc>
          <w:tcPr>
            <w:tcW w:w="124" w:type="dxa"/>
            <w:tcBorders>
              <w:bottom w:val="single" w:sz="2" w:space="0" w:color="2E2925"/>
            </w:tcBorders>
            <w:vAlign w:val="center"/>
          </w:tcPr>
          <w:p>
            <w:pPr>
              <w:pStyle w:val="TableContents"/>
              <w:bidi w:val="0"/>
              <w:spacing w:before="0" w:after="283"/>
              <w:jc w:val="left"/>
              <w:rPr/>
            </w:pPr>
            <w:r>
              <w:rPr/>
              <w:t>​</w:t>
            </w:r>
          </w:p>
        </w:tc>
        <w:tc>
          <w:tcPr>
            <w:tcW w:w="1486" w:type="dxa"/>
            <w:tcBorders>
              <w:bottom w:val="single" w:sz="2" w:space="0" w:color="2E2925"/>
            </w:tcBorders>
            <w:vAlign w:val="center"/>
          </w:tcPr>
          <w:p>
            <w:pPr>
              <w:pStyle w:val="TableContents"/>
              <w:bidi w:val="0"/>
              <w:spacing w:lineRule="atLeast" w:line="144" w:before="0" w:after="0"/>
              <w:jc w:val="left"/>
              <w:rPr>
                <w:b/>
              </w:rPr>
            </w:pPr>
            <w:r>
              <w:rPr>
                <w:b/>
                <w:spacing w:val="0"/>
              </w:rPr>
              <w:t>Ryan Israel</w:t>
            </w:r>
            <w:r>
              <w:rPr>
                <w:b/>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511" w:type="dxa"/>
            <w:tcBorders>
              <w:bottom w:val="single" w:sz="2" w:space="0" w:color="2E2925"/>
            </w:tcBorders>
            <w:vAlign w:val="center"/>
          </w:tcPr>
          <w:p>
            <w:pPr>
              <w:pStyle w:val="TableContents"/>
              <w:bidi w:val="0"/>
              <w:spacing w:lineRule="atLeast" w:line="144" w:before="0" w:after="0"/>
              <w:jc w:val="center"/>
              <w:rPr>
                <w:spacing w:val="-1"/>
              </w:rPr>
            </w:pPr>
            <w:r>
              <w:rPr>
                <w:spacing w:val="-1"/>
              </w:rPr>
              <w:t xml:space="preserve">41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886" w:type="dxa"/>
            <w:tcBorders>
              <w:bottom w:val="single" w:sz="2" w:space="0" w:color="2E2925"/>
            </w:tcBorders>
            <w:vAlign w:val="center"/>
          </w:tcPr>
          <w:p>
            <w:pPr>
              <w:pStyle w:val="TableContents"/>
              <w:bidi w:val="0"/>
              <w:spacing w:lineRule="atLeast" w:line="144" w:before="0" w:after="0"/>
              <w:jc w:val="center"/>
              <w:rPr>
                <w:spacing w:val="-1"/>
              </w:rPr>
            </w:pPr>
            <w:r>
              <w:rPr>
                <w:spacing w:val="-1"/>
              </w:rPr>
              <w:t xml:space="preserve">2025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781" w:type="dxa"/>
            <w:tcBorders>
              <w:bottom w:val="single" w:sz="2" w:space="0" w:color="2E2925"/>
            </w:tcBorders>
            <w:vAlign w:val="center"/>
          </w:tcPr>
          <w:p>
            <w:pPr>
              <w:pStyle w:val="TableContents"/>
              <w:bidi w:val="0"/>
              <w:spacing w:lineRule="atLeast" w:line="144" w:before="0" w:after="0"/>
              <w:jc w:val="center"/>
              <w:rPr>
                <w:spacing w:val="-1"/>
              </w:rPr>
            </w:pPr>
            <w:r>
              <w:rPr>
                <w:spacing w:val="-1"/>
              </w:rPr>
              <w:t xml:space="preserve">1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76"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387" w:type="dxa"/>
            <w:tcBorders>
              <w:bottom w:val="single" w:sz="2" w:space="0" w:color="2E2925"/>
            </w:tcBorders>
            <w:tcMar>
              <w:bottom w:w="34" w:type="dxa"/>
            </w:tcMar>
            <w:vAlign w:val="center"/>
          </w:tcPr>
          <w:p>
            <w:pPr>
              <w:pStyle w:val="TableContents"/>
              <w:bidi w:val="0"/>
              <w:spacing w:lineRule="atLeast" w:line="144" w:before="0" w:after="0"/>
              <w:jc w:val="left"/>
              <w:rPr>
                <w:spacing w:val="-1"/>
              </w:rPr>
            </w:pPr>
            <w:r>
              <w:rPr>
                <w:spacing w:val="-1"/>
              </w:rPr>
              <w:t xml:space="preserve">Chief Investment Officer of Pershing Square Capital Management, L.P., Chief Investment Officer, HHH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646" w:type="dxa"/>
            <w:tcBorders>
              <w:bottom w:val="single" w:sz="2" w:space="0" w:color="2E2925"/>
            </w:tcBorders>
            <w:tcMar>
              <w:bottom w:w="34" w:type="dxa"/>
            </w:tcMar>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471" w:type="dxa"/>
            <w:tcBorders>
              <w:bottom w:val="single" w:sz="2" w:space="0" w:color="2E2925"/>
            </w:tcBorders>
            <w:vAlign w:val="center"/>
          </w:tcPr>
          <w:p>
            <w:pPr>
              <w:pStyle w:val="TableContents"/>
              <w:bidi w:val="0"/>
              <w:spacing w:before="0" w:after="0"/>
              <w:jc w:val="center"/>
              <w:rPr/>
            </w:pPr>
            <w:r>
              <w:rPr/>
              <w:drawing>
                <wp:inline distT="0" distB="0" distL="0" distR="0">
                  <wp:extent cx="190500" cy="180975"/>
                  <wp:effectExtent l="0" t="0" r="0" b="0"/>
                  <wp:docPr id="3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5" descr=""/>
                          <pic:cNvPicPr>
                            <a:picLocks noChangeAspect="1" noChangeArrowheads="1"/>
                          </pic:cNvPicPr>
                        </pic:nvPicPr>
                        <pic:blipFill>
                          <a:blip r:embed="rId26"/>
                          <a:stretch>
                            <a:fillRect/>
                          </a:stretch>
                        </pic:blipFill>
                        <pic:spPr bwMode="auto">
                          <a:xfrm>
                            <a:off x="0" y="0"/>
                            <a:ext cx="190500" cy="180975"/>
                          </a:xfrm>
                          <a:prstGeom prst="rect">
                            <a:avLst/>
                          </a:prstGeom>
                        </pic:spPr>
                      </pic:pic>
                    </a:graphicData>
                  </a:graphic>
                </wp:inline>
              </w:drawing>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61" w:type="dxa"/>
            <w:tcBorders>
              <w:bottom w:val="single" w:sz="2" w:space="0" w:color="2E2925"/>
            </w:tcBorders>
            <w:tcMar>
              <w:bottom w:w="34" w:type="dxa"/>
            </w:tcMar>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46" w:type="dxa"/>
            <w:tcBorders>
              <w:bottom w:val="single" w:sz="2" w:space="0" w:color="2E2925"/>
            </w:tcBorders>
            <w:tcMar>
              <w:bottom w:w="34" w:type="dxa"/>
            </w:tcMar>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21" w:type="dxa"/>
            <w:tcBorders>
              <w:bottom w:val="single" w:sz="2" w:space="0" w:color="2E2925"/>
            </w:tcBorders>
            <w:vAlign w:val="center"/>
          </w:tcPr>
          <w:p>
            <w:pPr>
              <w:pStyle w:val="TableContents"/>
              <w:bidi w:val="0"/>
              <w:spacing w:before="0" w:after="0"/>
              <w:jc w:val="center"/>
              <w:rPr/>
            </w:pPr>
            <w:r>
              <w:rPr/>
              <w:drawing>
                <wp:inline distT="0" distB="0" distL="0" distR="0">
                  <wp:extent cx="76200" cy="161925"/>
                  <wp:effectExtent l="0" t="0" r="0" b="0"/>
                  <wp:docPr id="3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6" descr=""/>
                          <pic:cNvPicPr>
                            <a:picLocks noChangeAspect="1" noChangeArrowheads="1"/>
                          </pic:cNvPicPr>
                        </pic:nvPicPr>
                        <pic:blipFill>
                          <a:blip r:embed="rId27"/>
                          <a:stretch>
                            <a:fillRect/>
                          </a:stretch>
                        </pic:blipFill>
                        <pic:spPr bwMode="auto">
                          <a:xfrm>
                            <a:off x="0" y="0"/>
                            <a:ext cx="76200" cy="161925"/>
                          </a:xfrm>
                          <a:prstGeom prst="rect">
                            <a:avLst/>
                          </a:prstGeom>
                        </pic:spPr>
                      </pic:pic>
                    </a:graphicData>
                  </a:graphic>
                </wp:inline>
              </w:drawing>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66" w:type="dxa"/>
            <w:tcBorders>
              <w:bottom w:val="single" w:sz="2" w:space="0" w:color="2E2925"/>
            </w:tcBorders>
            <w:tcMar>
              <w:bottom w:w="34" w:type="dxa"/>
            </w:tcMar>
            <w:vAlign w:val="center"/>
          </w:tcPr>
          <w:p>
            <w:pPr>
              <w:pStyle w:val="TableContents"/>
              <w:bidi w:val="0"/>
              <w:spacing w:lineRule="atLeast" w:line="144" w:before="0" w:after="0"/>
              <w:jc w:val="left"/>
              <w:rPr>
                <w:spacing w:val="-1"/>
              </w:rPr>
            </w:pPr>
            <w:r>
              <w:rPr>
                <w:spacing w:val="-1"/>
              </w:rPr>
              <w:t xml:space="preserve">None </w:t>
            </w:r>
          </w:p>
        </w:tc>
        <w:tc>
          <w:tcPr>
            <w:tcW w:w="154" w:type="dxa"/>
            <w:tcBorders>
              <w:bottom w:val="single" w:sz="2" w:space="0" w:color="2E2925"/>
            </w:tcBorders>
            <w:vAlign w:val="center"/>
          </w:tcPr>
          <w:p>
            <w:pPr>
              <w:pStyle w:val="TableContents"/>
              <w:bidi w:val="0"/>
              <w:spacing w:before="0" w:after="283"/>
              <w:jc w:val="left"/>
              <w:rPr/>
            </w:pPr>
            <w:r>
              <w:rPr/>
              <w:t>​</w:t>
            </w:r>
          </w:p>
        </w:tc>
      </w:tr>
      <w:tr>
        <w:trPr/>
        <w:tc>
          <w:tcPr>
            <w:tcW w:w="124" w:type="dxa"/>
            <w:tcBorders>
              <w:bottom w:val="single" w:sz="2" w:space="0" w:color="2E2925"/>
            </w:tcBorders>
            <w:vAlign w:val="center"/>
          </w:tcPr>
          <w:p>
            <w:pPr>
              <w:pStyle w:val="TableContents"/>
              <w:bidi w:val="0"/>
              <w:spacing w:before="0" w:after="283"/>
              <w:jc w:val="left"/>
              <w:rPr/>
            </w:pPr>
            <w:r>
              <w:rPr/>
              <w:t>​</w:t>
            </w:r>
          </w:p>
        </w:tc>
        <w:tc>
          <w:tcPr>
            <w:tcW w:w="1486" w:type="dxa"/>
            <w:tcBorders>
              <w:bottom w:val="single" w:sz="2" w:space="0" w:color="2E2925"/>
            </w:tcBorders>
            <w:vAlign w:val="center"/>
          </w:tcPr>
          <w:p>
            <w:pPr>
              <w:pStyle w:val="TableContents"/>
              <w:bidi w:val="0"/>
              <w:spacing w:lineRule="atLeast" w:line="144" w:before="0" w:after="0"/>
              <w:jc w:val="left"/>
              <w:rPr>
                <w:b/>
              </w:rPr>
            </w:pPr>
            <w:r>
              <w:rPr>
                <w:b/>
                <w:spacing w:val="0"/>
              </w:rPr>
              <w:t xml:space="preserve">Thom </w:t>
              <w:br/>
              <w:t>Lachman</w:t>
            </w:r>
            <w:r>
              <w:rPr>
                <w:b/>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511" w:type="dxa"/>
            <w:tcBorders>
              <w:bottom w:val="single" w:sz="2" w:space="0" w:color="2E2925"/>
            </w:tcBorders>
            <w:vAlign w:val="center"/>
          </w:tcPr>
          <w:p>
            <w:pPr>
              <w:pStyle w:val="TableContents"/>
              <w:bidi w:val="0"/>
              <w:spacing w:lineRule="atLeast" w:line="144" w:before="0" w:after="0"/>
              <w:jc w:val="center"/>
              <w:rPr/>
            </w:pPr>
            <w:r>
              <w:rPr>
                <w:spacing w:val="-1"/>
              </w:rPr>
              <w:t>63</w:t>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886" w:type="dxa"/>
            <w:tcBorders>
              <w:bottom w:val="single" w:sz="2" w:space="0" w:color="2E2925"/>
            </w:tcBorders>
            <w:vAlign w:val="center"/>
          </w:tcPr>
          <w:p>
            <w:pPr>
              <w:pStyle w:val="TableContents"/>
              <w:bidi w:val="0"/>
              <w:spacing w:lineRule="atLeast" w:line="144" w:before="0" w:after="0"/>
              <w:jc w:val="center"/>
              <w:rPr>
                <w:spacing w:val="-1"/>
              </w:rPr>
            </w:pPr>
            <w:r>
              <w:rPr>
                <w:spacing w:val="-1"/>
              </w:rPr>
              <w:t xml:space="preserve">2025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781" w:type="dxa"/>
            <w:tcBorders>
              <w:bottom w:val="single" w:sz="2" w:space="0" w:color="2E2925"/>
            </w:tcBorders>
            <w:vAlign w:val="center"/>
          </w:tcPr>
          <w:p>
            <w:pPr>
              <w:pStyle w:val="TableContents"/>
              <w:bidi w:val="0"/>
              <w:spacing w:lineRule="atLeast" w:line="144" w:before="0" w:after="0"/>
              <w:jc w:val="center"/>
              <w:rPr>
                <w:spacing w:val="-1"/>
              </w:rPr>
            </w:pPr>
            <w:r>
              <w:rPr>
                <w:spacing w:val="-1"/>
              </w:rPr>
              <w:t xml:space="preserve">1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76" w:type="dxa"/>
            <w:tcBorders>
              <w:bottom w:val="single" w:sz="2" w:space="0" w:color="2E2925"/>
            </w:tcBorders>
            <w:vAlign w:val="center"/>
          </w:tcPr>
          <w:p>
            <w:pPr>
              <w:pStyle w:val="TableContents"/>
              <w:bidi w:val="0"/>
              <w:spacing w:lineRule="atLeast" w:line="280" w:before="0" w:after="0"/>
              <w:jc w:val="center"/>
              <w:rPr/>
            </w:pPr>
            <w:r>
              <w:rPr>
                <w:spacing w:val="-2"/>
              </w:rPr>
              <w:t>✓</w:t>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387" w:type="dxa"/>
            <w:tcBorders>
              <w:bottom w:val="single" w:sz="2" w:space="0" w:color="2E2925"/>
            </w:tcBorders>
            <w:vAlign w:val="center"/>
          </w:tcPr>
          <w:p>
            <w:pPr>
              <w:pStyle w:val="TableContents"/>
              <w:bidi w:val="0"/>
              <w:spacing w:lineRule="atLeast" w:line="144" w:before="0" w:after="0"/>
              <w:jc w:val="left"/>
              <w:rPr>
                <w:spacing w:val="-1"/>
              </w:rPr>
            </w:pPr>
            <w:r>
              <w:rPr>
                <w:spacing w:val="-1"/>
              </w:rPr>
              <w:t xml:space="preserve">Former Chief Executive Officer of Duracell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646"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471"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61" w:type="dxa"/>
            <w:tcBorders>
              <w:bottom w:val="single" w:sz="2" w:space="0" w:color="2E2925"/>
            </w:tcBorders>
            <w:tcMar>
              <w:bottom w:w="65" w:type="dxa"/>
            </w:tcMar>
            <w:vAlign w:val="center"/>
          </w:tcPr>
          <w:p>
            <w:pPr>
              <w:pStyle w:val="TableContents"/>
              <w:bidi w:val="0"/>
              <w:spacing w:before="0" w:after="0"/>
              <w:jc w:val="center"/>
              <w:rPr/>
            </w:pPr>
            <w:r>
              <w:rPr/>
              <w:drawing>
                <wp:inline distT="0" distB="0" distL="0" distR="0">
                  <wp:extent cx="76200" cy="161925"/>
                  <wp:effectExtent l="0" t="0" r="0" b="0"/>
                  <wp:docPr id="3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7" descr=""/>
                          <pic:cNvPicPr>
                            <a:picLocks noChangeAspect="1" noChangeArrowheads="1"/>
                          </pic:cNvPicPr>
                        </pic:nvPicPr>
                        <pic:blipFill>
                          <a:blip r:embed="rId28"/>
                          <a:stretch>
                            <a:fillRect/>
                          </a:stretch>
                        </pic:blipFill>
                        <pic:spPr bwMode="auto">
                          <a:xfrm>
                            <a:off x="0" y="0"/>
                            <a:ext cx="76200" cy="161925"/>
                          </a:xfrm>
                          <a:prstGeom prst="rect">
                            <a:avLst/>
                          </a:prstGeom>
                        </pic:spPr>
                      </pic:pic>
                    </a:graphicData>
                  </a:graphic>
                </wp:inline>
              </w:drawing>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46" w:type="dxa"/>
            <w:tcBorders>
              <w:bottom w:val="single" w:sz="2" w:space="0" w:color="2E2925"/>
            </w:tcBorders>
            <w:tcMar>
              <w:bottom w:w="65" w:type="dxa"/>
            </w:tcMar>
            <w:vAlign w:val="center"/>
          </w:tcPr>
          <w:p>
            <w:pPr>
              <w:pStyle w:val="TableContents"/>
              <w:bidi w:val="0"/>
              <w:spacing w:before="0" w:after="0"/>
              <w:jc w:val="center"/>
              <w:rPr/>
            </w:pPr>
            <w:r>
              <w:rPr/>
              <w:drawing>
                <wp:inline distT="0" distB="0" distL="0" distR="0">
                  <wp:extent cx="76200" cy="161925"/>
                  <wp:effectExtent l="0" t="0" r="0" b="0"/>
                  <wp:docPr id="3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8" descr=""/>
                          <pic:cNvPicPr>
                            <a:picLocks noChangeAspect="1" noChangeArrowheads="1"/>
                          </pic:cNvPicPr>
                        </pic:nvPicPr>
                        <pic:blipFill>
                          <a:blip r:embed="rId29"/>
                          <a:stretch>
                            <a:fillRect/>
                          </a:stretch>
                        </pic:blipFill>
                        <pic:spPr bwMode="auto">
                          <a:xfrm>
                            <a:off x="0" y="0"/>
                            <a:ext cx="76200" cy="161925"/>
                          </a:xfrm>
                          <a:prstGeom prst="rect">
                            <a:avLst/>
                          </a:prstGeom>
                        </pic:spPr>
                      </pic:pic>
                    </a:graphicData>
                  </a:graphic>
                </wp:inline>
              </w:drawing>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21"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66" w:type="dxa"/>
            <w:tcBorders>
              <w:bottom w:val="single" w:sz="2" w:space="0" w:color="2E2925"/>
            </w:tcBorders>
            <w:vAlign w:val="center"/>
          </w:tcPr>
          <w:p>
            <w:pPr>
              <w:pStyle w:val="TableContents"/>
              <w:bidi w:val="0"/>
              <w:spacing w:lineRule="atLeast" w:line="144" w:before="0" w:after="0"/>
              <w:jc w:val="left"/>
              <w:rPr>
                <w:spacing w:val="-1"/>
              </w:rPr>
            </w:pPr>
            <w:r>
              <w:rPr>
                <w:spacing w:val="-1"/>
              </w:rPr>
              <w:t xml:space="preserve">None </w:t>
            </w:r>
          </w:p>
        </w:tc>
        <w:tc>
          <w:tcPr>
            <w:tcW w:w="154" w:type="dxa"/>
            <w:tcBorders>
              <w:bottom w:val="single" w:sz="2" w:space="0" w:color="2E2925"/>
            </w:tcBorders>
            <w:vAlign w:val="center"/>
          </w:tcPr>
          <w:p>
            <w:pPr>
              <w:pStyle w:val="TableContents"/>
              <w:bidi w:val="0"/>
              <w:spacing w:before="0" w:after="283"/>
              <w:jc w:val="left"/>
              <w:rPr/>
            </w:pPr>
            <w:r>
              <w:rPr/>
              <w:t>​</w:t>
            </w:r>
          </w:p>
        </w:tc>
      </w:tr>
      <w:tr>
        <w:trPr/>
        <w:tc>
          <w:tcPr>
            <w:tcW w:w="124" w:type="dxa"/>
            <w:tcBorders>
              <w:bottom w:val="single" w:sz="2" w:space="0" w:color="2E2925"/>
            </w:tcBorders>
            <w:vAlign w:val="center"/>
          </w:tcPr>
          <w:p>
            <w:pPr>
              <w:pStyle w:val="TableContents"/>
              <w:bidi w:val="0"/>
              <w:spacing w:before="0" w:after="283"/>
              <w:jc w:val="left"/>
              <w:rPr/>
            </w:pPr>
            <w:r>
              <w:rPr/>
              <w:t>​</w:t>
            </w:r>
          </w:p>
        </w:tc>
        <w:tc>
          <w:tcPr>
            <w:tcW w:w="1486" w:type="dxa"/>
            <w:tcBorders>
              <w:bottom w:val="single" w:sz="2" w:space="0" w:color="2E2925"/>
            </w:tcBorders>
            <w:vAlign w:val="center"/>
          </w:tcPr>
          <w:p>
            <w:pPr>
              <w:pStyle w:val="TableContents"/>
              <w:bidi w:val="0"/>
              <w:spacing w:before="0" w:after="0"/>
              <w:jc w:val="left"/>
              <w:rPr>
                <w:b/>
              </w:rPr>
            </w:pPr>
            <w:r>
              <w:rPr>
                <w:b/>
                <w:spacing w:val="0"/>
              </w:rPr>
              <w:t xml:space="preserve">David </w:t>
              <w:br/>
              <w:t>O’Reilly</w:t>
            </w:r>
            <w:r>
              <w:rPr>
                <w:b/>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511" w:type="dxa"/>
            <w:tcBorders>
              <w:bottom w:val="single" w:sz="2" w:space="0" w:color="2E2925"/>
            </w:tcBorders>
            <w:vAlign w:val="center"/>
          </w:tcPr>
          <w:p>
            <w:pPr>
              <w:pStyle w:val="TableContents"/>
              <w:bidi w:val="0"/>
              <w:spacing w:before="0" w:after="0"/>
              <w:jc w:val="center"/>
              <w:rPr/>
            </w:pPr>
            <w:r>
              <w:rPr>
                <w:spacing w:val="-1"/>
              </w:rPr>
              <w:t>52</w:t>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886" w:type="dxa"/>
            <w:tcBorders>
              <w:bottom w:val="single" w:sz="2" w:space="0" w:color="2E2925"/>
            </w:tcBorders>
            <w:vAlign w:val="center"/>
          </w:tcPr>
          <w:p>
            <w:pPr>
              <w:pStyle w:val="TableContents"/>
              <w:bidi w:val="0"/>
              <w:spacing w:before="0" w:after="0"/>
              <w:jc w:val="center"/>
              <w:rPr>
                <w:spacing w:val="-1"/>
              </w:rPr>
            </w:pPr>
            <w:r>
              <w:rPr>
                <w:spacing w:val="-1"/>
              </w:rPr>
              <w:t xml:space="preserve">2020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781" w:type="dxa"/>
            <w:tcBorders>
              <w:bottom w:val="single" w:sz="2" w:space="0" w:color="2E2925"/>
            </w:tcBorders>
            <w:vAlign w:val="center"/>
          </w:tcPr>
          <w:p>
            <w:pPr>
              <w:pStyle w:val="TableContents"/>
              <w:bidi w:val="0"/>
              <w:spacing w:before="0" w:after="0"/>
              <w:jc w:val="center"/>
              <w:rPr>
                <w:spacing w:val="-1"/>
              </w:rPr>
            </w:pPr>
            <w:r>
              <w:rPr>
                <w:spacing w:val="-1"/>
              </w:rPr>
              <w:t xml:space="preserve">5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76"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387" w:type="dxa"/>
            <w:tcBorders>
              <w:bottom w:val="single" w:sz="2" w:space="0" w:color="2E2925"/>
            </w:tcBorders>
            <w:tcMar>
              <w:bottom w:w="34" w:type="dxa"/>
            </w:tcMar>
            <w:vAlign w:val="center"/>
          </w:tcPr>
          <w:p>
            <w:pPr>
              <w:pStyle w:val="TableContents"/>
              <w:bidi w:val="0"/>
              <w:spacing w:lineRule="atLeast" w:line="144" w:before="0" w:after="0"/>
              <w:jc w:val="left"/>
              <w:rPr>
                <w:spacing w:val="-1"/>
              </w:rPr>
            </w:pPr>
            <w:r>
              <w:rPr>
                <w:spacing w:val="-1"/>
              </w:rPr>
              <w:t xml:space="preserve">Chief Executive Officer of Howard Hughes Holdings Inc.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646" w:type="dxa"/>
            <w:tcBorders>
              <w:bottom w:val="single" w:sz="2" w:space="0" w:color="2E2925"/>
            </w:tcBorders>
            <w:tcMar>
              <w:bottom w:w="34" w:type="dxa"/>
            </w:tcMar>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471" w:type="dxa"/>
            <w:tcBorders>
              <w:bottom w:val="single" w:sz="2" w:space="0" w:color="2E2925"/>
            </w:tcBorders>
            <w:tcMar>
              <w:bottom w:w="34" w:type="dxa"/>
            </w:tcMar>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61" w:type="dxa"/>
            <w:tcBorders>
              <w:bottom w:val="single" w:sz="2" w:space="0" w:color="2E2925"/>
            </w:tcBorders>
            <w:tcMar>
              <w:bottom w:w="34" w:type="dxa"/>
            </w:tcMar>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46" w:type="dxa"/>
            <w:tcBorders>
              <w:bottom w:val="single" w:sz="2" w:space="0" w:color="2E2925"/>
            </w:tcBorders>
            <w:tcMar>
              <w:bottom w:w="34" w:type="dxa"/>
            </w:tcMar>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21" w:type="dxa"/>
            <w:tcBorders>
              <w:bottom w:val="single" w:sz="2" w:space="0" w:color="2E2925"/>
            </w:tcBorders>
            <w:tcMar>
              <w:bottom w:w="34" w:type="dxa"/>
            </w:tcMar>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66" w:type="dxa"/>
            <w:tcBorders>
              <w:bottom w:val="single" w:sz="2" w:space="0" w:color="2E2925"/>
            </w:tcBorders>
            <w:tcMar>
              <w:bottom w:w="34" w:type="dxa"/>
            </w:tcMar>
            <w:vAlign w:val="center"/>
          </w:tcPr>
          <w:p>
            <w:pPr>
              <w:pStyle w:val="TableContents"/>
              <w:bidi w:val="0"/>
              <w:spacing w:lineRule="atLeast" w:line="144" w:before="0" w:after="0"/>
              <w:jc w:val="left"/>
              <w:rPr>
                <w:spacing w:val="-1"/>
              </w:rPr>
            </w:pPr>
            <w:r>
              <w:rPr>
                <w:spacing w:val="-1"/>
              </w:rPr>
              <w:t xml:space="preserve">Kite Realty </w:t>
              <w:br/>
              <w:t xml:space="preserve">Group Trust </w:t>
            </w:r>
          </w:p>
        </w:tc>
        <w:tc>
          <w:tcPr>
            <w:tcW w:w="154" w:type="dxa"/>
            <w:tcBorders>
              <w:bottom w:val="single" w:sz="2" w:space="0" w:color="2E2925"/>
            </w:tcBorders>
            <w:vAlign w:val="center"/>
          </w:tcPr>
          <w:p>
            <w:pPr>
              <w:pStyle w:val="TableContents"/>
              <w:bidi w:val="0"/>
              <w:spacing w:before="0" w:after="283"/>
              <w:jc w:val="left"/>
              <w:rPr/>
            </w:pPr>
            <w:r>
              <w:rPr/>
              <w:t>​</w:t>
            </w:r>
          </w:p>
        </w:tc>
      </w:tr>
      <w:tr>
        <w:trPr/>
        <w:tc>
          <w:tcPr>
            <w:tcW w:w="124" w:type="dxa"/>
            <w:tcBorders>
              <w:bottom w:val="single" w:sz="2" w:space="0" w:color="2E2925"/>
            </w:tcBorders>
            <w:vAlign w:val="center"/>
          </w:tcPr>
          <w:p>
            <w:pPr>
              <w:pStyle w:val="TableContents"/>
              <w:bidi w:val="0"/>
              <w:spacing w:before="0" w:after="283"/>
              <w:jc w:val="left"/>
              <w:rPr/>
            </w:pPr>
            <w:r>
              <w:rPr/>
              <w:t>​</w:t>
            </w:r>
          </w:p>
        </w:tc>
        <w:tc>
          <w:tcPr>
            <w:tcW w:w="1486" w:type="dxa"/>
            <w:tcBorders>
              <w:bottom w:val="single" w:sz="2" w:space="0" w:color="2E2925"/>
            </w:tcBorders>
            <w:vAlign w:val="center"/>
          </w:tcPr>
          <w:p>
            <w:pPr>
              <w:pStyle w:val="TableContents"/>
              <w:bidi w:val="0"/>
              <w:spacing w:lineRule="atLeast" w:line="144" w:before="0" w:after="0"/>
              <w:jc w:val="left"/>
              <w:rPr>
                <w:b/>
              </w:rPr>
            </w:pPr>
            <w:r>
              <w:rPr>
                <w:b/>
                <w:spacing w:val="0"/>
              </w:rPr>
              <w:t xml:space="preserve">Susan </w:t>
              <w:br/>
              <w:t>Panuccio</w:t>
            </w:r>
            <w:r>
              <w:rPr>
                <w:b/>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511" w:type="dxa"/>
            <w:tcBorders>
              <w:bottom w:val="single" w:sz="2" w:space="0" w:color="2E2925"/>
            </w:tcBorders>
            <w:vAlign w:val="center"/>
          </w:tcPr>
          <w:p>
            <w:pPr>
              <w:pStyle w:val="TableContents"/>
              <w:bidi w:val="0"/>
              <w:spacing w:lineRule="atLeast" w:line="144" w:before="0" w:after="0"/>
              <w:jc w:val="center"/>
              <w:rPr/>
            </w:pPr>
            <w:r>
              <w:rPr>
                <w:spacing w:val="-1"/>
              </w:rPr>
              <w:t>54</w:t>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886" w:type="dxa"/>
            <w:tcBorders>
              <w:bottom w:val="single" w:sz="2" w:space="0" w:color="2E2925"/>
            </w:tcBorders>
            <w:vAlign w:val="center"/>
          </w:tcPr>
          <w:p>
            <w:pPr>
              <w:pStyle w:val="TableContents"/>
              <w:bidi w:val="0"/>
              <w:spacing w:lineRule="atLeast" w:line="144" w:before="0" w:after="0"/>
              <w:jc w:val="center"/>
              <w:rPr>
                <w:spacing w:val="-1"/>
              </w:rPr>
            </w:pPr>
            <w:r>
              <w:rPr>
                <w:spacing w:val="-1"/>
              </w:rPr>
              <w:t xml:space="preserve">2025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781" w:type="dxa"/>
            <w:tcBorders>
              <w:bottom w:val="single" w:sz="2" w:space="0" w:color="2E2925"/>
            </w:tcBorders>
            <w:vAlign w:val="center"/>
          </w:tcPr>
          <w:p>
            <w:pPr>
              <w:pStyle w:val="TableContents"/>
              <w:bidi w:val="0"/>
              <w:spacing w:lineRule="atLeast" w:line="144" w:before="0" w:after="0"/>
              <w:jc w:val="center"/>
              <w:rPr>
                <w:spacing w:val="-1"/>
              </w:rPr>
            </w:pPr>
            <w:r>
              <w:rPr>
                <w:spacing w:val="-1"/>
              </w:rPr>
              <w:t xml:space="preserve">1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76" w:type="dxa"/>
            <w:tcBorders>
              <w:bottom w:val="single" w:sz="2" w:space="0" w:color="2E2925"/>
            </w:tcBorders>
            <w:vAlign w:val="center"/>
          </w:tcPr>
          <w:p>
            <w:pPr>
              <w:pStyle w:val="TableContents"/>
              <w:bidi w:val="0"/>
              <w:spacing w:lineRule="atLeast" w:line="280" w:before="0" w:after="0"/>
              <w:jc w:val="center"/>
              <w:rPr/>
            </w:pPr>
            <w:r>
              <w:rPr>
                <w:spacing w:val="-2"/>
              </w:rPr>
              <w:t>✓</w:t>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387" w:type="dxa"/>
            <w:tcBorders>
              <w:bottom w:val="single" w:sz="2" w:space="0" w:color="2E2925"/>
            </w:tcBorders>
            <w:vAlign w:val="center"/>
          </w:tcPr>
          <w:p>
            <w:pPr>
              <w:pStyle w:val="TableContents"/>
              <w:bidi w:val="0"/>
              <w:spacing w:lineRule="atLeast" w:line="144" w:before="0" w:after="0"/>
              <w:jc w:val="left"/>
              <w:rPr>
                <w:spacing w:val="-1"/>
              </w:rPr>
            </w:pPr>
            <w:r>
              <w:rPr>
                <w:spacing w:val="-1"/>
              </w:rPr>
              <w:t xml:space="preserve">Chief Financial Officer of Howden Group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646" w:type="dxa"/>
            <w:tcBorders>
              <w:bottom w:val="single" w:sz="2" w:space="0" w:color="2E2925"/>
            </w:tcBorders>
            <w:tcMar>
              <w:bottom w:w="65" w:type="dxa"/>
            </w:tcMar>
            <w:vAlign w:val="center"/>
          </w:tcPr>
          <w:p>
            <w:pPr>
              <w:pStyle w:val="TableContents"/>
              <w:bidi w:val="0"/>
              <w:spacing w:before="0" w:after="0"/>
              <w:jc w:val="center"/>
              <w:rPr/>
            </w:pPr>
            <w:r>
              <w:rPr/>
              <w:drawing>
                <wp:inline distT="0" distB="0" distL="0" distR="0">
                  <wp:extent cx="104775" cy="180975"/>
                  <wp:effectExtent l="0" t="0" r="0" b="0"/>
                  <wp:docPr id="3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9" descr=""/>
                          <pic:cNvPicPr>
                            <a:picLocks noChangeAspect="1" noChangeArrowheads="1"/>
                          </pic:cNvPicPr>
                        </pic:nvPicPr>
                        <pic:blipFill>
                          <a:blip r:embed="rId30"/>
                          <a:stretch>
                            <a:fillRect/>
                          </a:stretch>
                        </pic:blipFill>
                        <pic:spPr bwMode="auto">
                          <a:xfrm>
                            <a:off x="0" y="0"/>
                            <a:ext cx="104775" cy="180975"/>
                          </a:xfrm>
                          <a:prstGeom prst="rect">
                            <a:avLst/>
                          </a:prstGeom>
                        </pic:spPr>
                      </pic:pic>
                    </a:graphicData>
                  </a:graphic>
                </wp:inline>
              </w:drawing>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471"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61"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46"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21"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66" w:type="dxa"/>
            <w:tcBorders>
              <w:bottom w:val="single" w:sz="2" w:space="0" w:color="2E2925"/>
            </w:tcBorders>
            <w:vAlign w:val="center"/>
          </w:tcPr>
          <w:p>
            <w:pPr>
              <w:pStyle w:val="TableContents"/>
              <w:bidi w:val="0"/>
              <w:spacing w:lineRule="atLeast" w:line="144" w:before="0" w:after="0"/>
              <w:jc w:val="left"/>
              <w:rPr>
                <w:spacing w:val="-1"/>
              </w:rPr>
            </w:pPr>
            <w:r>
              <w:rPr>
                <w:spacing w:val="-1"/>
              </w:rPr>
              <w:t xml:space="preserve">None </w:t>
            </w:r>
          </w:p>
        </w:tc>
        <w:tc>
          <w:tcPr>
            <w:tcW w:w="154" w:type="dxa"/>
            <w:tcBorders>
              <w:bottom w:val="single" w:sz="2" w:space="0" w:color="2E2925"/>
            </w:tcBorders>
            <w:vAlign w:val="center"/>
          </w:tcPr>
          <w:p>
            <w:pPr>
              <w:pStyle w:val="TableContents"/>
              <w:bidi w:val="0"/>
              <w:spacing w:before="0" w:after="283"/>
              <w:jc w:val="left"/>
              <w:rPr/>
            </w:pPr>
            <w:r>
              <w:rPr/>
              <w:t>​</w:t>
            </w:r>
          </w:p>
        </w:tc>
      </w:tr>
      <w:tr>
        <w:trPr/>
        <w:tc>
          <w:tcPr>
            <w:tcW w:w="124" w:type="dxa"/>
            <w:tcBorders>
              <w:bottom w:val="single" w:sz="2" w:space="0" w:color="2E2925"/>
            </w:tcBorders>
            <w:vAlign w:val="center"/>
          </w:tcPr>
          <w:p>
            <w:pPr>
              <w:pStyle w:val="TableContents"/>
              <w:bidi w:val="0"/>
              <w:spacing w:before="0" w:after="283"/>
              <w:jc w:val="left"/>
              <w:rPr/>
            </w:pPr>
            <w:r>
              <w:rPr/>
              <w:t>​</w:t>
            </w:r>
          </w:p>
        </w:tc>
        <w:tc>
          <w:tcPr>
            <w:tcW w:w="1486" w:type="dxa"/>
            <w:tcBorders>
              <w:bottom w:val="single" w:sz="2" w:space="0" w:color="2E2925"/>
            </w:tcBorders>
            <w:vAlign w:val="center"/>
          </w:tcPr>
          <w:p>
            <w:pPr>
              <w:pStyle w:val="TableContents"/>
              <w:bidi w:val="0"/>
              <w:spacing w:lineRule="atLeast" w:line="144" w:before="0" w:after="0"/>
              <w:jc w:val="left"/>
              <w:rPr>
                <w:b/>
              </w:rPr>
            </w:pPr>
            <w:r>
              <w:rPr>
                <w:b/>
                <w:spacing w:val="0"/>
              </w:rPr>
              <w:t>R. Scot Sellers</w:t>
            </w:r>
            <w:r>
              <w:rPr>
                <w:b/>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511" w:type="dxa"/>
            <w:tcBorders>
              <w:bottom w:val="single" w:sz="2" w:space="0" w:color="2E2925"/>
            </w:tcBorders>
            <w:vAlign w:val="center"/>
          </w:tcPr>
          <w:p>
            <w:pPr>
              <w:pStyle w:val="TableContents"/>
              <w:bidi w:val="0"/>
              <w:spacing w:lineRule="atLeast" w:line="144" w:before="0" w:after="0"/>
              <w:jc w:val="center"/>
              <w:rPr>
                <w:spacing w:val="-1"/>
              </w:rPr>
            </w:pPr>
            <w:r>
              <w:rPr>
                <w:spacing w:val="-1"/>
              </w:rPr>
              <w:t xml:space="preserve">69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886" w:type="dxa"/>
            <w:tcBorders>
              <w:bottom w:val="single" w:sz="2" w:space="0" w:color="2E2925"/>
            </w:tcBorders>
            <w:vAlign w:val="center"/>
          </w:tcPr>
          <w:p>
            <w:pPr>
              <w:pStyle w:val="TableContents"/>
              <w:bidi w:val="0"/>
              <w:spacing w:lineRule="atLeast" w:line="144" w:before="0" w:after="0"/>
              <w:jc w:val="center"/>
              <w:rPr/>
            </w:pPr>
            <w:r>
              <w:rPr>
                <w:spacing w:val="-1"/>
              </w:rPr>
              <w:t>2010</w:t>
            </w:r>
            <w:r>
              <w:rPr/>
              <w:t xml:space="preserve"> </w:t>
              <w:br/>
            </w:r>
            <w:r>
              <w:rPr>
                <w:b/>
                <w:spacing w:val="-2"/>
              </w:rPr>
              <w:t>(PD)</w:t>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781" w:type="dxa"/>
            <w:tcBorders>
              <w:bottom w:val="single" w:sz="2" w:space="0" w:color="2E2925"/>
            </w:tcBorders>
            <w:vAlign w:val="center"/>
          </w:tcPr>
          <w:p>
            <w:pPr>
              <w:pStyle w:val="TableContents"/>
              <w:bidi w:val="0"/>
              <w:spacing w:lineRule="atLeast" w:line="144" w:before="0" w:after="0"/>
              <w:jc w:val="center"/>
              <w:rPr>
                <w:spacing w:val="-1"/>
              </w:rPr>
            </w:pPr>
            <w:r>
              <w:rPr>
                <w:spacing w:val="-1"/>
              </w:rPr>
              <w:t xml:space="preserve">15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76" w:type="dxa"/>
            <w:tcBorders>
              <w:bottom w:val="single" w:sz="2" w:space="0" w:color="2E2925"/>
            </w:tcBorders>
            <w:vAlign w:val="center"/>
          </w:tcPr>
          <w:p>
            <w:pPr>
              <w:pStyle w:val="TableContents"/>
              <w:bidi w:val="0"/>
              <w:spacing w:lineRule="atLeast" w:line="280" w:before="0" w:after="0"/>
              <w:jc w:val="center"/>
              <w:rPr/>
            </w:pPr>
            <w:r>
              <w:rPr>
                <w:spacing w:val="-2"/>
              </w:rPr>
              <w:t>✓</w:t>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387" w:type="dxa"/>
            <w:tcBorders>
              <w:bottom w:val="single" w:sz="2" w:space="0" w:color="2E2925"/>
            </w:tcBorders>
            <w:vAlign w:val="center"/>
          </w:tcPr>
          <w:p>
            <w:pPr>
              <w:pStyle w:val="TableContents"/>
              <w:bidi w:val="0"/>
              <w:spacing w:lineRule="atLeast" w:line="144" w:before="0" w:after="0"/>
              <w:jc w:val="left"/>
              <w:rPr>
                <w:spacing w:val="-1"/>
              </w:rPr>
            </w:pPr>
            <w:r>
              <w:rPr>
                <w:spacing w:val="-1"/>
              </w:rPr>
              <w:t xml:space="preserve">Former Chief Executive Officer of Archstone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646"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471" w:type="dxa"/>
            <w:tcBorders>
              <w:bottom w:val="single" w:sz="2" w:space="0" w:color="2E2925"/>
            </w:tcBorders>
            <w:vAlign w:val="center"/>
          </w:tcPr>
          <w:p>
            <w:pPr>
              <w:pStyle w:val="TableContents"/>
              <w:bidi w:val="0"/>
              <w:spacing w:before="0" w:after="0"/>
              <w:jc w:val="center"/>
              <w:rPr/>
            </w:pPr>
            <w:r>
              <w:rPr/>
              <w:drawing>
                <wp:inline distT="0" distB="0" distL="0" distR="0">
                  <wp:extent cx="104775" cy="180975"/>
                  <wp:effectExtent l="0" t="0" r="0" b="0"/>
                  <wp:docPr id="4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0" descr=""/>
                          <pic:cNvPicPr>
                            <a:picLocks noChangeAspect="1" noChangeArrowheads="1"/>
                          </pic:cNvPicPr>
                        </pic:nvPicPr>
                        <pic:blipFill>
                          <a:blip r:embed="rId31"/>
                          <a:stretch>
                            <a:fillRect/>
                          </a:stretch>
                        </pic:blipFill>
                        <pic:spPr bwMode="auto">
                          <a:xfrm>
                            <a:off x="0" y="0"/>
                            <a:ext cx="104775" cy="180975"/>
                          </a:xfrm>
                          <a:prstGeom prst="rect">
                            <a:avLst/>
                          </a:prstGeom>
                        </pic:spPr>
                      </pic:pic>
                    </a:graphicData>
                  </a:graphic>
                </wp:inline>
              </w:drawing>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61"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46"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21"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66" w:type="dxa"/>
            <w:tcBorders>
              <w:bottom w:val="single" w:sz="2" w:space="0" w:color="2E2925"/>
            </w:tcBorders>
            <w:vAlign w:val="center"/>
          </w:tcPr>
          <w:p>
            <w:pPr>
              <w:pStyle w:val="TableContents"/>
              <w:bidi w:val="0"/>
              <w:spacing w:lineRule="atLeast" w:line="144" w:before="0" w:after="0"/>
              <w:jc w:val="left"/>
              <w:rPr>
                <w:spacing w:val="-1"/>
              </w:rPr>
            </w:pPr>
            <w:r>
              <w:rPr>
                <w:spacing w:val="-1"/>
              </w:rPr>
              <w:t xml:space="preserve">Maui Land &amp; Pineapple Company, Inc. </w:t>
            </w:r>
          </w:p>
        </w:tc>
        <w:tc>
          <w:tcPr>
            <w:tcW w:w="154" w:type="dxa"/>
            <w:tcBorders>
              <w:bottom w:val="single" w:sz="2" w:space="0" w:color="2E2925"/>
            </w:tcBorders>
            <w:vAlign w:val="center"/>
          </w:tcPr>
          <w:p>
            <w:pPr>
              <w:pStyle w:val="TableContents"/>
              <w:bidi w:val="0"/>
              <w:spacing w:before="0" w:after="283"/>
              <w:jc w:val="left"/>
              <w:rPr/>
            </w:pPr>
            <w:r>
              <w:rPr/>
              <w:t>​</w:t>
            </w:r>
          </w:p>
        </w:tc>
      </w:tr>
      <w:tr>
        <w:trPr/>
        <w:tc>
          <w:tcPr>
            <w:tcW w:w="124" w:type="dxa"/>
            <w:tcBorders>
              <w:bottom w:val="single" w:sz="2" w:space="0" w:color="2E2925"/>
            </w:tcBorders>
            <w:vAlign w:val="center"/>
          </w:tcPr>
          <w:p>
            <w:pPr>
              <w:pStyle w:val="TableContents"/>
              <w:bidi w:val="0"/>
              <w:spacing w:before="0" w:after="283"/>
              <w:jc w:val="left"/>
              <w:rPr/>
            </w:pPr>
            <w:r>
              <w:rPr/>
              <w:t>​</w:t>
            </w:r>
          </w:p>
        </w:tc>
        <w:tc>
          <w:tcPr>
            <w:tcW w:w="1486" w:type="dxa"/>
            <w:tcBorders>
              <w:bottom w:val="single" w:sz="2" w:space="0" w:color="2E2925"/>
            </w:tcBorders>
            <w:vAlign w:val="center"/>
          </w:tcPr>
          <w:p>
            <w:pPr>
              <w:pStyle w:val="TableContents"/>
              <w:bidi w:val="0"/>
              <w:spacing w:lineRule="atLeast" w:line="144" w:before="0" w:after="0"/>
              <w:jc w:val="left"/>
              <w:rPr>
                <w:b/>
              </w:rPr>
            </w:pPr>
            <w:r>
              <w:rPr>
                <w:b/>
                <w:spacing w:val="0"/>
              </w:rPr>
              <w:t xml:space="preserve">Mary Ann </w:t>
              <w:br/>
              <w:t>Tighe</w:t>
            </w:r>
            <w:r>
              <w:rPr>
                <w:b/>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511" w:type="dxa"/>
            <w:tcBorders>
              <w:bottom w:val="single" w:sz="2" w:space="0" w:color="2E2925"/>
            </w:tcBorders>
            <w:vAlign w:val="center"/>
          </w:tcPr>
          <w:p>
            <w:pPr>
              <w:pStyle w:val="TableContents"/>
              <w:bidi w:val="0"/>
              <w:spacing w:lineRule="atLeast" w:line="144" w:before="0" w:after="0"/>
              <w:jc w:val="center"/>
              <w:rPr>
                <w:spacing w:val="-1"/>
              </w:rPr>
            </w:pPr>
            <w:r>
              <w:rPr>
                <w:spacing w:val="-1"/>
              </w:rPr>
              <w:t xml:space="preserve">77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886" w:type="dxa"/>
            <w:tcBorders>
              <w:bottom w:val="single" w:sz="2" w:space="0" w:color="2E2925"/>
            </w:tcBorders>
            <w:vAlign w:val="center"/>
          </w:tcPr>
          <w:p>
            <w:pPr>
              <w:pStyle w:val="TableContents"/>
              <w:bidi w:val="0"/>
              <w:spacing w:lineRule="atLeast" w:line="144" w:before="0" w:after="0"/>
              <w:jc w:val="center"/>
              <w:rPr>
                <w:spacing w:val="-1"/>
              </w:rPr>
            </w:pPr>
            <w:r>
              <w:rPr>
                <w:spacing w:val="-1"/>
              </w:rPr>
              <w:t xml:space="preserve">2011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781" w:type="dxa"/>
            <w:tcBorders>
              <w:bottom w:val="single" w:sz="2" w:space="0" w:color="2E2925"/>
            </w:tcBorders>
            <w:vAlign w:val="center"/>
          </w:tcPr>
          <w:p>
            <w:pPr>
              <w:pStyle w:val="TableContents"/>
              <w:bidi w:val="0"/>
              <w:spacing w:lineRule="atLeast" w:line="144" w:before="0" w:after="0"/>
              <w:jc w:val="center"/>
              <w:rPr>
                <w:spacing w:val="-1"/>
              </w:rPr>
            </w:pPr>
            <w:r>
              <w:rPr>
                <w:spacing w:val="-1"/>
              </w:rPr>
              <w:t xml:space="preserve">14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76" w:type="dxa"/>
            <w:tcBorders>
              <w:bottom w:val="single" w:sz="2" w:space="0" w:color="2E2925"/>
            </w:tcBorders>
            <w:vAlign w:val="center"/>
          </w:tcPr>
          <w:p>
            <w:pPr>
              <w:pStyle w:val="TableContents"/>
              <w:bidi w:val="0"/>
              <w:spacing w:lineRule="atLeast" w:line="280" w:before="0" w:after="0"/>
              <w:jc w:val="center"/>
              <w:rPr/>
            </w:pPr>
            <w:r>
              <w:rPr>
                <w:spacing w:val="-2"/>
              </w:rPr>
              <w:t>✓</w:t>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387" w:type="dxa"/>
            <w:tcBorders>
              <w:bottom w:val="single" w:sz="2" w:space="0" w:color="2E2925"/>
            </w:tcBorders>
            <w:vAlign w:val="center"/>
          </w:tcPr>
          <w:p>
            <w:pPr>
              <w:pStyle w:val="TableContents"/>
              <w:bidi w:val="0"/>
              <w:spacing w:lineRule="atLeast" w:line="144" w:before="0" w:after="0"/>
              <w:jc w:val="left"/>
              <w:rPr>
                <w:spacing w:val="-1"/>
              </w:rPr>
            </w:pPr>
            <w:r>
              <w:rPr>
                <w:spacing w:val="-1"/>
              </w:rPr>
              <w:t xml:space="preserve">Chief Executive Officer of CBRE’s New York Tri-State Region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646"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471" w:type="dxa"/>
            <w:tcBorders>
              <w:bottom w:val="single" w:sz="2" w:space="0" w:color="2E2925"/>
            </w:tcBorders>
            <w:vAlign w:val="center"/>
          </w:tcPr>
          <w:p>
            <w:pPr>
              <w:pStyle w:val="TableContents"/>
              <w:bidi w:val="0"/>
              <w:spacing w:before="0" w:after="0"/>
              <w:jc w:val="center"/>
              <w:rPr/>
            </w:pPr>
            <w:r>
              <w:rPr/>
              <w:drawing>
                <wp:inline distT="0" distB="0" distL="0" distR="0">
                  <wp:extent cx="76200" cy="161925"/>
                  <wp:effectExtent l="0" t="0" r="0" b="0"/>
                  <wp:docPr id="4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1" descr=""/>
                          <pic:cNvPicPr>
                            <a:picLocks noChangeAspect="1" noChangeArrowheads="1"/>
                          </pic:cNvPicPr>
                        </pic:nvPicPr>
                        <pic:blipFill>
                          <a:blip r:embed="rId32"/>
                          <a:stretch>
                            <a:fillRect/>
                          </a:stretch>
                        </pic:blipFill>
                        <pic:spPr bwMode="auto">
                          <a:xfrm>
                            <a:off x="0" y="0"/>
                            <a:ext cx="76200" cy="161925"/>
                          </a:xfrm>
                          <a:prstGeom prst="rect">
                            <a:avLst/>
                          </a:prstGeom>
                        </pic:spPr>
                      </pic:pic>
                    </a:graphicData>
                  </a:graphic>
                </wp:inline>
              </w:drawing>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61" w:type="dxa"/>
            <w:tcBorders>
              <w:bottom w:val="single" w:sz="2" w:space="0" w:color="2E2925"/>
            </w:tcBorders>
            <w:vAlign w:val="center"/>
          </w:tcPr>
          <w:p>
            <w:pPr>
              <w:pStyle w:val="TableContents"/>
              <w:bidi w:val="0"/>
              <w:spacing w:before="0" w:after="0"/>
              <w:jc w:val="center"/>
              <w:rPr/>
            </w:pPr>
            <w:r>
              <w:rPr/>
              <w:drawing>
                <wp:inline distT="0" distB="0" distL="0" distR="0">
                  <wp:extent cx="76200" cy="161925"/>
                  <wp:effectExtent l="0" t="0" r="0" b="0"/>
                  <wp:docPr id="4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2" descr=""/>
                          <pic:cNvPicPr>
                            <a:picLocks noChangeAspect="1" noChangeArrowheads="1"/>
                          </pic:cNvPicPr>
                        </pic:nvPicPr>
                        <pic:blipFill>
                          <a:blip r:embed="rId33"/>
                          <a:stretch>
                            <a:fillRect/>
                          </a:stretch>
                        </pic:blipFill>
                        <pic:spPr bwMode="auto">
                          <a:xfrm>
                            <a:off x="0" y="0"/>
                            <a:ext cx="76200" cy="161925"/>
                          </a:xfrm>
                          <a:prstGeom prst="rect">
                            <a:avLst/>
                          </a:prstGeom>
                        </pic:spPr>
                      </pic:pic>
                    </a:graphicData>
                  </a:graphic>
                </wp:inline>
              </w:drawing>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46"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21"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66" w:type="dxa"/>
            <w:tcBorders>
              <w:bottom w:val="single" w:sz="2" w:space="0" w:color="2E2925"/>
            </w:tcBorders>
            <w:vAlign w:val="center"/>
          </w:tcPr>
          <w:p>
            <w:pPr>
              <w:pStyle w:val="TableContents"/>
              <w:bidi w:val="0"/>
              <w:spacing w:lineRule="atLeast" w:line="144" w:before="0" w:after="0"/>
              <w:jc w:val="left"/>
              <w:rPr>
                <w:spacing w:val="-1"/>
              </w:rPr>
            </w:pPr>
            <w:r>
              <w:rPr>
                <w:spacing w:val="-1"/>
              </w:rPr>
              <w:t xml:space="preserve">None </w:t>
            </w:r>
          </w:p>
        </w:tc>
        <w:tc>
          <w:tcPr>
            <w:tcW w:w="154" w:type="dxa"/>
            <w:tcBorders>
              <w:bottom w:val="single" w:sz="2" w:space="0" w:color="2E2925"/>
            </w:tcBorders>
            <w:vAlign w:val="center"/>
          </w:tcPr>
          <w:p>
            <w:pPr>
              <w:pStyle w:val="TableContents"/>
              <w:bidi w:val="0"/>
              <w:spacing w:before="0" w:after="283"/>
              <w:jc w:val="left"/>
              <w:rPr/>
            </w:pPr>
            <w:r>
              <w:rPr/>
              <w:t>​</w:t>
            </w:r>
          </w:p>
        </w:tc>
      </w:tr>
      <w:tr>
        <w:trPr/>
        <w:tc>
          <w:tcPr>
            <w:tcW w:w="124" w:type="dxa"/>
            <w:tcBorders>
              <w:bottom w:val="single" w:sz="2" w:space="0" w:color="2E2925"/>
            </w:tcBorders>
            <w:vAlign w:val="center"/>
          </w:tcPr>
          <w:p>
            <w:pPr>
              <w:pStyle w:val="TableContents"/>
              <w:bidi w:val="0"/>
              <w:spacing w:before="0" w:after="283"/>
              <w:jc w:val="left"/>
              <w:rPr/>
            </w:pPr>
            <w:r>
              <w:rPr/>
              <w:t>​</w:t>
            </w:r>
          </w:p>
        </w:tc>
        <w:tc>
          <w:tcPr>
            <w:tcW w:w="1486" w:type="dxa"/>
            <w:tcBorders>
              <w:bottom w:val="single" w:sz="2" w:space="0" w:color="2E2925"/>
            </w:tcBorders>
            <w:vAlign w:val="center"/>
          </w:tcPr>
          <w:p>
            <w:pPr>
              <w:pStyle w:val="TableContents"/>
              <w:bidi w:val="0"/>
              <w:spacing w:lineRule="atLeast" w:line="144" w:before="0" w:after="0"/>
              <w:jc w:val="left"/>
              <w:rPr>
                <w:b/>
              </w:rPr>
            </w:pPr>
            <w:r>
              <w:rPr>
                <w:b/>
                <w:spacing w:val="0"/>
              </w:rPr>
              <w:t>Jean-Baptiste Wautier</w:t>
            </w:r>
            <w:r>
              <w:rPr>
                <w:b/>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511" w:type="dxa"/>
            <w:tcBorders>
              <w:bottom w:val="single" w:sz="2" w:space="0" w:color="2E2925"/>
            </w:tcBorders>
            <w:vAlign w:val="center"/>
          </w:tcPr>
          <w:p>
            <w:pPr>
              <w:pStyle w:val="TableContents"/>
              <w:bidi w:val="0"/>
              <w:spacing w:lineRule="atLeast" w:line="144" w:before="0" w:after="0"/>
              <w:jc w:val="center"/>
              <w:rPr>
                <w:spacing w:val="-1"/>
              </w:rPr>
            </w:pPr>
            <w:r>
              <w:rPr>
                <w:spacing w:val="-1"/>
              </w:rPr>
              <w:t xml:space="preserve">56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886" w:type="dxa"/>
            <w:tcBorders>
              <w:bottom w:val="single" w:sz="2" w:space="0" w:color="2E2925"/>
            </w:tcBorders>
            <w:vAlign w:val="center"/>
          </w:tcPr>
          <w:p>
            <w:pPr>
              <w:pStyle w:val="TableContents"/>
              <w:bidi w:val="0"/>
              <w:spacing w:lineRule="atLeast" w:line="144" w:before="0" w:after="0"/>
              <w:jc w:val="center"/>
              <w:rPr>
                <w:spacing w:val="-1"/>
              </w:rPr>
            </w:pPr>
            <w:r>
              <w:rPr>
                <w:spacing w:val="-1"/>
              </w:rPr>
              <w:t xml:space="preserve">2025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781" w:type="dxa"/>
            <w:tcBorders>
              <w:bottom w:val="single" w:sz="2" w:space="0" w:color="2E2925"/>
            </w:tcBorders>
            <w:vAlign w:val="center"/>
          </w:tcPr>
          <w:p>
            <w:pPr>
              <w:pStyle w:val="TableContents"/>
              <w:bidi w:val="0"/>
              <w:spacing w:lineRule="atLeast" w:line="144" w:before="0" w:after="0"/>
              <w:jc w:val="center"/>
              <w:rPr>
                <w:spacing w:val="-1"/>
              </w:rPr>
            </w:pPr>
            <w:r>
              <w:rPr>
                <w:spacing w:val="-1"/>
              </w:rPr>
              <w:t xml:space="preserve">1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76" w:type="dxa"/>
            <w:tcBorders>
              <w:bottom w:val="single" w:sz="2" w:space="0" w:color="2E2925"/>
            </w:tcBorders>
            <w:vAlign w:val="center"/>
          </w:tcPr>
          <w:p>
            <w:pPr>
              <w:pStyle w:val="TableContents"/>
              <w:bidi w:val="0"/>
              <w:spacing w:lineRule="atLeast" w:line="280" w:before="0" w:after="0"/>
              <w:jc w:val="center"/>
              <w:rPr/>
            </w:pPr>
            <w:r>
              <w:rPr>
                <w:spacing w:val="-2"/>
              </w:rPr>
              <w:t>✓</w:t>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387" w:type="dxa"/>
            <w:tcBorders>
              <w:bottom w:val="single" w:sz="2" w:space="0" w:color="2E2925"/>
            </w:tcBorders>
            <w:vAlign w:val="center"/>
          </w:tcPr>
          <w:p>
            <w:pPr>
              <w:pStyle w:val="TableContents"/>
              <w:bidi w:val="0"/>
              <w:spacing w:lineRule="atLeast" w:line="144" w:before="0" w:after="0"/>
              <w:jc w:val="left"/>
              <w:rPr/>
            </w:pPr>
            <w:r>
              <w:rPr>
                <w:spacing w:val="-1"/>
              </w:rPr>
              <w:t>Co-founder and Chairman of Wautier Family Office, ex-CIO of BC Partners</w:t>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646" w:type="dxa"/>
            <w:tcBorders>
              <w:bottom w:val="single" w:sz="2" w:space="0" w:color="2E2925"/>
            </w:tcBorders>
            <w:vAlign w:val="center"/>
          </w:tcPr>
          <w:p>
            <w:pPr>
              <w:pStyle w:val="TableContents"/>
              <w:bidi w:val="0"/>
              <w:spacing w:before="0" w:after="0"/>
              <w:jc w:val="center"/>
              <w:rPr/>
            </w:pPr>
            <w:r>
              <w:rPr/>
              <w:drawing>
                <wp:inline distT="0" distB="0" distL="0" distR="0">
                  <wp:extent cx="76200" cy="161925"/>
                  <wp:effectExtent l="0" t="0" r="0" b="0"/>
                  <wp:docPr id="4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3" descr=""/>
                          <pic:cNvPicPr>
                            <a:picLocks noChangeAspect="1" noChangeArrowheads="1"/>
                          </pic:cNvPicPr>
                        </pic:nvPicPr>
                        <pic:blipFill>
                          <a:blip r:embed="rId34"/>
                          <a:stretch>
                            <a:fillRect/>
                          </a:stretch>
                        </pic:blipFill>
                        <pic:spPr bwMode="auto">
                          <a:xfrm>
                            <a:off x="0" y="0"/>
                            <a:ext cx="76200" cy="161925"/>
                          </a:xfrm>
                          <a:prstGeom prst="rect">
                            <a:avLst/>
                          </a:prstGeom>
                        </pic:spPr>
                      </pic:pic>
                    </a:graphicData>
                  </a:graphic>
                </wp:inline>
              </w:drawing>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471"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61"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46" w:type="dxa"/>
            <w:tcBorders>
              <w:bottom w:val="single" w:sz="2" w:space="0" w:color="2E2925"/>
            </w:tcBorders>
            <w:vAlign w:val="center"/>
          </w:tcPr>
          <w:p>
            <w:pPr>
              <w:pStyle w:val="TableContents"/>
              <w:bidi w:val="0"/>
              <w:spacing w:before="0" w:after="0"/>
              <w:jc w:val="center"/>
              <w:rPr/>
            </w:pPr>
            <w:r>
              <w:rPr/>
              <w:drawing>
                <wp:inline distT="0" distB="0" distL="0" distR="0">
                  <wp:extent cx="76200" cy="161925"/>
                  <wp:effectExtent l="0" t="0" r="0" b="0"/>
                  <wp:docPr id="4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4" descr=""/>
                          <pic:cNvPicPr>
                            <a:picLocks noChangeAspect="1" noChangeArrowheads="1"/>
                          </pic:cNvPicPr>
                        </pic:nvPicPr>
                        <pic:blipFill>
                          <a:blip r:embed="rId35"/>
                          <a:stretch>
                            <a:fillRect/>
                          </a:stretch>
                        </pic:blipFill>
                        <pic:spPr bwMode="auto">
                          <a:xfrm>
                            <a:off x="0" y="0"/>
                            <a:ext cx="76200" cy="161925"/>
                          </a:xfrm>
                          <a:prstGeom prst="rect">
                            <a:avLst/>
                          </a:prstGeom>
                        </pic:spPr>
                      </pic:pic>
                    </a:graphicData>
                  </a:graphic>
                </wp:inline>
              </w:drawing>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21"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66" w:type="dxa"/>
            <w:tcBorders>
              <w:bottom w:val="single" w:sz="2" w:space="0" w:color="2E2925"/>
            </w:tcBorders>
            <w:vAlign w:val="center"/>
          </w:tcPr>
          <w:p>
            <w:pPr>
              <w:pStyle w:val="TableContents"/>
              <w:bidi w:val="0"/>
              <w:spacing w:lineRule="atLeast" w:line="144" w:before="0" w:after="0"/>
              <w:jc w:val="left"/>
              <w:rPr>
                <w:spacing w:val="-1"/>
              </w:rPr>
            </w:pPr>
            <w:r>
              <w:rPr>
                <w:spacing w:val="-1"/>
              </w:rPr>
              <w:t xml:space="preserve">None </w:t>
            </w:r>
          </w:p>
        </w:tc>
        <w:tc>
          <w:tcPr>
            <w:tcW w:w="154" w:type="dxa"/>
            <w:tcBorders>
              <w:bottom w:val="single" w:sz="2" w:space="0" w:color="2E2925"/>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86" w:type="dxa"/>
            <w:tcBorders/>
            <w:tcMar>
              <w:bottom w:w="0" w:type="dxa"/>
            </w:tcMar>
            <w:vAlign w:val="center"/>
          </w:tcPr>
          <w:p>
            <w:pPr>
              <w:pStyle w:val="TableContents"/>
              <w:bidi w:val="0"/>
              <w:spacing w:lineRule="atLeast" w:line="144" w:before="0" w:after="0"/>
              <w:jc w:val="left"/>
              <w:rPr>
                <w:b/>
              </w:rPr>
            </w:pPr>
            <w:r>
              <w:rPr>
                <w:b/>
                <w:spacing w:val="0"/>
              </w:rPr>
              <w:t xml:space="preserve">Anthony </w:t>
              <w:br/>
              <w:t>Williams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1" w:type="dxa"/>
            <w:tcBorders/>
            <w:tcMar>
              <w:bottom w:w="0" w:type="dxa"/>
            </w:tcMar>
            <w:vAlign w:val="center"/>
          </w:tcPr>
          <w:p>
            <w:pPr>
              <w:pStyle w:val="TableContents"/>
              <w:bidi w:val="0"/>
              <w:spacing w:lineRule="atLeast" w:line="144" w:before="0" w:after="0"/>
              <w:jc w:val="center"/>
              <w:rPr/>
            </w:pPr>
            <w:r>
              <w:rPr>
                <w:spacing w:val="-1"/>
              </w:rPr>
              <w:t>75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lineRule="atLeast" w:line="144" w:before="0" w:after="0"/>
              <w:jc w:val="center"/>
              <w:rPr>
                <w:spacing w:val="-1"/>
              </w:rPr>
            </w:pPr>
            <w:r>
              <w:rPr>
                <w:spacing w:val="-1"/>
              </w:rPr>
              <w:t xml:space="preserve">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 w:type="dxa"/>
            <w:tcBorders/>
            <w:tcMar>
              <w:bottom w:w="0" w:type="dxa"/>
            </w:tcMar>
            <w:vAlign w:val="center"/>
          </w:tcPr>
          <w:p>
            <w:pPr>
              <w:pStyle w:val="TableContents"/>
              <w:bidi w:val="0"/>
              <w:spacing w:lineRule="atLeast" w:line="144" w:before="0" w:after="0"/>
              <w:jc w:val="center"/>
              <w:rPr>
                <w:spacing w:val="-1"/>
              </w:rPr>
            </w:pPr>
            <w:r>
              <w:rPr>
                <w:spacing w:val="-1"/>
              </w:rPr>
              <w:t xml:space="preserve">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lineRule="atLeast" w:line="280" w:before="0" w:after="0"/>
              <w:jc w:val="center"/>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7" w:type="dxa"/>
            <w:tcBorders/>
            <w:tcMar>
              <w:bottom w:w="0" w:type="dxa"/>
            </w:tcMar>
            <w:vAlign w:val="center"/>
          </w:tcPr>
          <w:p>
            <w:pPr>
              <w:pStyle w:val="TableContents"/>
              <w:bidi w:val="0"/>
              <w:spacing w:lineRule="atLeast" w:line="144" w:before="0" w:after="0"/>
              <w:jc w:val="left"/>
              <w:rPr>
                <w:spacing w:val="-1"/>
              </w:rPr>
            </w:pPr>
            <w:r>
              <w:rPr>
                <w:spacing w:val="-1"/>
              </w:rPr>
              <w:t xml:space="preserve">Chief Executive Officer and Executive Director of the Federal City Council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1" w:type="dxa"/>
            <w:tcBorders/>
            <w:tcMar>
              <w:bottom w:w="0" w:type="dxa"/>
            </w:tcMar>
            <w:vAlign w:val="center"/>
          </w:tcPr>
          <w:p>
            <w:pPr>
              <w:pStyle w:val="TableContents"/>
              <w:bidi w:val="0"/>
              <w:spacing w:before="0" w:after="0"/>
              <w:jc w:val="center"/>
              <w:rPr/>
            </w:pPr>
            <w:r>
              <w:rPr/>
              <w:drawing>
                <wp:inline distT="0" distB="0" distL="0" distR="0">
                  <wp:extent cx="76200" cy="161925"/>
                  <wp:effectExtent l="0" t="0" r="0" b="0"/>
                  <wp:docPr id="4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5" descr=""/>
                          <pic:cNvPicPr>
                            <a:picLocks noChangeAspect="1" noChangeArrowheads="1"/>
                          </pic:cNvPicPr>
                        </pic:nvPicPr>
                        <pic:blipFill>
                          <a:blip r:embed="rId36"/>
                          <a:stretch>
                            <a:fillRect/>
                          </a:stretch>
                        </pic:blipFill>
                        <pic:spPr bwMode="auto">
                          <a:xfrm>
                            <a:off x="0" y="0"/>
                            <a:ext cx="76200" cy="16192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1" w:type="dxa"/>
            <w:tcBorders/>
            <w:tcMar>
              <w:bottom w:w="0" w:type="dxa"/>
            </w:tcMar>
            <w:vAlign w:val="center"/>
          </w:tcPr>
          <w:p>
            <w:pPr>
              <w:pStyle w:val="TableContents"/>
              <w:bidi w:val="0"/>
              <w:spacing w:before="0" w:after="0"/>
              <w:jc w:val="center"/>
              <w:rPr/>
            </w:pPr>
            <w:r>
              <w:rPr/>
              <w:drawing>
                <wp:inline distT="0" distB="0" distL="0" distR="0">
                  <wp:extent cx="104775" cy="180975"/>
                  <wp:effectExtent l="0" t="0" r="0" b="0"/>
                  <wp:docPr id="4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6" descr=""/>
                          <pic:cNvPicPr>
                            <a:picLocks noChangeAspect="1" noChangeArrowheads="1"/>
                          </pic:cNvPicPr>
                        </pic:nvPicPr>
                        <pic:blipFill>
                          <a:blip r:embed="rId37"/>
                          <a:stretch>
                            <a:fillRect/>
                          </a:stretch>
                        </pic:blipFill>
                        <pic:spPr bwMode="auto">
                          <a:xfrm>
                            <a:off x="0" y="0"/>
                            <a:ext cx="104775" cy="18097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6" w:type="dxa"/>
            <w:tcBorders/>
            <w:tcMar>
              <w:bottom w:w="0" w:type="dxa"/>
            </w:tcMar>
            <w:vAlign w:val="center"/>
          </w:tcPr>
          <w:p>
            <w:pPr>
              <w:pStyle w:val="TableContents"/>
              <w:bidi w:val="0"/>
              <w:spacing w:lineRule="atLeast" w:line="144" w:before="0" w:after="0"/>
              <w:jc w:val="left"/>
              <w:rPr>
                <w:spacing w:val="-1"/>
              </w:rPr>
            </w:pPr>
            <w:r>
              <w:rPr>
                <w:spacing w:val="-1"/>
              </w:rPr>
              <w:t xml:space="preserve">None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7F7F7F" w:val="clear"/>
            <w:tcMar>
              <w:bottom w:w="0" w:type="dxa"/>
            </w:tcMar>
            <w:vAlign w:val="center"/>
          </w:tcPr>
          <w:p>
            <w:pPr>
              <w:pStyle w:val="TableContents"/>
              <w:bidi w:val="0"/>
              <w:spacing w:before="0" w:after="283"/>
              <w:jc w:val="left"/>
              <w:rPr/>
            </w:pPr>
            <w:r>
              <w:rPr/>
              <w:t>​</w:t>
            </w:r>
          </w:p>
        </w:tc>
        <w:tc>
          <w:tcPr>
            <w:tcW w:w="4318" w:type="dxa"/>
            <w:gridSpan w:val="10"/>
            <w:tcBorders/>
            <w:shd w:fill="7F7F7F" w:val="clear"/>
            <w:tcMar>
              <w:bottom w:w="0" w:type="dxa"/>
            </w:tcMar>
            <w:vAlign w:val="center"/>
          </w:tcPr>
          <w:p>
            <w:pPr>
              <w:pStyle w:val="TableContents"/>
              <w:bidi w:val="0"/>
              <w:spacing w:before="0" w:after="283"/>
              <w:jc w:val="left"/>
              <w:rPr/>
            </w:pPr>
            <w:r>
              <w:rPr>
                <w:spacing w:val="0"/>
              </w:rPr>
              <w:t>Meetings in 2025: 12</w:t>
            </w:r>
            <w:r>
              <w:rPr/>
              <w:t xml:space="preserve"> </w:t>
            </w:r>
          </w:p>
        </w:tc>
        <w:tc>
          <w:tcPr>
            <w:tcW w:w="109" w:type="dxa"/>
            <w:tcBorders/>
            <w:shd w:fill="7F7F7F" w:val="clear"/>
            <w:tcMar>
              <w:bottom w:w="0" w:type="dxa"/>
            </w:tcMar>
            <w:vAlign w:val="center"/>
          </w:tcPr>
          <w:p>
            <w:pPr>
              <w:pStyle w:val="TableContents"/>
              <w:bidi w:val="0"/>
              <w:spacing w:before="0" w:after="283"/>
              <w:jc w:val="left"/>
              <w:rPr/>
            </w:pPr>
            <w:r>
              <w:rPr/>
              <w:t>​</w:t>
            </w:r>
          </w:p>
        </w:tc>
        <w:tc>
          <w:tcPr>
            <w:tcW w:w="109" w:type="dxa"/>
            <w:tcBorders/>
            <w:shd w:fill="7F7F7F" w:val="clear"/>
            <w:tcMar>
              <w:bottom w:w="0" w:type="dxa"/>
            </w:tcMar>
            <w:vAlign w:val="center"/>
          </w:tcPr>
          <w:p>
            <w:pPr>
              <w:pStyle w:val="TableContents"/>
              <w:bidi w:val="0"/>
              <w:spacing w:before="0" w:after="283"/>
              <w:jc w:val="left"/>
              <w:rPr/>
            </w:pPr>
            <w:r>
              <w:rPr/>
              <w:t>​</w:t>
            </w:r>
          </w:p>
        </w:tc>
        <w:tc>
          <w:tcPr>
            <w:tcW w:w="1276" w:type="dxa"/>
            <w:tcBorders/>
            <w:shd w:fill="7F7F7F" w:val="clear"/>
            <w:tcMar>
              <w:bottom w:w="0" w:type="dxa"/>
            </w:tcMar>
            <w:vAlign w:val="center"/>
          </w:tcPr>
          <w:p>
            <w:pPr>
              <w:pStyle w:val="TableContents"/>
              <w:bidi w:val="0"/>
              <w:spacing w:before="0" w:after="283"/>
              <w:jc w:val="left"/>
              <w:rPr/>
            </w:pPr>
            <w:r>
              <w:rPr/>
              <w:t>​</w:t>
            </w:r>
          </w:p>
        </w:tc>
        <w:tc>
          <w:tcPr>
            <w:tcW w:w="109" w:type="dxa"/>
            <w:tcBorders/>
            <w:shd w:fill="7F7F7F" w:val="clear"/>
            <w:tcMar>
              <w:bottom w:w="0" w:type="dxa"/>
            </w:tcMar>
            <w:vAlign w:val="center"/>
          </w:tcPr>
          <w:p>
            <w:pPr>
              <w:pStyle w:val="TableContents"/>
              <w:bidi w:val="0"/>
              <w:spacing w:before="0" w:after="283"/>
              <w:jc w:val="left"/>
              <w:rPr/>
            </w:pPr>
            <w:r>
              <w:rPr/>
              <w:t>​</w:t>
            </w:r>
          </w:p>
        </w:tc>
        <w:tc>
          <w:tcPr>
            <w:tcW w:w="109" w:type="dxa"/>
            <w:tcBorders/>
            <w:shd w:fill="7F7F7F" w:val="clear"/>
            <w:tcMar>
              <w:bottom w:w="0" w:type="dxa"/>
            </w:tcMar>
            <w:vAlign w:val="center"/>
          </w:tcPr>
          <w:p>
            <w:pPr>
              <w:pStyle w:val="TableContents"/>
              <w:bidi w:val="0"/>
              <w:spacing w:before="0" w:after="283"/>
              <w:jc w:val="left"/>
              <w:rPr/>
            </w:pPr>
            <w:r>
              <w:rPr/>
              <w:t>​</w:t>
            </w:r>
          </w:p>
        </w:tc>
        <w:tc>
          <w:tcPr>
            <w:tcW w:w="1387" w:type="dxa"/>
            <w:tcBorders/>
            <w:shd w:fill="7F7F7F" w:val="clear"/>
            <w:tcMar>
              <w:bottom w:w="0" w:type="dxa"/>
            </w:tcMar>
            <w:vAlign w:val="center"/>
          </w:tcPr>
          <w:p>
            <w:pPr>
              <w:pStyle w:val="TableContents"/>
              <w:bidi w:val="0"/>
              <w:spacing w:before="0" w:after="283"/>
              <w:jc w:val="left"/>
              <w:rPr/>
            </w:pPr>
            <w:r>
              <w:rPr/>
              <w:t>​</w:t>
            </w:r>
          </w:p>
        </w:tc>
        <w:tc>
          <w:tcPr>
            <w:tcW w:w="109" w:type="dxa"/>
            <w:tcBorders/>
            <w:shd w:fill="7F7F7F" w:val="clear"/>
            <w:tcMar>
              <w:bottom w:w="0" w:type="dxa"/>
            </w:tcMar>
            <w:vAlign w:val="center"/>
          </w:tcPr>
          <w:p>
            <w:pPr>
              <w:pStyle w:val="TableContents"/>
              <w:bidi w:val="0"/>
              <w:spacing w:before="0" w:after="283"/>
              <w:jc w:val="left"/>
              <w:rPr/>
            </w:pPr>
            <w:r>
              <w:rPr/>
              <w:t>​</w:t>
            </w:r>
          </w:p>
        </w:tc>
        <w:tc>
          <w:tcPr>
            <w:tcW w:w="109" w:type="dxa"/>
            <w:tcBorders/>
            <w:shd w:fill="7F7F7F" w:val="clear"/>
            <w:tcMar>
              <w:bottom w:w="0" w:type="dxa"/>
            </w:tcMar>
            <w:vAlign w:val="center"/>
          </w:tcPr>
          <w:p>
            <w:pPr>
              <w:pStyle w:val="TableContents"/>
              <w:bidi w:val="0"/>
              <w:spacing w:before="0" w:after="283"/>
              <w:jc w:val="left"/>
              <w:rPr/>
            </w:pPr>
            <w:r>
              <w:rPr/>
              <w:t>​</w:t>
            </w:r>
          </w:p>
        </w:tc>
        <w:tc>
          <w:tcPr>
            <w:tcW w:w="646" w:type="dxa"/>
            <w:tcBorders/>
            <w:shd w:fill="7F7F7F" w:val="clear"/>
            <w:tcMar>
              <w:bottom w:w="0" w:type="dxa"/>
            </w:tcMar>
            <w:vAlign w:val="center"/>
          </w:tcPr>
          <w:p>
            <w:pPr>
              <w:pStyle w:val="TableContents"/>
              <w:bidi w:val="0"/>
              <w:spacing w:before="0" w:after="0"/>
              <w:jc w:val="center"/>
              <w:rPr/>
            </w:pPr>
            <w:r>
              <w:rPr>
                <w:spacing w:val="-2"/>
              </w:rPr>
              <w:t>5</w:t>
            </w:r>
            <w:r>
              <w:rPr/>
              <w:t xml:space="preserve"> </w:t>
            </w:r>
          </w:p>
        </w:tc>
        <w:tc>
          <w:tcPr>
            <w:tcW w:w="109" w:type="dxa"/>
            <w:tcBorders/>
            <w:shd w:fill="7F7F7F" w:val="clear"/>
            <w:tcMar>
              <w:bottom w:w="0" w:type="dxa"/>
            </w:tcMar>
            <w:vAlign w:val="center"/>
          </w:tcPr>
          <w:p>
            <w:pPr>
              <w:pStyle w:val="TableContents"/>
              <w:bidi w:val="0"/>
              <w:spacing w:before="0" w:after="283"/>
              <w:jc w:val="left"/>
              <w:rPr/>
            </w:pPr>
            <w:r>
              <w:rPr/>
              <w:t>​</w:t>
            </w:r>
          </w:p>
        </w:tc>
        <w:tc>
          <w:tcPr>
            <w:tcW w:w="109" w:type="dxa"/>
            <w:tcBorders/>
            <w:shd w:fill="7F7F7F" w:val="clear"/>
            <w:tcMar>
              <w:bottom w:w="0" w:type="dxa"/>
            </w:tcMar>
            <w:vAlign w:val="center"/>
          </w:tcPr>
          <w:p>
            <w:pPr>
              <w:pStyle w:val="TableContents"/>
              <w:bidi w:val="0"/>
              <w:spacing w:before="0" w:after="283"/>
              <w:jc w:val="left"/>
              <w:rPr/>
            </w:pPr>
            <w:r>
              <w:rPr/>
              <w:t>​</w:t>
            </w:r>
          </w:p>
        </w:tc>
        <w:tc>
          <w:tcPr>
            <w:tcW w:w="1471" w:type="dxa"/>
            <w:tcBorders/>
            <w:shd w:fill="7F7F7F" w:val="clear"/>
            <w:tcMar>
              <w:bottom w:w="0" w:type="dxa"/>
            </w:tcMar>
            <w:vAlign w:val="center"/>
          </w:tcPr>
          <w:p>
            <w:pPr>
              <w:pStyle w:val="TableContents"/>
              <w:bidi w:val="0"/>
              <w:spacing w:before="0" w:after="0"/>
              <w:jc w:val="center"/>
              <w:rPr/>
            </w:pPr>
            <w:r>
              <w:rPr>
                <w:spacing w:val="-2"/>
              </w:rPr>
              <w:t>5</w:t>
            </w:r>
            <w:r>
              <w:rPr/>
              <w:t xml:space="preserve"> </w:t>
            </w:r>
          </w:p>
        </w:tc>
        <w:tc>
          <w:tcPr>
            <w:tcW w:w="109" w:type="dxa"/>
            <w:tcBorders/>
            <w:shd w:fill="7F7F7F" w:val="clear"/>
            <w:tcMar>
              <w:bottom w:w="0" w:type="dxa"/>
            </w:tcMar>
            <w:vAlign w:val="center"/>
          </w:tcPr>
          <w:p>
            <w:pPr>
              <w:pStyle w:val="TableContents"/>
              <w:bidi w:val="0"/>
              <w:spacing w:before="0" w:after="283"/>
              <w:jc w:val="left"/>
              <w:rPr/>
            </w:pPr>
            <w:r>
              <w:rPr/>
              <w:t>​</w:t>
            </w:r>
          </w:p>
        </w:tc>
        <w:tc>
          <w:tcPr>
            <w:tcW w:w="109" w:type="dxa"/>
            <w:tcBorders/>
            <w:shd w:fill="7F7F7F" w:val="clear"/>
            <w:tcMar>
              <w:bottom w:w="0" w:type="dxa"/>
            </w:tcMar>
            <w:vAlign w:val="center"/>
          </w:tcPr>
          <w:p>
            <w:pPr>
              <w:pStyle w:val="TableContents"/>
              <w:bidi w:val="0"/>
              <w:spacing w:before="0" w:after="283"/>
              <w:jc w:val="left"/>
              <w:rPr/>
            </w:pPr>
            <w:r>
              <w:rPr/>
              <w:t>​</w:t>
            </w:r>
          </w:p>
        </w:tc>
        <w:tc>
          <w:tcPr>
            <w:tcW w:w="1261" w:type="dxa"/>
            <w:tcBorders/>
            <w:shd w:fill="7F7F7F" w:val="clear"/>
            <w:tcMar>
              <w:bottom w:w="0" w:type="dxa"/>
            </w:tcMar>
            <w:vAlign w:val="center"/>
          </w:tcPr>
          <w:p>
            <w:pPr>
              <w:pStyle w:val="TableContents"/>
              <w:bidi w:val="0"/>
              <w:spacing w:before="0" w:after="0"/>
              <w:jc w:val="center"/>
              <w:rPr/>
            </w:pPr>
            <w:r>
              <w:rPr>
                <w:spacing w:val="-2"/>
              </w:rPr>
              <w:t>3</w:t>
            </w:r>
            <w:r>
              <w:rPr/>
              <w:t xml:space="preserve"> </w:t>
            </w:r>
          </w:p>
        </w:tc>
        <w:tc>
          <w:tcPr>
            <w:tcW w:w="109" w:type="dxa"/>
            <w:tcBorders/>
            <w:shd w:fill="7F7F7F" w:val="clear"/>
            <w:tcMar>
              <w:bottom w:w="0" w:type="dxa"/>
            </w:tcMar>
            <w:vAlign w:val="center"/>
          </w:tcPr>
          <w:p>
            <w:pPr>
              <w:pStyle w:val="TableContents"/>
              <w:bidi w:val="0"/>
              <w:spacing w:before="0" w:after="283"/>
              <w:jc w:val="left"/>
              <w:rPr/>
            </w:pPr>
            <w:r>
              <w:rPr/>
              <w:t>​</w:t>
            </w:r>
          </w:p>
        </w:tc>
        <w:tc>
          <w:tcPr>
            <w:tcW w:w="109" w:type="dxa"/>
            <w:tcBorders/>
            <w:shd w:fill="7F7F7F" w:val="clear"/>
            <w:tcMar>
              <w:bottom w:w="0" w:type="dxa"/>
            </w:tcMar>
            <w:vAlign w:val="center"/>
          </w:tcPr>
          <w:p>
            <w:pPr>
              <w:pStyle w:val="TableContents"/>
              <w:bidi w:val="0"/>
              <w:spacing w:before="0" w:after="283"/>
              <w:jc w:val="left"/>
              <w:rPr/>
            </w:pPr>
            <w:r>
              <w:rPr/>
              <w:t>​</w:t>
            </w:r>
          </w:p>
        </w:tc>
        <w:tc>
          <w:tcPr>
            <w:tcW w:w="1246" w:type="dxa"/>
            <w:tcBorders/>
            <w:shd w:fill="7F7F7F" w:val="clear"/>
            <w:tcMar>
              <w:bottom w:w="0" w:type="dxa"/>
            </w:tcMar>
            <w:vAlign w:val="center"/>
          </w:tcPr>
          <w:p>
            <w:pPr>
              <w:pStyle w:val="TableContents"/>
              <w:bidi w:val="0"/>
              <w:spacing w:before="0" w:after="0"/>
              <w:jc w:val="center"/>
              <w:rPr/>
            </w:pPr>
            <w:r>
              <w:rPr>
                <w:spacing w:val="-2"/>
              </w:rPr>
              <w:t>4</w:t>
            </w:r>
            <w:r>
              <w:rPr/>
              <w:t xml:space="preserve"> </w:t>
            </w:r>
          </w:p>
        </w:tc>
        <w:tc>
          <w:tcPr>
            <w:tcW w:w="109" w:type="dxa"/>
            <w:tcBorders/>
            <w:shd w:fill="7F7F7F" w:val="clear"/>
            <w:tcMar>
              <w:bottom w:w="0" w:type="dxa"/>
            </w:tcMar>
            <w:vAlign w:val="center"/>
          </w:tcPr>
          <w:p>
            <w:pPr>
              <w:pStyle w:val="TableContents"/>
              <w:bidi w:val="0"/>
              <w:spacing w:before="0" w:after="283"/>
              <w:jc w:val="left"/>
              <w:rPr/>
            </w:pPr>
            <w:r>
              <w:rPr/>
              <w:t>​</w:t>
            </w:r>
          </w:p>
        </w:tc>
        <w:tc>
          <w:tcPr>
            <w:tcW w:w="109" w:type="dxa"/>
            <w:tcBorders/>
            <w:shd w:fill="7F7F7F" w:val="clear"/>
            <w:tcMar>
              <w:bottom w:w="0" w:type="dxa"/>
            </w:tcMar>
            <w:vAlign w:val="center"/>
          </w:tcPr>
          <w:p>
            <w:pPr>
              <w:pStyle w:val="TableContents"/>
              <w:bidi w:val="0"/>
              <w:spacing w:before="0" w:after="283"/>
              <w:jc w:val="left"/>
              <w:rPr/>
            </w:pPr>
            <w:r>
              <w:rPr/>
              <w:t>​</w:t>
            </w:r>
          </w:p>
        </w:tc>
        <w:tc>
          <w:tcPr>
            <w:tcW w:w="1021" w:type="dxa"/>
            <w:tcBorders/>
            <w:shd w:fill="7F7F7F" w:val="clear"/>
            <w:tcMar>
              <w:bottom w:w="0" w:type="dxa"/>
            </w:tcMar>
            <w:vAlign w:val="center"/>
          </w:tcPr>
          <w:p>
            <w:pPr>
              <w:pStyle w:val="TableContents"/>
              <w:bidi w:val="0"/>
              <w:spacing w:before="0" w:after="0"/>
              <w:jc w:val="center"/>
              <w:rPr/>
            </w:pPr>
            <w:r>
              <w:rPr>
                <w:spacing w:val="-1"/>
              </w:rPr>
              <w:t>–</w:t>
            </w:r>
            <w:r>
              <w:rPr/>
              <w:t xml:space="preserve"> </w:t>
            </w:r>
          </w:p>
        </w:tc>
        <w:tc>
          <w:tcPr>
            <w:tcW w:w="109" w:type="dxa"/>
            <w:tcBorders/>
            <w:shd w:fill="7F7F7F" w:val="clear"/>
            <w:tcMar>
              <w:bottom w:w="0" w:type="dxa"/>
            </w:tcMar>
            <w:vAlign w:val="center"/>
          </w:tcPr>
          <w:p>
            <w:pPr>
              <w:pStyle w:val="TableContents"/>
              <w:bidi w:val="0"/>
              <w:spacing w:before="0" w:after="283"/>
              <w:jc w:val="left"/>
              <w:rPr/>
            </w:pPr>
            <w:r>
              <w:rPr/>
              <w:t>​</w:t>
            </w:r>
          </w:p>
        </w:tc>
        <w:tc>
          <w:tcPr>
            <w:tcW w:w="109" w:type="dxa"/>
            <w:tcBorders/>
            <w:shd w:fill="7F7F7F" w:val="clear"/>
            <w:tcMar>
              <w:bottom w:w="0" w:type="dxa"/>
            </w:tcMar>
            <w:vAlign w:val="center"/>
          </w:tcPr>
          <w:p>
            <w:pPr>
              <w:pStyle w:val="TableContents"/>
              <w:bidi w:val="0"/>
              <w:spacing w:before="0" w:after="283"/>
              <w:jc w:val="left"/>
              <w:rPr/>
            </w:pPr>
            <w:r>
              <w:rPr/>
              <w:t>​</w:t>
            </w:r>
          </w:p>
        </w:tc>
        <w:tc>
          <w:tcPr>
            <w:tcW w:w="1266" w:type="dxa"/>
            <w:tcBorders/>
            <w:shd w:fill="7F7F7F"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2E2925"/>
            </w:tcBorders>
            <w:vAlign w:val="center"/>
          </w:tcPr>
          <w:p>
            <w:pPr>
              <w:pStyle w:val="TableContents"/>
              <w:bidi w:val="0"/>
              <w:spacing w:before="0" w:after="283"/>
              <w:jc w:val="left"/>
              <w:rPr/>
            </w:pPr>
            <w:r>
              <w:rPr/>
              <w:t>​</w:t>
            </w:r>
          </w:p>
        </w:tc>
        <w:tc>
          <w:tcPr>
            <w:tcW w:w="1486" w:type="dxa"/>
            <w:tcBorders>
              <w:bottom w:val="single" w:sz="2" w:space="0" w:color="2E2925"/>
            </w:tcBorders>
            <w:vAlign w:val="center"/>
          </w:tcPr>
          <w:p>
            <w:pPr>
              <w:pStyle w:val="TableContents"/>
              <w:bidi w:val="0"/>
              <w:spacing w:lineRule="atLeast" w:line="144" w:before="0" w:after="0"/>
              <w:jc w:val="left"/>
              <w:rPr>
                <w:b/>
              </w:rPr>
            </w:pPr>
            <w:r>
              <w:rPr>
                <w:b/>
                <w:spacing w:val="0"/>
              </w:rPr>
              <w:t>Average (Years)</w:t>
            </w:r>
            <w:r>
              <w:rPr>
                <w:b/>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511" w:type="dxa"/>
            <w:tcBorders>
              <w:bottom w:val="single" w:sz="2" w:space="0" w:color="2E2925"/>
            </w:tcBorders>
            <w:vAlign w:val="center"/>
          </w:tcPr>
          <w:p>
            <w:pPr>
              <w:pStyle w:val="TableContents"/>
              <w:bidi w:val="0"/>
              <w:spacing w:before="0" w:after="0"/>
              <w:jc w:val="center"/>
              <w:rPr/>
            </w:pPr>
            <w:r>
              <w:rPr>
                <w:spacing w:val="-1"/>
              </w:rPr>
              <w:t>60</w:t>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886"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781" w:type="dxa"/>
            <w:tcBorders>
              <w:bottom w:val="single" w:sz="2" w:space="0" w:color="2E2925"/>
            </w:tcBorders>
            <w:vAlign w:val="center"/>
          </w:tcPr>
          <w:p>
            <w:pPr>
              <w:pStyle w:val="TableContents"/>
              <w:bidi w:val="0"/>
              <w:spacing w:before="0" w:after="0"/>
              <w:jc w:val="center"/>
              <w:rPr/>
            </w:pPr>
            <w:r>
              <w:rPr>
                <w:spacing w:val="-1"/>
              </w:rPr>
              <w:t>5.5</w:t>
            </w:r>
            <w:r>
              <w:rPr/>
              <w:t xml:space="preserve"> </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76"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387" w:type="dxa"/>
            <w:tcBorders>
              <w:bottom w:val="single" w:sz="2" w:space="0" w:color="2E2925"/>
            </w:tcBorders>
            <w:tcMar>
              <w:bottom w:w="34" w:type="dxa"/>
            </w:tcMar>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646" w:type="dxa"/>
            <w:tcBorders>
              <w:bottom w:val="single" w:sz="2" w:space="0" w:color="2E2925"/>
            </w:tcBorders>
            <w:tcMar>
              <w:bottom w:w="34" w:type="dxa"/>
            </w:tcMar>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471" w:type="dxa"/>
            <w:tcBorders>
              <w:bottom w:val="single" w:sz="2" w:space="0" w:color="2E2925"/>
            </w:tcBorders>
            <w:tcMar>
              <w:bottom w:w="34" w:type="dxa"/>
            </w:tcMar>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61" w:type="dxa"/>
            <w:tcBorders>
              <w:bottom w:val="single" w:sz="2" w:space="0" w:color="2E2925"/>
            </w:tcBorders>
            <w:tcMar>
              <w:bottom w:w="34" w:type="dxa"/>
            </w:tcMar>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46" w:type="dxa"/>
            <w:tcBorders>
              <w:bottom w:val="single" w:sz="2" w:space="0" w:color="2E2925"/>
            </w:tcBorders>
            <w:tcMar>
              <w:bottom w:w="34" w:type="dxa"/>
            </w:tcMar>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21" w:type="dxa"/>
            <w:tcBorders>
              <w:bottom w:val="single" w:sz="2" w:space="0" w:color="2E2925"/>
            </w:tcBorders>
            <w:tcMar>
              <w:bottom w:w="34" w:type="dxa"/>
            </w:tcMar>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09" w:type="dxa"/>
            <w:tcBorders>
              <w:bottom w:val="single" w:sz="2" w:space="0" w:color="2E2925"/>
            </w:tcBorders>
            <w:vAlign w:val="center"/>
          </w:tcPr>
          <w:p>
            <w:pPr>
              <w:pStyle w:val="TableContents"/>
              <w:bidi w:val="0"/>
              <w:spacing w:before="0" w:after="283"/>
              <w:jc w:val="left"/>
              <w:rPr/>
            </w:pPr>
            <w:r>
              <w:rPr/>
              <w:t>​</w:t>
            </w:r>
          </w:p>
        </w:tc>
        <w:tc>
          <w:tcPr>
            <w:tcW w:w="1266" w:type="dxa"/>
            <w:tcBorders>
              <w:bottom w:val="single" w:sz="2" w:space="0" w:color="2E2925"/>
            </w:tcBorders>
            <w:tcMar>
              <w:bottom w:w="34" w:type="dxa"/>
            </w:tcMar>
            <w:vAlign w:val="center"/>
          </w:tcPr>
          <w:p>
            <w:pPr>
              <w:pStyle w:val="TableContents"/>
              <w:bidi w:val="0"/>
              <w:spacing w:before="0" w:after="283"/>
              <w:jc w:val="left"/>
              <w:rPr/>
            </w:pPr>
            <w:r>
              <w:rPr/>
              <w:t>​</w:t>
            </w:r>
          </w:p>
        </w:tc>
        <w:tc>
          <w:tcPr>
            <w:tcW w:w="154" w:type="dxa"/>
            <w:tcBorders>
              <w:bottom w:val="single" w:sz="2" w:space="0" w:color="2E2925"/>
            </w:tcBorders>
            <w:vAlign w:val="center"/>
          </w:tcPr>
          <w:p>
            <w:pPr>
              <w:pStyle w:val="TableContents"/>
              <w:bidi w:val="0"/>
              <w:spacing w:before="0" w:after="283"/>
              <w:jc w:val="left"/>
              <w:rPr/>
            </w:pPr>
            <w:r>
              <w:rPr/>
              <w:t>​</w:t>
            </w:r>
          </w:p>
        </w:tc>
      </w:tr>
    </w:tbl>
    <w:tbl>
      <w:tblPr>
        <w:tblW w:w="9304" w:type="dxa"/>
        <w:jc w:val="left"/>
        <w:tblInd w:w="901" w:type="dxa"/>
        <w:tblLayout w:type="fixed"/>
        <w:tblCellMar>
          <w:top w:w="0" w:type="dxa"/>
          <w:left w:w="0" w:type="dxa"/>
          <w:bottom w:w="0" w:type="dxa"/>
          <w:right w:w="0" w:type="dxa"/>
        </w:tblCellMar>
      </w:tblPr>
      <w:tblGrid>
        <w:gridCol w:w="124"/>
        <w:gridCol w:w="265"/>
        <w:gridCol w:w="109"/>
        <w:gridCol w:w="109"/>
        <w:gridCol w:w="641"/>
        <w:gridCol w:w="109"/>
        <w:gridCol w:w="109"/>
        <w:gridCol w:w="220"/>
        <w:gridCol w:w="109"/>
        <w:gridCol w:w="109"/>
        <w:gridCol w:w="910"/>
        <w:gridCol w:w="109"/>
        <w:gridCol w:w="109"/>
        <w:gridCol w:w="295"/>
        <w:gridCol w:w="109"/>
        <w:gridCol w:w="109"/>
        <w:gridCol w:w="1610"/>
        <w:gridCol w:w="109"/>
        <w:gridCol w:w="109"/>
        <w:gridCol w:w="527"/>
        <w:gridCol w:w="109"/>
        <w:gridCol w:w="109"/>
        <w:gridCol w:w="1205"/>
        <w:gridCol w:w="109"/>
        <w:gridCol w:w="109"/>
        <w:gridCol w:w="400"/>
        <w:gridCol w:w="109"/>
        <w:gridCol w:w="109"/>
        <w:gridCol w:w="983"/>
        <w:gridCol w:w="162"/>
      </w:tblGrid>
      <w:tr>
        <w:trPr/>
        <w:tc>
          <w:tcPr>
            <w:tcW w:w="124" w:type="dxa"/>
            <w:tcBorders/>
            <w:vAlign w:val="center"/>
          </w:tcPr>
          <w:p>
            <w:pPr>
              <w:pStyle w:val="TableContents"/>
              <w:bidi w:val="0"/>
              <w:spacing w:before="0" w:after="283"/>
              <w:jc w:val="left"/>
              <w:rPr/>
            </w:pPr>
            <w:r>
              <w:rPr/>
              <w:t>​</w:t>
            </w:r>
          </w:p>
        </w:tc>
        <w:tc>
          <w:tcPr>
            <w:tcW w:w="265" w:type="dxa"/>
            <w:tcBorders/>
            <w:tcMar>
              <w:top w:w="28" w:type="dxa"/>
              <w:left w:w="28" w:type="dxa"/>
              <w:bottom w:w="28" w:type="dxa"/>
              <w:right w:w="28" w:type="dxa"/>
            </w:tcMar>
            <w:vAlign w:val="center"/>
          </w:tcPr>
          <w:p>
            <w:pPr>
              <w:pStyle w:val="TableContents"/>
              <w:bidi w:val="0"/>
              <w:spacing w:before="0" w:after="0"/>
              <w:jc w:val="both"/>
              <w:rPr/>
            </w:pPr>
            <w:r>
              <w:rPr/>
              <w:drawing>
                <wp:inline distT="0" distB="0" distL="0" distR="0">
                  <wp:extent cx="104775" cy="180975"/>
                  <wp:effectExtent l="0" t="0" r="0" b="0"/>
                  <wp:docPr id="4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7" descr=""/>
                          <pic:cNvPicPr>
                            <a:picLocks noChangeAspect="1" noChangeArrowheads="1"/>
                          </pic:cNvPicPr>
                        </pic:nvPicPr>
                        <pic:blipFill>
                          <a:blip r:embed="rId38"/>
                          <a:stretch>
                            <a:fillRect/>
                          </a:stretch>
                        </pic:blipFill>
                        <pic:spPr bwMode="auto">
                          <a:xfrm>
                            <a:off x="0" y="0"/>
                            <a:ext cx="104775" cy="1809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1" w:type="dxa"/>
            <w:tcBorders/>
            <w:tcMar>
              <w:top w:w="28" w:type="dxa"/>
              <w:left w:w="28" w:type="dxa"/>
              <w:bottom w:w="28" w:type="dxa"/>
              <w:right w:w="28" w:type="dxa"/>
            </w:tcMar>
            <w:vAlign w:val="center"/>
          </w:tcPr>
          <w:p>
            <w:pPr>
              <w:pStyle w:val="TableContents"/>
              <w:bidi w:val="0"/>
              <w:spacing w:lineRule="atLeast" w:line="168" w:before="0" w:after="0"/>
              <w:jc w:val="left"/>
              <w:rPr>
                <w:spacing w:val="-1"/>
              </w:rPr>
            </w:pPr>
            <w:r>
              <w:rPr>
                <w:spacing w:val="-1"/>
              </w:rPr>
              <w:t xml:space="preserve">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76200" cy="161925"/>
                  <wp:effectExtent l="0" t="0" r="0" b="0"/>
                  <wp:docPr id="4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8" descr=""/>
                          <pic:cNvPicPr>
                            <a:picLocks noChangeAspect="1" noChangeArrowheads="1"/>
                          </pic:cNvPicPr>
                        </pic:nvPicPr>
                        <pic:blipFill>
                          <a:blip r:embed="rId39"/>
                          <a:stretch>
                            <a:fillRect/>
                          </a:stretch>
                        </pic:blipFill>
                        <pic:spPr bwMode="auto">
                          <a:xfrm>
                            <a:off x="0" y="0"/>
                            <a:ext cx="76200" cy="1619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0" w:type="dxa"/>
            <w:tcBorders/>
            <w:tcMar>
              <w:top w:w="28" w:type="dxa"/>
              <w:left w:w="28" w:type="dxa"/>
              <w:bottom w:w="28" w:type="dxa"/>
              <w:right w:w="28" w:type="dxa"/>
            </w:tcMar>
            <w:vAlign w:val="center"/>
          </w:tcPr>
          <w:p>
            <w:pPr>
              <w:pStyle w:val="TableContents"/>
              <w:bidi w:val="0"/>
              <w:spacing w:lineRule="atLeast" w:line="168" w:before="0" w:after="0"/>
              <w:jc w:val="left"/>
              <w:rPr>
                <w:spacing w:val="-1"/>
              </w:rPr>
            </w:pPr>
            <w:r>
              <w:rPr>
                <w:spacing w:val="-1"/>
              </w:rPr>
              <w:t xml:space="preserve">Member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5"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123825" cy="123825"/>
                  <wp:effectExtent l="0" t="0" r="0" b="0"/>
                  <wp:docPr id="4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9" descr=""/>
                          <pic:cNvPicPr>
                            <a:picLocks noChangeAspect="1" noChangeArrowheads="1"/>
                          </pic:cNvPicPr>
                        </pic:nvPicPr>
                        <pic:blipFill>
                          <a:blip r:embed="rId40"/>
                          <a:stretch>
                            <a:fillRect/>
                          </a:stretch>
                        </pic:blipFill>
                        <pic:spPr bwMode="auto">
                          <a:xfrm>
                            <a:off x="0" y="0"/>
                            <a:ext cx="123825" cy="1238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0" w:type="dxa"/>
            <w:tcBorders/>
            <w:tcMar>
              <w:top w:w="28" w:type="dxa"/>
              <w:left w:w="28" w:type="dxa"/>
              <w:bottom w:w="28" w:type="dxa"/>
              <w:right w:w="28" w:type="dxa"/>
            </w:tcMar>
            <w:vAlign w:val="center"/>
          </w:tcPr>
          <w:p>
            <w:pPr>
              <w:pStyle w:val="TableContents"/>
              <w:bidi w:val="0"/>
              <w:spacing w:lineRule="atLeast" w:line="168" w:before="0" w:after="0"/>
              <w:jc w:val="left"/>
              <w:rPr>
                <w:spacing w:val="-1"/>
              </w:rPr>
            </w:pPr>
            <w:r>
              <w:rPr>
                <w:spacing w:val="-1"/>
              </w:rPr>
              <w:t xml:space="preserve">Executive Chairman of the Board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7" w:type="dxa"/>
            <w:tcBorders/>
            <w:tcMar>
              <w:top w:w="28" w:type="dxa"/>
              <w:left w:w="28" w:type="dxa"/>
              <w:bottom w:w="28" w:type="dxa"/>
              <w:right w:w="28" w:type="dxa"/>
            </w:tcMar>
            <w:vAlign w:val="center"/>
          </w:tcPr>
          <w:p>
            <w:pPr>
              <w:pStyle w:val="TableContents"/>
              <w:bidi w:val="0"/>
              <w:spacing w:lineRule="atLeast" w:line="168" w:before="0" w:after="0"/>
              <w:jc w:val="left"/>
              <w:rPr>
                <w:spacing w:val="-1"/>
              </w:rPr>
            </w:pPr>
            <w:r>
              <w:rPr>
                <w:spacing w:val="-1"/>
              </w:rPr>
              <w:t xml:space="preserve">(PD)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5" w:type="dxa"/>
            <w:tcBorders/>
            <w:tcMar>
              <w:top w:w="28" w:type="dxa"/>
              <w:left w:w="28" w:type="dxa"/>
              <w:bottom w:w="28" w:type="dxa"/>
              <w:right w:w="28" w:type="dxa"/>
            </w:tcMar>
            <w:vAlign w:val="center"/>
          </w:tcPr>
          <w:p>
            <w:pPr>
              <w:pStyle w:val="TableContents"/>
              <w:bidi w:val="0"/>
              <w:spacing w:lineRule="atLeast" w:line="168" w:before="0" w:after="0"/>
              <w:jc w:val="left"/>
              <w:rPr>
                <w:spacing w:val="-1"/>
              </w:rPr>
            </w:pPr>
            <w:r>
              <w:rPr>
                <w:spacing w:val="-1"/>
              </w:rPr>
              <w:t xml:space="preserve">Presiding 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0"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190500" cy="180975"/>
                  <wp:effectExtent l="0" t="0" r="0" b="0"/>
                  <wp:docPr id="5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0" descr=""/>
                          <pic:cNvPicPr>
                            <a:picLocks noChangeAspect="1" noChangeArrowheads="1"/>
                          </pic:cNvPicPr>
                        </pic:nvPicPr>
                        <pic:blipFill>
                          <a:blip r:embed="rId41"/>
                          <a:stretch>
                            <a:fillRect/>
                          </a:stretch>
                        </pic:blipFill>
                        <pic:spPr bwMode="auto">
                          <a:xfrm>
                            <a:off x="0" y="0"/>
                            <a:ext cx="190500" cy="1809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3" w:type="dxa"/>
            <w:tcBorders/>
            <w:tcMar>
              <w:top w:w="28" w:type="dxa"/>
              <w:left w:w="28" w:type="dxa"/>
              <w:bottom w:w="28" w:type="dxa"/>
              <w:right w:w="28" w:type="dxa"/>
            </w:tcMar>
            <w:vAlign w:val="center"/>
          </w:tcPr>
          <w:p>
            <w:pPr>
              <w:pStyle w:val="TableContents"/>
              <w:bidi w:val="0"/>
              <w:spacing w:lineRule="atLeast" w:line="168" w:before="0" w:after="0"/>
              <w:jc w:val="left"/>
              <w:rPr/>
            </w:pPr>
            <w:r>
              <w:rPr>
                <w:spacing w:val="-1"/>
              </w:rPr>
              <w:t>Observer</w:t>
            </w:r>
            <w:r>
              <w:rPr/>
              <w:t xml:space="preserve"> </w:t>
            </w:r>
          </w:p>
        </w:tc>
        <w:tc>
          <w:tcPr>
            <w:tcW w:w="162" w:type="dxa"/>
            <w:tcBorders/>
            <w:vAlign w:val="center"/>
          </w:tcPr>
          <w:p>
            <w:pPr>
              <w:pStyle w:val="TableContents"/>
              <w:bidi w:val="0"/>
              <w:spacing w:before="0" w:after="283"/>
              <w:jc w:val="left"/>
              <w:rPr/>
            </w:pPr>
            <w:r>
              <w:rPr/>
              <w:t>​</w:t>
            </w:r>
          </w:p>
        </w:tc>
      </w:tr>
    </w:tbl>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Ackman previously served as Chairman of the Board from 2010 − 2024.</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145">
                <wp:simplePos x="0" y="0"/>
                <wp:positionH relativeFrom="column">
                  <wp:align>left</wp:align>
                </wp:positionH>
                <wp:positionV relativeFrom="line">
                  <wp:align>top</wp:align>
                </wp:positionV>
                <wp:extent cx="254000" cy="279400"/>
                <wp:effectExtent l="0" t="0" r="0" b="0"/>
                <wp:wrapSquare wrapText="right"/>
                <wp:docPr id="51" name="Frame11"/>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1"/>
                                <w:sz w:val="18"/>
                              </w:rPr>
                              <w:t>*</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1"/>
                          <w:sz w:val="18"/>
                        </w:rPr>
                        <w:t>*</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80" w:after="283"/>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Insurance Committee was established by the Board of Directors effective June 4, 2026, following the consummation of the Company’s acquisition of Vantage Group Holdings, Ltd. Accordingly, the Insurance Committee held no meetings during fiscal year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Excludes non-SEC reporting foreign public companies. Foreign or non-U.S. public board positions (including service on Pershing Square Holdings Ltd., listed on the London Stock Exchange) are detailed in the individual director biographies below. </w:t>
      </w:r>
      <w:r>
        <mc:AlternateContent>
          <mc:Choice Requires="wps">
            <w:drawing>
              <wp:anchor behindDoc="0" distT="76200" distB="0" distL="0" distR="0" simplePos="0" locked="0" layoutInCell="1" allowOverlap="1" relativeHeight="146">
                <wp:simplePos x="0" y="0"/>
                <wp:positionH relativeFrom="column">
                  <wp:align>left</wp:align>
                </wp:positionH>
                <wp:positionV relativeFrom="line">
                  <wp:align>top</wp:align>
                </wp:positionV>
                <wp:extent cx="254000" cy="279400"/>
                <wp:effectExtent l="0" t="0" r="0" b="0"/>
                <wp:wrapSquare wrapText="right"/>
                <wp:docPr id="52" name="Frame12"/>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2 \ 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GOHI"/>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Proxy Summary</w:t>
      </w:r>
      <w:r>
        <w:rPr>
          <w:rFonts w:ascii="Arial;Helvetica;sans-serif" w:hAnsi="Arial;Helvetica;sans-serif"/>
          <w:b/>
          <w:i w:val="false"/>
          <w:caps w:val="false"/>
          <w:smallCaps w:val="false"/>
          <w:color w:val="7F7F7F"/>
          <w:sz w:val="22"/>
        </w:rPr>
        <w:t>​</w:t>
      </w:r>
    </w:p>
    <w:p>
      <w:pPr>
        <w:pStyle w:val="TextBody"/>
        <w:bidi w:val="0"/>
        <w:spacing w:lineRule="atLeast" w:line="340" w:before="120" w:after="6100"/>
        <w:ind w:left="901"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GOVERNANCE HIGHLIGHTS</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of Directors (the “Board”) and management believe that good corporate governance promotes accountability to stockholders, enhances investor confidence in Howard Hughes Holdings Inc. (“HHH”, “Howard Hughes”, or the “Company”) and supports long-term value creation. The Company fosters a culture of good corporate governance, which includes the following:</w:t>
      </w:r>
      <w:r>
        <w:rPr>
          <w:rFonts w:ascii="Arial;Helvetica;sans-serif" w:hAnsi="Arial;Helvetica;sans-serif"/>
          <w:b w:val="false"/>
          <w:i w:val="false"/>
          <w:caps w:val="false"/>
          <w:smallCaps w:val="false"/>
          <w:color w:val="000000"/>
          <w:spacing w:val="4"/>
          <w:sz w:val="20"/>
        </w:rPr>
        <w:t xml:space="preserve"> </w:t>
      </w:r>
    </w:p>
    <w:tbl>
      <w:tblPr>
        <w:tblW w:w="9304" w:type="dxa"/>
        <w:jc w:val="left"/>
        <w:tblInd w:w="901" w:type="dxa"/>
        <w:tblLayout w:type="fixed"/>
        <w:tblCellMar>
          <w:top w:w="0" w:type="dxa"/>
          <w:left w:w="0" w:type="dxa"/>
          <w:bottom w:w="0" w:type="dxa"/>
          <w:right w:w="0" w:type="dxa"/>
        </w:tblCellMar>
      </w:tblPr>
      <w:tblGrid>
        <w:gridCol w:w="124"/>
        <w:gridCol w:w="3710"/>
        <w:gridCol w:w="109"/>
        <w:gridCol w:w="109"/>
        <w:gridCol w:w="5097"/>
        <w:gridCol w:w="155"/>
      </w:tblGrid>
      <w:tr>
        <w:trPr/>
        <w:tc>
          <w:tcPr>
            <w:tcW w:w="124" w:type="dxa"/>
            <w:tcBorders/>
            <w:shd w:fill="E5E5E5" w:val="clear"/>
            <w:vAlign w:val="center"/>
          </w:tcPr>
          <w:p>
            <w:pPr>
              <w:pStyle w:val="TableContents"/>
              <w:bidi w:val="0"/>
              <w:spacing w:before="0" w:after="283"/>
              <w:jc w:val="left"/>
              <w:rPr/>
            </w:pPr>
            <w:r>
              <w:rPr/>
              <w:t>​</w:t>
            </w:r>
          </w:p>
        </w:tc>
        <w:tc>
          <w:tcPr>
            <w:tcW w:w="3710" w:type="dxa"/>
            <w:tcBorders/>
            <w:shd w:fill="E5E5E5" w:val="clear"/>
            <w:vAlign w:val="center"/>
          </w:tcPr>
          <w:p>
            <w:pPr>
              <w:pStyle w:val="TableContents"/>
              <w:bidi w:val="0"/>
              <w:spacing w:lineRule="atLeast" w:line="320" w:before="0" w:after="0"/>
              <w:ind w:left="120" w:right="0" w:hanging="0"/>
              <w:jc w:val="left"/>
              <w:rPr/>
            </w:pPr>
            <w:r>
              <w:rPr>
                <w:spacing w:val="-2"/>
              </w:rPr>
              <w:t>✓</w:t>
            </w:r>
            <w:r>
              <w:rPr/>
              <w:t xml:space="preserve"> </w:t>
            </w:r>
          </w:p>
          <w:p>
            <w:pPr>
              <w:pStyle w:val="TableContents"/>
              <w:bidi w:val="0"/>
              <w:spacing w:lineRule="atLeast" w:line="240" w:before="0" w:after="283"/>
              <w:ind w:left="400" w:right="0" w:hanging="0"/>
              <w:jc w:val="left"/>
              <w:rPr/>
            </w:pPr>
            <w:r>
              <w:rPr>
                <w:spacing w:val="-2"/>
              </w:rPr>
              <w:t>Presiding Director</w:t>
            </w:r>
            <w:r>
              <w:rPr/>
              <w:t xml:space="preserve"> </w:t>
            </w:r>
          </w:p>
          <w:p>
            <w:pPr>
              <w:pStyle w:val="TableContents"/>
              <w:bidi w:val="0"/>
              <w:spacing w:lineRule="atLeast" w:line="280" w:before="160" w:after="283"/>
              <w:ind w:left="120" w:right="0" w:hanging="0"/>
              <w:jc w:val="left"/>
              <w:rPr/>
            </w:pPr>
            <w:r>
              <w:rPr>
                <w:spacing w:val="-2"/>
              </w:rPr>
              <w:t>✓</w:t>
            </w:r>
            <w:r>
              <w:rPr/>
              <w:t xml:space="preserve"> </w:t>
            </w:r>
          </w:p>
          <w:p>
            <w:pPr>
              <w:pStyle w:val="TableContents"/>
              <w:bidi w:val="0"/>
              <w:spacing w:lineRule="atLeast" w:line="240" w:before="0" w:after="283"/>
              <w:ind w:left="400" w:right="0" w:hanging="0"/>
              <w:jc w:val="both"/>
              <w:rPr/>
            </w:pPr>
            <w:r>
              <w:rPr>
                <w:spacing w:val="-2"/>
              </w:rPr>
              <w:t>None of our director nominees serve on an excessive number of boards</w:t>
            </w:r>
            <w:r>
              <w:rPr/>
              <w:t xml:space="preserve"> </w:t>
            </w:r>
          </w:p>
          <w:p>
            <w:pPr>
              <w:pStyle w:val="TableContents"/>
              <w:bidi w:val="0"/>
              <w:spacing w:lineRule="atLeast" w:line="280" w:before="160" w:after="283"/>
              <w:ind w:left="120" w:right="0" w:hanging="0"/>
              <w:jc w:val="left"/>
              <w:rPr/>
            </w:pPr>
            <w:r>
              <w:rPr>
                <w:spacing w:val="-2"/>
              </w:rPr>
              <w:t>✓</w:t>
            </w:r>
            <w:r>
              <w:rPr/>
              <w:t xml:space="preserve"> </w:t>
            </w:r>
          </w:p>
          <w:p>
            <w:pPr>
              <w:pStyle w:val="TableContents"/>
              <w:bidi w:val="0"/>
              <w:spacing w:lineRule="atLeast" w:line="240" w:before="0" w:after="283"/>
              <w:ind w:left="400" w:right="0" w:hanging="0"/>
              <w:jc w:val="both"/>
              <w:rPr/>
            </w:pPr>
            <w:r>
              <w:rPr>
                <w:spacing w:val="-2"/>
              </w:rPr>
              <w:t>A majority of executive pay is tied to performance-based and long-term equity incentives</w:t>
            </w:r>
            <w:r>
              <w:rPr/>
              <w:t xml:space="preserve"> </w:t>
            </w:r>
          </w:p>
          <w:p>
            <w:pPr>
              <w:pStyle w:val="TableContents"/>
              <w:bidi w:val="0"/>
              <w:spacing w:lineRule="atLeast" w:line="280" w:before="160" w:after="283"/>
              <w:jc w:val="left"/>
              <w:rPr/>
            </w:pPr>
            <w:r>
              <w:rPr>
                <w:spacing w:val="-2"/>
              </w:rPr>
              <w:t>✓</w:t>
            </w:r>
            <w:r>
              <w:rPr/>
              <w:t xml:space="preserve"> </w:t>
            </w:r>
          </w:p>
          <w:p>
            <w:pPr>
              <w:pStyle w:val="TableContents"/>
              <w:bidi w:val="0"/>
              <w:spacing w:lineRule="atLeast" w:line="240" w:before="0" w:after="283"/>
              <w:ind w:left="400" w:right="0" w:hanging="0"/>
              <w:jc w:val="both"/>
              <w:rPr>
                <w:spacing w:val="-2"/>
              </w:rPr>
            </w:pPr>
            <w:r>
              <w:rPr>
                <w:spacing w:val="-2"/>
              </w:rPr>
              <w:t xml:space="preserve">The Board follows Corporate Governance Guidelines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5097" w:type="dxa"/>
            <w:tcBorders/>
            <w:shd w:fill="E5E5E5" w:val="clear"/>
            <w:vAlign w:val="center"/>
          </w:tcPr>
          <w:p>
            <w:pPr>
              <w:pStyle w:val="TableContents"/>
              <w:bidi w:val="0"/>
              <w:spacing w:lineRule="atLeast" w:line="320" w:before="0" w:after="0"/>
              <w:jc w:val="left"/>
              <w:rPr/>
            </w:pPr>
            <w:r>
              <w:rPr>
                <w:spacing w:val="-2"/>
              </w:rPr>
              <w:t>✓</w:t>
            </w:r>
            <w:r>
              <w:rPr/>
              <w:t xml:space="preserve"> </w:t>
            </w:r>
          </w:p>
          <w:p>
            <w:pPr>
              <w:pStyle w:val="TableContents"/>
              <w:bidi w:val="0"/>
              <w:spacing w:lineRule="atLeast" w:line="240" w:before="0" w:after="283"/>
              <w:ind w:left="400" w:right="0" w:hanging="0"/>
              <w:jc w:val="both"/>
              <w:rPr/>
            </w:pPr>
            <w:r>
              <w:rPr>
                <w:spacing w:val="-2"/>
              </w:rPr>
              <w:t>Each committee of the Board has a published charter that is reviewed annually</w:t>
            </w:r>
            <w:r>
              <w:rPr/>
              <w:t xml:space="preserve"> </w:t>
            </w:r>
          </w:p>
          <w:p>
            <w:pPr>
              <w:pStyle w:val="TableContents"/>
              <w:bidi w:val="0"/>
              <w:spacing w:lineRule="atLeast" w:line="240" w:before="160" w:after="283"/>
              <w:ind w:left="400" w:right="0" w:hanging="400"/>
              <w:jc w:val="both"/>
              <w:rPr/>
            </w:pPr>
            <w:r>
              <w:rPr>
                <w:spacing w:val="-2"/>
              </w:rPr>
              <w:t> </w:t>
            </w:r>
            <w:r>
              <w:rPr>
                <w:spacing w:val="-2"/>
              </w:rPr>
              <w:t xml:space="preserve">A formal written charter for the newly formed </w:t>
              <w:br/>
              <w:t>Insurance Committee is currently under development, and will be published and reviewed annually following its adoption.</w:t>
            </w:r>
            <w:r>
              <w:rPr/>
              <w:t xml:space="preserve"> </w:t>
            </w:r>
          </w:p>
          <w:p>
            <w:pPr>
              <w:pStyle w:val="TableContents"/>
              <w:bidi w:val="0"/>
              <w:spacing w:lineRule="atLeast" w:line="280" w:before="240" w:after="283"/>
              <w:jc w:val="left"/>
              <w:rPr/>
            </w:pPr>
            <w:r>
              <w:rPr>
                <w:spacing w:val="-2"/>
              </w:rPr>
              <w:t>✓</w:t>
            </w:r>
            <w:r>
              <w:rPr/>
              <w:t xml:space="preserve"> </w:t>
            </w:r>
          </w:p>
          <w:p>
            <w:pPr>
              <w:pStyle w:val="TableContents"/>
              <w:bidi w:val="0"/>
              <w:spacing w:lineRule="atLeast" w:line="240" w:before="0" w:after="283"/>
              <w:ind w:left="400" w:right="0" w:hanging="0"/>
              <w:jc w:val="both"/>
              <w:rPr/>
            </w:pPr>
            <w:r>
              <w:rPr>
                <w:spacing w:val="-2"/>
              </w:rPr>
              <w:t>Each of the Board’s Audit, Compensation, Nominating and Corporate Governance, and Technology Committees is 100% comprised of independent directors</w:t>
            </w:r>
            <w:r>
              <w:rPr/>
              <w:t xml:space="preserve"> </w:t>
            </w:r>
          </w:p>
          <w:p>
            <w:pPr>
              <w:pStyle w:val="TableContents"/>
              <w:bidi w:val="0"/>
              <w:spacing w:lineRule="atLeast" w:line="280" w:before="240" w:after="283"/>
              <w:jc w:val="left"/>
              <w:rPr/>
            </w:pPr>
            <w:r>
              <w:rPr>
                <w:spacing w:val="-2"/>
              </w:rPr>
              <w:t>✓</w:t>
            </w:r>
            <w:r>
              <w:rPr/>
              <w:t xml:space="preserve"> </w:t>
            </w:r>
          </w:p>
          <w:p>
            <w:pPr>
              <w:pStyle w:val="TableContents"/>
              <w:bidi w:val="0"/>
              <w:spacing w:lineRule="atLeast" w:line="240" w:before="0" w:after="283"/>
              <w:ind w:left="400" w:right="0" w:hanging="0"/>
              <w:jc w:val="both"/>
              <w:rPr/>
            </w:pPr>
            <w:r>
              <w:rPr>
                <w:spacing w:val="-2"/>
              </w:rPr>
              <w:t>The Board and each of its committees meet regularly and frequently without management present</w:t>
            </w:r>
            <w:r>
              <w:rPr/>
              <w:t xml:space="preserve"> </w:t>
            </w:r>
          </w:p>
        </w:tc>
        <w:tc>
          <w:tcPr>
            <w:tcW w:w="155" w:type="dxa"/>
            <w:tcBorders/>
            <w:shd w:fill="E5E5E5" w:val="clear"/>
            <w:vAlign w:val="center"/>
          </w:tcPr>
          <w:p>
            <w:pPr>
              <w:pStyle w:val="TableContents"/>
              <w:bidi w:val="0"/>
              <w:spacing w:before="0" w:after="283"/>
              <w:jc w:val="left"/>
              <w:rPr/>
            </w:pPr>
            <w:r>
              <w:rPr/>
              <w:t>​</w:t>
            </w:r>
          </w:p>
        </w:tc>
      </w:tr>
    </w:tbl>
    <w:tbl>
      <w:tblPr>
        <w:tblW w:w="9304" w:type="dxa"/>
        <w:jc w:val="left"/>
        <w:tblInd w:w="901" w:type="dxa"/>
        <w:tblLayout w:type="fixed"/>
        <w:tblCellMar>
          <w:top w:w="0" w:type="dxa"/>
          <w:left w:w="0" w:type="dxa"/>
          <w:bottom w:w="0" w:type="dxa"/>
          <w:right w:w="0" w:type="dxa"/>
        </w:tblCellMar>
      </w:tblPr>
      <w:tblGrid>
        <w:gridCol w:w="124"/>
        <w:gridCol w:w="422"/>
        <w:gridCol w:w="109"/>
        <w:gridCol w:w="109"/>
        <w:gridCol w:w="8385"/>
        <w:gridCol w:w="155"/>
      </w:tblGrid>
      <w:tr>
        <w:trPr/>
        <w:tc>
          <w:tcPr>
            <w:tcW w:w="124" w:type="dxa"/>
            <w:tcBorders/>
            <w:vAlign w:val="center"/>
          </w:tcPr>
          <w:p>
            <w:pPr>
              <w:pStyle w:val="TableContents"/>
              <w:bidi w:val="0"/>
              <w:spacing w:before="0" w:after="283"/>
              <w:jc w:val="left"/>
              <w:rPr/>
            </w:pPr>
            <w:r>
              <w:rPr/>
              <w:t>​</w:t>
            </w:r>
          </w:p>
        </w:tc>
        <w:tc>
          <w:tcPr>
            <w:tcW w:w="422" w:type="dxa"/>
            <w:tcBorders/>
            <w:vAlign w:val="center"/>
          </w:tcPr>
          <w:p>
            <w:pPr>
              <w:pStyle w:val="TableContents"/>
              <w:bidi w:val="0"/>
              <w:spacing w:before="0" w:after="0"/>
              <w:jc w:val="left"/>
              <w:rPr/>
            </w:pPr>
            <w:r>
              <w:rPr/>
              <w:drawing>
                <wp:inline distT="0" distB="0" distL="0" distR="0">
                  <wp:extent cx="190500" cy="190500"/>
                  <wp:effectExtent l="0" t="0" r="0" b="0"/>
                  <wp:docPr id="5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1" descr=""/>
                          <pic:cNvPicPr>
                            <a:picLocks noChangeAspect="1" noChangeArrowheads="1"/>
                          </pic:cNvPicPr>
                        </pic:nvPicPr>
                        <pic:blipFill>
                          <a:blip r:embed="rId42"/>
                          <a:stretch>
                            <a:fillRect/>
                          </a:stretch>
                        </pic:blipFill>
                        <pic:spPr bwMode="auto">
                          <a:xfrm>
                            <a:off x="0" y="0"/>
                            <a:ext cx="190500" cy="190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85" w:type="dxa"/>
            <w:tcBorders/>
            <w:vAlign w:val="center"/>
          </w:tcPr>
          <w:p>
            <w:pPr>
              <w:pStyle w:val="TableContents"/>
              <w:bidi w:val="0"/>
              <w:spacing w:lineRule="atLeast" w:line="240" w:before="0" w:after="283"/>
              <w:jc w:val="both"/>
              <w:rPr/>
            </w:pPr>
            <w:r>
              <w:rPr>
                <w:spacing w:val="-2"/>
              </w:rPr>
              <w:t>See “</w:t>
            </w:r>
            <w:r>
              <w:rPr>
                <w:i/>
              </w:rPr>
              <w:t>Matters Related to Corporate Governance, Board Structure, Director Compensation and Stock Ownership</w:t>
            </w:r>
            <w:r>
              <w:rPr>
                <w:spacing w:val="-2"/>
              </w:rPr>
              <w:t>” for more information.</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ECH"/>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Proxy Summary</w:t>
      </w:r>
      <w:r>
        <w:rPr>
          <w:rFonts w:ascii="Arial;Helvetica;sans-serif" w:hAnsi="Arial;Helvetica;sans-serif"/>
          <w:b/>
          <w:i w:val="false"/>
          <w:caps w:val="false"/>
          <w:smallCaps w:val="false"/>
          <w:color w:val="7F7F7F"/>
          <w:spacing w:val="-3"/>
          <w:sz w:val="22"/>
        </w:rPr>
        <w:t xml:space="preserve"> </w:t>
      </w:r>
    </w:p>
    <w:p>
      <w:pPr>
        <w:pStyle w:val="TextBody"/>
        <w:bidi w:val="0"/>
        <w:spacing w:lineRule="atLeast" w:line="340" w:before="120" w:after="283"/>
        <w:ind w:left="901"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EXECUTIVE COMPENSATION HIGHLIGHTS</w:t>
      </w:r>
      <w:r>
        <w:rPr>
          <w:rFonts w:ascii="Arial;Helvetica;sans-serif" w:hAnsi="Arial;Helvetica;sans-serif"/>
          <w:b/>
          <w:i w:val="false"/>
          <w:caps w:val="false"/>
          <w:smallCaps w:val="false"/>
          <w:color w:val="000000"/>
          <w:spacing w:val="6"/>
          <w:sz w:val="3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147">
                <wp:simplePos x="0" y="0"/>
                <wp:positionH relativeFrom="column">
                  <wp:align>left</wp:align>
                </wp:positionH>
                <wp:positionV relativeFrom="line">
                  <wp:posOffset>635</wp:posOffset>
                </wp:positionV>
                <wp:extent cx="3055620" cy="876300"/>
                <wp:effectExtent l="0" t="0" r="0" b="0"/>
                <wp:wrapSquare wrapText="right"/>
                <wp:docPr id="54" name="Frame13"/>
                <a:graphic xmlns:a="http://schemas.openxmlformats.org/drawingml/2006/main">
                  <a:graphicData uri="http://schemas.microsoft.com/office/word/2010/wordprocessingShape">
                    <wps:wsp>
                      <wps:cNvSpPr txBox="1"/>
                      <wps:spPr>
                        <a:xfrm>
                          <a:off x="0" y="0"/>
                          <a:ext cx="3055620" cy="876300"/>
                        </a:xfrm>
                        <a:prstGeom prst="rect"/>
                        <a:solidFill>
                          <a:srgbClr val="FFFFFF"/>
                        </a:solidFill>
                      </wps:spPr>
                      <wps:txbx>
                        <w:txbxContent>
                          <w:p>
                            <w:pPr>
                              <w:pStyle w:val="TextBody"/>
                              <w:bidi w:val="0"/>
                              <w:spacing w:lineRule="atLeast" w:line="240" w:before="0" w:after="0"/>
                              <w:jc w:val="both"/>
                              <w:rPr>
                                <w:spacing w:val="-2"/>
                              </w:rPr>
                            </w:pPr>
                            <w:r>
                              <w:rPr>
                                <w:spacing w:val="-2"/>
                              </w:rPr>
                              <w:t xml:space="preserve">The Compensation Committee of the Board seeks to align the Company’s executive compensation program with its business strategy to attract, retain and engage the talent we need to compete in our industry, and to </w:t>
                            </w:r>
                          </w:p>
                        </w:txbxContent>
                      </wps:txbx>
                      <wps:bodyPr anchor="t" lIns="0" tIns="0" rIns="0" bIns="0">
                        <a:noAutofit/>
                      </wps:bodyPr>
                    </wps:wsp>
                  </a:graphicData>
                </a:graphic>
              </wp:anchor>
            </w:drawing>
          </mc:Choice>
          <mc:Fallback>
            <w:pict>
              <v:rect style="position:absolute;rotation:-0;width:240.6pt;height:69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jc w:val="both"/>
                        <w:rPr>
                          <w:spacing w:val="-2"/>
                        </w:rPr>
                      </w:pPr>
                      <w:r>
                        <w:rPr>
                          <w:spacing w:val="-2"/>
                        </w:rPr>
                        <w:t xml:space="preserve">The Compensation Committee of the Board seeks to align the Company’s executive compensation program with its business strategy to attract, retain and engage the talent we need to compete in our industry, and to </w:t>
                      </w:r>
                    </w:p>
                  </w:txbxContent>
                </v:textbox>
                <w10:wrap type="square" side="right"/>
              </v:rect>
            </w:pict>
          </mc:Fallback>
        </mc:AlternateContent>
      </w:r>
      <w:r>
        <mc:AlternateContent>
          <mc:Choice Requires="wps">
            <w:drawing>
              <wp:anchor behindDoc="0" distT="0" distB="0" distL="304800" distR="0" simplePos="0" locked="0" layoutInCell="1" allowOverlap="1" relativeHeight="148">
                <wp:simplePos x="0" y="0"/>
                <wp:positionH relativeFrom="column">
                  <wp:align>left</wp:align>
                </wp:positionH>
                <wp:positionV relativeFrom="line">
                  <wp:posOffset>635</wp:posOffset>
                </wp:positionV>
                <wp:extent cx="3055620" cy="525780"/>
                <wp:effectExtent l="0" t="0" r="0" b="0"/>
                <wp:wrapSquare wrapText="right"/>
                <wp:docPr id="55" name="Frame14"/>
                <a:graphic xmlns:a="http://schemas.openxmlformats.org/drawingml/2006/main">
                  <a:graphicData uri="http://schemas.microsoft.com/office/word/2010/wordprocessingShape">
                    <wps:wsp>
                      <wps:cNvSpPr txBox="1"/>
                      <wps:spPr>
                        <a:xfrm>
                          <a:off x="0" y="0"/>
                          <a:ext cx="3055620" cy="525780"/>
                        </a:xfrm>
                        <a:prstGeom prst="rect"/>
                        <a:solidFill>
                          <a:srgbClr val="FFFFFF"/>
                        </a:solidFill>
                      </wps:spPr>
                      <wps:txbx>
                        <w:txbxContent>
                          <w:p>
                            <w:pPr>
                              <w:pStyle w:val="TextBody"/>
                              <w:bidi w:val="0"/>
                              <w:spacing w:lineRule="atLeast" w:line="240" w:before="0" w:after="0"/>
                              <w:jc w:val="both"/>
                              <w:rPr/>
                            </w:pPr>
                            <w:r>
                              <w:rPr>
                                <w:spacing w:val="-2"/>
                              </w:rPr>
                              <w:t>align management with stockholders’ interests. The table below highlights key aspects of our executive compensation program and practices.</w:t>
                            </w:r>
                            <w:r>
                              <w:rPr/>
                              <w:t xml:space="preserve"> </w:t>
                            </w:r>
                          </w:p>
                        </w:txbxContent>
                      </wps:txbx>
                      <wps:bodyPr anchor="t" lIns="0" tIns="0" rIns="0" bIns="0">
                        <a:noAutofit/>
                      </wps:bodyPr>
                    </wps:wsp>
                  </a:graphicData>
                </a:graphic>
              </wp:anchor>
            </w:drawing>
          </mc:Choice>
          <mc:Fallback>
            <w:pict>
              <v:rect style="position:absolute;rotation:-0;width:240.6pt;height:41.4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jc w:val="both"/>
                        <w:rPr/>
                      </w:pPr>
                      <w:r>
                        <w:rPr>
                          <w:spacing w:val="-2"/>
                        </w:rPr>
                        <w:t>align management with stockholders’ interests. The table below highlights key aspects of our executive compensation program and practices.</w:t>
                      </w:r>
                      <w:r>
                        <w:rPr/>
                        <w:t xml:space="preserve"> </w:t>
                      </w:r>
                    </w:p>
                  </w:txbxContent>
                </v:textbox>
                <w10:wrap type="square" side="right"/>
              </v:rect>
            </w:pict>
          </mc:Fallback>
        </mc:AlternateContent>
      </w:r>
    </w:p>
    <w:tbl>
      <w:tblPr>
        <w:tblW w:w="9304" w:type="dxa"/>
        <w:jc w:val="left"/>
        <w:tblInd w:w="901" w:type="dxa"/>
        <w:tblLayout w:type="fixed"/>
        <w:tblCellMar>
          <w:top w:w="0" w:type="dxa"/>
          <w:left w:w="0" w:type="dxa"/>
          <w:bottom w:w="0" w:type="dxa"/>
          <w:right w:w="0" w:type="dxa"/>
        </w:tblCellMar>
      </w:tblPr>
      <w:tblGrid>
        <w:gridCol w:w="124"/>
        <w:gridCol w:w="4400"/>
        <w:gridCol w:w="109"/>
        <w:gridCol w:w="109"/>
        <w:gridCol w:w="4407"/>
        <w:gridCol w:w="155"/>
      </w:tblGrid>
      <w:tr>
        <w:trPr/>
        <w:tc>
          <w:tcPr>
            <w:tcW w:w="124" w:type="dxa"/>
            <w:tcBorders/>
            <w:shd w:fill="E5E5E5" w:val="clear"/>
            <w:vAlign w:val="center"/>
          </w:tcPr>
          <w:p>
            <w:pPr>
              <w:pStyle w:val="TableContents"/>
              <w:bidi w:val="0"/>
              <w:spacing w:before="0" w:after="283"/>
              <w:jc w:val="left"/>
              <w:rPr/>
            </w:pPr>
            <w:r>
              <w:rPr/>
              <w:t>​</w:t>
            </w:r>
          </w:p>
        </w:tc>
        <w:tc>
          <w:tcPr>
            <w:tcW w:w="4400" w:type="dxa"/>
            <w:tcBorders/>
            <w:shd w:fill="E5E5E5" w:val="clear"/>
            <w:vAlign w:val="center"/>
          </w:tcPr>
          <w:p>
            <w:pPr>
              <w:pStyle w:val="TableContents"/>
              <w:bidi w:val="0"/>
              <w:spacing w:lineRule="atLeast" w:line="320" w:before="0" w:after="0"/>
              <w:ind w:left="120" w:right="0" w:hanging="0"/>
              <w:jc w:val="left"/>
              <w:rPr/>
            </w:pPr>
            <w:r>
              <w:rPr>
                <w:spacing w:val="-2"/>
              </w:rPr>
              <w:t>✓</w:t>
            </w:r>
            <w:r>
              <w:rPr/>
              <w:t xml:space="preserve"> </w:t>
            </w:r>
          </w:p>
          <w:p>
            <w:pPr>
              <w:pStyle w:val="TableContents"/>
              <w:bidi w:val="0"/>
              <w:spacing w:lineRule="atLeast" w:line="240" w:before="0" w:after="283"/>
              <w:ind w:left="400" w:right="0" w:hanging="0"/>
              <w:jc w:val="both"/>
              <w:rPr/>
            </w:pPr>
            <w:r>
              <w:rPr>
                <w:spacing w:val="-2"/>
              </w:rPr>
              <w:t>A compensation recovery policy designed to prevent misconduct by executive officers and requiring recoupment in the event of accounting restatements</w:t>
            </w:r>
            <w:r>
              <w:rPr/>
              <w:t xml:space="preserve"> </w:t>
            </w:r>
          </w:p>
          <w:p>
            <w:pPr>
              <w:pStyle w:val="TableContents"/>
              <w:bidi w:val="0"/>
              <w:spacing w:lineRule="atLeast" w:line="280" w:before="160" w:after="283"/>
              <w:ind w:left="120" w:right="0" w:hanging="0"/>
              <w:jc w:val="left"/>
              <w:rPr/>
            </w:pPr>
            <w:r>
              <w:rPr>
                <w:spacing w:val="-2"/>
              </w:rPr>
              <w:t>✓</w:t>
            </w:r>
            <w:r>
              <w:rPr/>
              <w:t xml:space="preserve"> </w:t>
            </w:r>
          </w:p>
          <w:p>
            <w:pPr>
              <w:pStyle w:val="TableContents"/>
              <w:bidi w:val="0"/>
              <w:spacing w:lineRule="atLeast" w:line="240" w:before="0" w:after="283"/>
              <w:ind w:left="400" w:right="0" w:hanging="0"/>
              <w:jc w:val="both"/>
              <w:rPr/>
            </w:pPr>
            <w:r>
              <w:rPr>
                <w:spacing w:val="-2"/>
              </w:rPr>
              <w:t>No single-trigger change-in-control for severance pay and benefits</w:t>
            </w:r>
            <w:r>
              <w:rPr/>
              <w:t xml:space="preserve"> </w:t>
            </w:r>
          </w:p>
          <w:p>
            <w:pPr>
              <w:pStyle w:val="TableContents"/>
              <w:bidi w:val="0"/>
              <w:spacing w:lineRule="atLeast" w:line="280" w:before="160" w:after="283"/>
              <w:ind w:left="120" w:right="0" w:hanging="0"/>
              <w:jc w:val="left"/>
              <w:rPr/>
            </w:pPr>
            <w:r>
              <w:rPr>
                <w:spacing w:val="-2"/>
              </w:rPr>
              <w:t>✓</w:t>
            </w:r>
            <w:r>
              <w:rPr/>
              <w:t xml:space="preserve"> </w:t>
            </w:r>
          </w:p>
          <w:p>
            <w:pPr>
              <w:pStyle w:val="TableContents"/>
              <w:bidi w:val="0"/>
              <w:spacing w:lineRule="atLeast" w:line="240" w:before="0" w:after="283"/>
              <w:ind w:left="400" w:right="0" w:hanging="0"/>
              <w:jc w:val="both"/>
              <w:rPr/>
            </w:pPr>
            <w:r>
              <w:rPr>
                <w:spacing w:val="-2"/>
              </w:rPr>
              <w:t>Minimum three-year vesting period for the performance-based component of long-term equity awards</w:t>
            </w:r>
            <w:r>
              <w:rPr/>
              <w:t xml:space="preserve"> </w:t>
            </w:r>
          </w:p>
          <w:p>
            <w:pPr>
              <w:pStyle w:val="TableContents"/>
              <w:bidi w:val="0"/>
              <w:spacing w:lineRule="atLeast" w:line="280" w:before="160" w:after="283"/>
              <w:jc w:val="left"/>
              <w:rPr/>
            </w:pPr>
            <w:r>
              <w:rPr>
                <w:spacing w:val="-2"/>
              </w:rPr>
              <w:t>✓</w:t>
            </w:r>
            <w:r>
              <w:rPr/>
              <w:t xml:space="preserve"> </w:t>
            </w:r>
          </w:p>
          <w:p>
            <w:pPr>
              <w:pStyle w:val="TableContents"/>
              <w:bidi w:val="0"/>
              <w:spacing w:lineRule="atLeast" w:line="240" w:before="0" w:after="283"/>
              <w:ind w:left="400" w:right="0" w:hanging="0"/>
              <w:jc w:val="both"/>
              <w:rPr>
                <w:spacing w:val="-2"/>
              </w:rPr>
            </w:pPr>
            <w:r>
              <w:rPr>
                <w:spacing w:val="-2"/>
              </w:rPr>
              <w:t xml:space="preserve">A substantial portion of our long-term equity awards includes meaningful performance hurdles to achieve full vesting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4407" w:type="dxa"/>
            <w:tcBorders/>
            <w:shd w:fill="E5E5E5" w:val="clear"/>
            <w:vAlign w:val="center"/>
          </w:tcPr>
          <w:p>
            <w:pPr>
              <w:pStyle w:val="TableContents"/>
              <w:bidi w:val="0"/>
              <w:spacing w:lineRule="atLeast" w:line="320" w:before="0" w:after="0"/>
              <w:jc w:val="left"/>
              <w:rPr/>
            </w:pPr>
            <w:r>
              <w:rPr>
                <w:spacing w:val="-2"/>
              </w:rPr>
              <w:t>✓</w:t>
            </w:r>
            <w:r>
              <w:rPr/>
              <w:t xml:space="preserve"> </w:t>
            </w:r>
          </w:p>
          <w:p>
            <w:pPr>
              <w:pStyle w:val="TableContents"/>
              <w:bidi w:val="0"/>
              <w:spacing w:lineRule="atLeast" w:line="240" w:before="0" w:after="283"/>
              <w:ind w:left="400" w:right="0" w:hanging="0"/>
              <w:jc w:val="both"/>
              <w:rPr/>
            </w:pPr>
            <w:r>
              <w:rPr>
                <w:spacing w:val="-2"/>
              </w:rPr>
              <w:t>Directors and executive officers are subject to stock ownership guidelines</w:t>
            </w:r>
            <w:r>
              <w:rPr/>
              <w:t xml:space="preserve"> </w:t>
            </w:r>
          </w:p>
          <w:p>
            <w:pPr>
              <w:pStyle w:val="TableContents"/>
              <w:bidi w:val="0"/>
              <w:spacing w:lineRule="atLeast" w:line="280" w:before="230" w:after="283"/>
              <w:jc w:val="left"/>
              <w:rPr/>
            </w:pPr>
            <w:r>
              <w:rPr>
                <w:spacing w:val="-2"/>
              </w:rPr>
              <w:t>✓</w:t>
            </w:r>
            <w:r>
              <w:rPr/>
              <w:t xml:space="preserve"> </w:t>
            </w:r>
          </w:p>
          <w:p>
            <w:pPr>
              <w:pStyle w:val="TableContents"/>
              <w:bidi w:val="0"/>
              <w:spacing w:lineRule="atLeast" w:line="240" w:before="0" w:after="283"/>
              <w:ind w:left="400" w:right="0" w:hanging="0"/>
              <w:jc w:val="both"/>
              <w:rPr/>
            </w:pPr>
            <w:r>
              <w:rPr>
                <w:spacing w:val="-2"/>
              </w:rPr>
              <w:t>No excise tax gross-ups in executive employment agreements or incentive plans</w:t>
            </w:r>
            <w:r>
              <w:rPr/>
              <w:t xml:space="preserve"> </w:t>
            </w:r>
          </w:p>
          <w:p>
            <w:pPr>
              <w:pStyle w:val="TableContents"/>
              <w:bidi w:val="0"/>
              <w:spacing w:lineRule="atLeast" w:line="280" w:before="230" w:after="283"/>
              <w:jc w:val="left"/>
              <w:rPr/>
            </w:pPr>
            <w:r>
              <w:rPr>
                <w:spacing w:val="-2"/>
              </w:rPr>
              <w:t>✓</w:t>
            </w:r>
            <w:r>
              <w:rPr/>
              <w:t xml:space="preserve"> </w:t>
            </w:r>
          </w:p>
          <w:p>
            <w:pPr>
              <w:pStyle w:val="TableContents"/>
              <w:bidi w:val="0"/>
              <w:spacing w:lineRule="atLeast" w:line="240" w:before="0" w:after="283"/>
              <w:ind w:left="400" w:right="0" w:hanging="0"/>
              <w:jc w:val="both"/>
              <w:rPr/>
            </w:pPr>
            <w:r>
              <w:rPr>
                <w:spacing w:val="-2"/>
              </w:rPr>
              <w:t>A general prohibition against short sales, investing in publicly traded options, hedging, pledging and margin accounts, and limit orders, in each case, involving Company securities</w:t>
            </w:r>
            <w:r>
              <w:rPr/>
              <w:t xml:space="preserve"> </w:t>
            </w:r>
          </w:p>
        </w:tc>
        <w:tc>
          <w:tcPr>
            <w:tcW w:w="155" w:type="dxa"/>
            <w:tcBorders/>
            <w:shd w:fill="E5E5E5" w:val="clear"/>
            <w:vAlign w:val="center"/>
          </w:tcPr>
          <w:p>
            <w:pPr>
              <w:pStyle w:val="TableContents"/>
              <w:bidi w:val="0"/>
              <w:spacing w:before="0" w:after="283"/>
              <w:jc w:val="left"/>
              <w:rPr/>
            </w:pPr>
            <w:r>
              <w:rPr/>
              <w:t>​</w:t>
            </w:r>
          </w:p>
        </w:tc>
      </w:tr>
    </w:tbl>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4 \ 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PSFA"/>
      <w:bookmarkEnd w:id="10"/>
      <w:r>
        <w:rPr>
          <w:rFonts w:ascii="calibri;arial;sans-serif" w:hAnsi="calibri;arial;sans-serif"/>
          <w:b w:val="false"/>
          <w:i w:val="false"/>
          <w:caps w:val="false"/>
          <w:smallCaps w:val="false"/>
          <w:color w:val="000000"/>
          <w:sz w:val="16"/>
        </w:rPr>
        <w:t>​</w:t>
      </w:r>
      <w:bookmarkStart w:id="11" w:name="tQAAR"/>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480" w:before="200" w:after="560"/>
        <w:ind w:left="800" w:right="0" w:hanging="0"/>
        <w:jc w:val="left"/>
        <w:rPr>
          <w:caps w:val="false"/>
          <w:smallCaps w:val="false"/>
          <w:color w:val="000000"/>
        </w:rPr>
      </w:pPr>
      <w:r>
        <w:rPr>
          <w:caps w:val="false"/>
          <w:smallCaps w:val="false"/>
          <w:color w:val="000000"/>
          <w:spacing w:val="-6"/>
        </w:rPr>
        <w:t> </w:t>
      </w:r>
      <w:r>
        <w:rPr>
          <w:caps w:val="false"/>
          <w:smallCaps w:val="false"/>
          <w:color w:val="000000"/>
        </w:rPr>
        <w:t xml:space="preserve"> </w:t>
      </w:r>
    </w:p>
    <w:p>
      <w:pPr>
        <w:pStyle w:val="TextBody"/>
        <w:bidi w:val="0"/>
        <w:spacing w:lineRule="atLeast" w:line="480" w:before="300" w:after="283"/>
        <w:ind w:left="800" w:right="0" w:hanging="0"/>
        <w:jc w:val="left"/>
        <w:rPr>
          <w:rFonts w:ascii="Arial;Helvetica;sans-serif" w:hAnsi="Arial;Helvetica;sans-serif"/>
          <w:b/>
          <w:i w:val="false"/>
          <w:caps w:val="false"/>
          <w:smallCaps w:val="false"/>
          <w:color w:val="000000"/>
          <w:sz w:val="44"/>
        </w:rPr>
      </w:pPr>
      <w:r>
        <w:rPr>
          <w:rFonts w:ascii="Arial;Helvetica;sans-serif" w:hAnsi="Arial;Helvetica;sans-serif"/>
          <w:b/>
          <w:i w:val="false"/>
          <w:caps w:val="false"/>
          <w:smallCaps w:val="false"/>
          <w:color w:val="000000"/>
          <w:spacing w:val="-1"/>
          <w:sz w:val="44"/>
        </w:rPr>
        <w:t xml:space="preserve">Proxy Statement for Annual Meeting of </w:t>
        <w:br/>
        <w:t>Stockholders to Be Held on September 30, </w:t>
      </w:r>
      <w:r>
        <w:rPr>
          <w:rFonts w:ascii="Arial;Helvetica;sans-serif" w:hAnsi="Arial;Helvetica;sans-serif"/>
          <w:b/>
          <w:i w:val="false"/>
          <w:caps w:val="false"/>
          <w:smallCaps w:val="false"/>
          <w:color w:val="000000"/>
          <w:spacing w:val="-6"/>
          <w:sz w:val="44"/>
        </w:rPr>
        <w:t>2026</w:t>
      </w:r>
      <w:r>
        <w:rPr>
          <w:rFonts w:ascii="Arial;Helvetica;sans-serif" w:hAnsi="Arial;Helvetica;sans-serif"/>
          <w:b/>
          <w:i w:val="false"/>
          <w:caps w:val="false"/>
          <w:smallCaps w:val="false"/>
          <w:color w:val="000000"/>
          <w:spacing w:val="9"/>
          <w:sz w:val="44"/>
        </w:rPr>
        <w:t xml:space="preserve"> </w:t>
      </w:r>
    </w:p>
    <w:p>
      <w:pPr>
        <w:pStyle w:val="TextBody"/>
        <w:bidi w:val="0"/>
        <w:spacing w:lineRule="atLeast" w:line="340" w:before="160" w:after="96"/>
        <w:ind w:left="900"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QUESTIONS AND ANSWERS REGARDING THIS PROXY STATEMENT AND THE ANNUAL MEETING</w:t>
      </w:r>
      <w:r>
        <w:rPr>
          <w:rFonts w:ascii="Arial;Helvetica;sans-serif" w:hAnsi="Arial;Helvetica;sans-serif"/>
          <w:b/>
          <w:i w:val="false"/>
          <w:caps w:val="false"/>
          <w:smallCaps w:val="false"/>
          <w:color w:val="000000"/>
          <w:spacing w:val="6"/>
          <w:sz w:val="30"/>
        </w:rPr>
        <w:t xml:space="preserve"> </w:t>
      </w:r>
    </w:p>
    <w:tbl>
      <w:tblPr>
        <w:tblW w:w="9305" w:type="dxa"/>
        <w:jc w:val="left"/>
        <w:tblInd w:w="900" w:type="dxa"/>
        <w:tblLayout w:type="fixed"/>
        <w:tblCellMar>
          <w:top w:w="0" w:type="dxa"/>
          <w:left w:w="0" w:type="dxa"/>
          <w:bottom w:w="0" w:type="dxa"/>
          <w:right w:w="0" w:type="dxa"/>
        </w:tblCellMar>
      </w:tblPr>
      <w:tblGrid>
        <w:gridCol w:w="124"/>
        <w:gridCol w:w="618"/>
        <w:gridCol w:w="109"/>
        <w:gridCol w:w="109"/>
        <w:gridCol w:w="8190"/>
        <w:gridCol w:w="155"/>
      </w:tblGrid>
      <w:tr>
        <w:trPr/>
        <w:tc>
          <w:tcPr>
            <w:tcW w:w="124" w:type="dxa"/>
            <w:tcBorders/>
            <w:vAlign w:val="center"/>
          </w:tcPr>
          <w:p>
            <w:pPr>
              <w:pStyle w:val="TableContents"/>
              <w:bidi w:val="0"/>
              <w:spacing w:before="0" w:after="283"/>
              <w:jc w:val="left"/>
              <w:rPr/>
            </w:pPr>
            <w:r>
              <w:rPr/>
              <w:t>​</w:t>
            </w:r>
          </w:p>
        </w:tc>
        <w:tc>
          <w:tcPr>
            <w:tcW w:w="618" w:type="dxa"/>
            <w:tcBorders/>
            <w:vAlign w:val="center"/>
          </w:tcPr>
          <w:p>
            <w:pPr>
              <w:pStyle w:val="TableContents"/>
              <w:bidi w:val="0"/>
              <w:spacing w:before="0" w:after="0"/>
              <w:jc w:val="left"/>
              <w:rPr/>
            </w:pPr>
            <w:r>
              <w:rPr/>
              <w:drawing>
                <wp:inline distT="0" distB="0" distL="0" distR="0">
                  <wp:extent cx="333375" cy="371475"/>
                  <wp:effectExtent l="0" t="0" r="0" b="0"/>
                  <wp:docPr id="5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2" descr=""/>
                          <pic:cNvPicPr>
                            <a:picLocks noChangeAspect="1" noChangeArrowheads="1"/>
                          </pic:cNvPicPr>
                        </pic:nvPicPr>
                        <pic:blipFill>
                          <a:blip r:embed="rId43"/>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90" w:type="dxa"/>
            <w:tcBorders/>
            <w:vAlign w:val="center"/>
          </w:tcPr>
          <w:p>
            <w:pPr>
              <w:pStyle w:val="TableContents"/>
              <w:bidi w:val="0"/>
              <w:spacing w:lineRule="atLeast" w:line="228" w:before="0" w:after="0"/>
              <w:jc w:val="left"/>
              <w:rPr>
                <w:b/>
              </w:rPr>
            </w:pPr>
            <w:r>
              <w:rPr>
                <w:b/>
                <w:spacing w:val="0"/>
              </w:rPr>
              <w:t>To what do these proxy materials relate?</w:t>
            </w:r>
            <w:r>
              <w:rPr>
                <w:b/>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8" w:type="dxa"/>
            <w:tcBorders/>
            <w:vAlign w:val="center"/>
          </w:tcPr>
          <w:p>
            <w:pPr>
              <w:pStyle w:val="TableContents"/>
              <w:bidi w:val="0"/>
              <w:spacing w:before="0" w:after="0"/>
              <w:jc w:val="left"/>
              <w:rPr/>
            </w:pPr>
            <w:r>
              <w:rPr/>
              <w:drawing>
                <wp:inline distT="0" distB="0" distL="0" distR="0">
                  <wp:extent cx="333375" cy="371475"/>
                  <wp:effectExtent l="0" t="0" r="0" b="0"/>
                  <wp:docPr id="5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3" descr=""/>
                          <pic:cNvPicPr>
                            <a:picLocks noChangeAspect="1" noChangeArrowheads="1"/>
                          </pic:cNvPicPr>
                        </pic:nvPicPr>
                        <pic:blipFill>
                          <a:blip r:embed="rId44"/>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90" w:type="dxa"/>
            <w:tcBorders/>
            <w:vAlign w:val="center"/>
          </w:tcPr>
          <w:p>
            <w:pPr>
              <w:pStyle w:val="TableContents"/>
              <w:bidi w:val="0"/>
              <w:spacing w:lineRule="atLeast" w:line="228" w:before="0" w:after="283"/>
              <w:jc w:val="both"/>
              <w:rPr/>
            </w:pPr>
            <w:r>
              <w:rPr>
                <w:spacing w:val="-1"/>
              </w:rPr>
              <w:t>These materials are being provided in connection with the solicitation of proxies by the Board for use at the Company’s 2026 annual meeting of stockholders or any postponement or adjournment thereof (the “Annual Meeting”). Accordingly, the Company sent these proxy materials on or about August 19, 2026 to stockholders entitled to notice of, and to vote at, the meeting.</w:t>
            </w:r>
            <w:r>
              <w:rPr/>
              <w:t xml:space="preserve"> </w:t>
            </w:r>
          </w:p>
          <w:p>
            <w:pPr>
              <w:pStyle w:val="TableContents"/>
              <w:bidi w:val="0"/>
              <w:spacing w:lineRule="atLeast" w:line="228" w:before="120" w:after="283"/>
              <w:jc w:val="both"/>
              <w:rPr/>
            </w:pPr>
            <w:r>
              <w:rPr>
                <w:spacing w:val="-1"/>
              </w:rPr>
              <w:t>Stockholders will receive the proxy materials via email or have the ability to request to receive a printed set of the proxy materials. Instructions on how to access the proxy materials over the Internet or to request a printed copy may be found below in this Q&amp;A. In addition, stockholders may request to receive proxy materials in printed form by mail or electronically by email on an ongoing basis.</w:t>
            </w:r>
            <w:r>
              <w:rPr/>
              <w:t xml:space="preserve"> </w:t>
            </w:r>
          </w:p>
          <w:p>
            <w:pPr>
              <w:pStyle w:val="TableContents"/>
              <w:bidi w:val="0"/>
              <w:spacing w:lineRule="atLeast" w:line="228" w:before="120" w:after="283"/>
              <w:jc w:val="both"/>
              <w:rPr/>
            </w:pPr>
            <w:r>
              <w:rPr>
                <w:spacing w:val="-1"/>
              </w:rPr>
              <w:t>You are invited to attend the Annual Meeting and are requested to vote on the proposals described in this Proxy Statement. The Annual Meeting will be held at 9:00 a.m., Eastern Time, on Wednesday, September 30, 2026, at 787 7</w:t>
            </w:r>
            <w:r>
              <w:rPr>
                <w:spacing w:val="-1"/>
                <w:sz w:val="14"/>
              </w:rPr>
              <w:t>th</w:t>
            </w:r>
            <w:r>
              <w:rPr>
                <w:spacing w:val="-1"/>
              </w:rPr>
              <w:t xml:space="preserve"> Avenue, Auditorium, New York, NY 10019.</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8" w:type="dxa"/>
            <w:tcBorders/>
            <w:vAlign w:val="center"/>
          </w:tcPr>
          <w:p>
            <w:pPr>
              <w:pStyle w:val="TableContents"/>
              <w:bidi w:val="0"/>
              <w:spacing w:before="0" w:after="0"/>
              <w:jc w:val="left"/>
              <w:rPr/>
            </w:pPr>
            <w:r>
              <w:rPr/>
              <w:drawing>
                <wp:inline distT="0" distB="0" distL="0" distR="0">
                  <wp:extent cx="333375" cy="371475"/>
                  <wp:effectExtent l="0" t="0" r="0" b="0"/>
                  <wp:docPr id="5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4" descr=""/>
                          <pic:cNvPicPr>
                            <a:picLocks noChangeAspect="1" noChangeArrowheads="1"/>
                          </pic:cNvPicPr>
                        </pic:nvPicPr>
                        <pic:blipFill>
                          <a:blip r:embed="rId45"/>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90" w:type="dxa"/>
            <w:tcBorders/>
            <w:vAlign w:val="center"/>
          </w:tcPr>
          <w:p>
            <w:pPr>
              <w:pStyle w:val="TableContents"/>
              <w:bidi w:val="0"/>
              <w:spacing w:lineRule="atLeast" w:line="228" w:before="0" w:after="0"/>
              <w:jc w:val="left"/>
              <w:rPr/>
            </w:pPr>
            <w:r>
              <w:rPr>
                <w:spacing w:val="0"/>
              </w:rPr>
              <w:t>How can I get electronic access to the proxy materials?</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8" w:type="dxa"/>
            <w:tcBorders/>
            <w:vAlign w:val="center"/>
          </w:tcPr>
          <w:p>
            <w:pPr>
              <w:pStyle w:val="TableContents"/>
              <w:bidi w:val="0"/>
              <w:spacing w:before="0" w:after="0"/>
              <w:jc w:val="left"/>
              <w:rPr/>
            </w:pPr>
            <w:r>
              <w:rPr/>
              <w:drawing>
                <wp:inline distT="0" distB="0" distL="0" distR="0">
                  <wp:extent cx="333375" cy="371475"/>
                  <wp:effectExtent l="0" t="0" r="0" b="0"/>
                  <wp:docPr id="5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5" descr=""/>
                          <pic:cNvPicPr>
                            <a:picLocks noChangeAspect="1" noChangeArrowheads="1"/>
                          </pic:cNvPicPr>
                        </pic:nvPicPr>
                        <pic:blipFill>
                          <a:blip r:embed="rId46"/>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90" w:type="dxa"/>
            <w:tcBorders/>
            <w:vAlign w:val="center"/>
          </w:tcPr>
          <w:p>
            <w:pPr>
              <w:pStyle w:val="TableContents"/>
              <w:bidi w:val="0"/>
              <w:spacing w:lineRule="atLeast" w:line="228" w:before="0" w:after="283"/>
              <w:jc w:val="both"/>
              <w:rPr/>
            </w:pPr>
            <w:r>
              <w:rPr>
                <w:spacing w:val="-1"/>
              </w:rPr>
              <w:t xml:space="preserve">The Company’s proxy materials are available on the Company’s website at </w:t>
            </w:r>
            <w:r>
              <w:rPr>
                <w:spacing w:val="-1"/>
                <w:u w:val="single"/>
              </w:rPr>
              <w:t>www.howardhughes.com</w:t>
            </w:r>
            <w:r>
              <w:rPr>
                <w:spacing w:val="-1"/>
              </w:rPr>
              <w:t xml:space="preserve"> under the “Investors” tab. The Company encourages stockholders to take advantage of the availability of the proxy materials on the Internet.</w:t>
            </w:r>
            <w:r>
              <w:rPr/>
              <w:t xml:space="preserve"> </w:t>
            </w:r>
          </w:p>
          <w:p>
            <w:pPr>
              <w:pStyle w:val="TableContents"/>
              <w:bidi w:val="0"/>
              <w:spacing w:lineRule="atLeast" w:line="228" w:before="120" w:after="283"/>
              <w:jc w:val="both"/>
              <w:rPr/>
            </w:pPr>
            <w:r>
              <w:rPr>
                <w:spacing w:val="-1"/>
              </w:rPr>
              <w:t>If you previously elected to access your proxy materials electronically, you will not receive printed proxy materials in the mail. Instead, you have received an email with a link to the proxy materials and voting instructions.</w:t>
            </w:r>
            <w:r>
              <w:rPr/>
              <w:t xml:space="preserve"> </w:t>
            </w:r>
          </w:p>
          <w:p>
            <w:pPr>
              <w:pStyle w:val="TableContents"/>
              <w:bidi w:val="0"/>
              <w:spacing w:lineRule="atLeast" w:line="228" w:before="120" w:after="283"/>
              <w:jc w:val="both"/>
              <w:rPr/>
            </w:pPr>
            <w:r>
              <w:rPr>
                <w:spacing w:val="-1"/>
              </w:rPr>
              <w:t>Choosing to receive future proxy materials by email will save the Company the cost of printing and mailing documents to you, which should result in lower costs associated with the Annual Meeting. If you choose to receive future proxy materials by email, you will receive an email message next year with instructions containing a link to those materials and a link to the proxy voting website. Your election to receive proxy materials by email will remain in effect until you terminate it.</w:t>
            </w:r>
            <w:r>
              <w:rPr/>
              <w:t xml:space="preserve"> </w:t>
            </w:r>
          </w:p>
        </w:tc>
        <w:tc>
          <w:tcPr>
            <w:tcW w:w="155"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632"/>
        <w:gridCol w:w="109"/>
        <w:gridCol w:w="109"/>
        <w:gridCol w:w="8176"/>
        <w:gridCol w:w="155"/>
      </w:tblGrid>
      <w:tr>
        <w:trPr/>
        <w:tc>
          <w:tcPr>
            <w:tcW w:w="124" w:type="dxa"/>
            <w:tcBorders/>
            <w:vAlign w:val="center"/>
          </w:tcPr>
          <w:p>
            <w:pPr>
              <w:pStyle w:val="TableContents"/>
              <w:bidi w:val="0"/>
              <w:spacing w:before="0" w:after="283"/>
              <w:jc w:val="left"/>
              <w:rPr/>
            </w:pPr>
            <w:r>
              <w:rPr/>
              <w:t>​</w:t>
            </w:r>
          </w:p>
        </w:tc>
        <w:tc>
          <w:tcPr>
            <w:tcW w:w="632" w:type="dxa"/>
            <w:tcBorders/>
            <w:vAlign w:val="center"/>
          </w:tcPr>
          <w:p>
            <w:pPr>
              <w:pStyle w:val="TableContents"/>
              <w:bidi w:val="0"/>
              <w:spacing w:before="0" w:after="0"/>
              <w:jc w:val="left"/>
              <w:rPr/>
            </w:pPr>
            <w:r>
              <w:rPr/>
              <w:drawing>
                <wp:inline distT="0" distB="0" distL="0" distR="0">
                  <wp:extent cx="333375" cy="371475"/>
                  <wp:effectExtent l="0" t="0" r="0" b="0"/>
                  <wp:docPr id="6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6" descr=""/>
                          <pic:cNvPicPr>
                            <a:picLocks noChangeAspect="1" noChangeArrowheads="1"/>
                          </pic:cNvPicPr>
                        </pic:nvPicPr>
                        <pic:blipFill>
                          <a:blip r:embed="rId47"/>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76" w:type="dxa"/>
            <w:tcBorders/>
            <w:vAlign w:val="center"/>
          </w:tcPr>
          <w:p>
            <w:pPr>
              <w:pStyle w:val="TableContents"/>
              <w:bidi w:val="0"/>
              <w:spacing w:lineRule="atLeast" w:line="228" w:before="0" w:after="0"/>
              <w:jc w:val="left"/>
              <w:rPr/>
            </w:pPr>
            <w:r>
              <w:rPr>
                <w:spacing w:val="0"/>
              </w:rPr>
              <w:t>What is included in the proxy materials?</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2" w:type="dxa"/>
            <w:tcBorders/>
            <w:vAlign w:val="center"/>
          </w:tcPr>
          <w:p>
            <w:pPr>
              <w:pStyle w:val="TableContents"/>
              <w:bidi w:val="0"/>
              <w:spacing w:before="0" w:after="0"/>
              <w:jc w:val="left"/>
              <w:rPr/>
            </w:pPr>
            <w:r>
              <w:rPr/>
              <w:drawing>
                <wp:inline distT="0" distB="0" distL="0" distR="0">
                  <wp:extent cx="333375" cy="371475"/>
                  <wp:effectExtent l="0" t="0" r="0" b="0"/>
                  <wp:docPr id="6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7" descr=""/>
                          <pic:cNvPicPr>
                            <a:picLocks noChangeAspect="1" noChangeArrowheads="1"/>
                          </pic:cNvPicPr>
                        </pic:nvPicPr>
                        <pic:blipFill>
                          <a:blip r:embed="rId48"/>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76" w:type="dxa"/>
            <w:tcBorders/>
            <w:vAlign w:val="center"/>
          </w:tcPr>
          <w:p>
            <w:pPr>
              <w:pStyle w:val="TableContents"/>
              <w:bidi w:val="0"/>
              <w:spacing w:lineRule="atLeast" w:line="228" w:before="0" w:after="283"/>
              <w:jc w:val="left"/>
              <w:rPr/>
            </w:pPr>
            <w:r>
              <w:rPr>
                <w:spacing w:val="-1"/>
              </w:rPr>
              <w:t>The proxy materials include:</w:t>
            </w:r>
            <w:r>
              <w:rPr/>
              <w:t xml:space="preserve"> </w:t>
            </w:r>
          </w:p>
          <w:p>
            <w:pPr>
              <w:pStyle w:val="TableContents"/>
              <w:bidi w:val="0"/>
              <w:spacing w:lineRule="atLeast" w:line="190" w:before="158" w:after="0"/>
              <w:ind w:left="360" w:right="0" w:hanging="0"/>
              <w:jc w:val="left"/>
              <w:rPr/>
            </w:pPr>
            <w:r>
              <w:rPr>
                <w:spacing w:val="-1"/>
              </w:rPr>
              <w:t>the Company’s Notice of the Annual Meeting;</w:t>
            </w:r>
            <w:r>
              <w:rPr/>
              <w:t xml:space="preserve"> </w:t>
            </w:r>
            <w:r>
              <mc:AlternateContent>
                <mc:Choice Requires="wps">
                  <w:drawing>
                    <wp:anchor behindDoc="0" distT="100330" distB="0" distL="0" distR="0" simplePos="0" locked="0" layoutInCell="1" allowOverlap="1" relativeHeight="149">
                      <wp:simplePos x="0" y="0"/>
                      <wp:positionH relativeFrom="column">
                        <wp:align>left</wp:align>
                      </wp:positionH>
                      <wp:positionV relativeFrom="line">
                        <wp:align>top</wp:align>
                      </wp:positionV>
                      <wp:extent cx="228600" cy="350520"/>
                      <wp:effectExtent l="0" t="0" r="0" b="0"/>
                      <wp:wrapSquare wrapText="right"/>
                      <wp:docPr id="62" name="Frame1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158" w:after="0"/>
              <w:ind w:left="360" w:right="0" w:hanging="0"/>
              <w:jc w:val="left"/>
              <w:rPr/>
            </w:pPr>
            <w:r>
              <w:rPr>
                <w:spacing w:val="-1"/>
              </w:rPr>
              <w:t>this Proxy Statement for the Annual Meeting; and</w:t>
            </w:r>
            <w:r>
              <w:rPr/>
              <w:t xml:space="preserve"> </w:t>
            </w:r>
            <w:r>
              <mc:AlternateContent>
                <mc:Choice Requires="wps">
                  <w:drawing>
                    <wp:anchor behindDoc="0" distT="100330" distB="0" distL="0" distR="0" simplePos="0" locked="0" layoutInCell="1" allowOverlap="1" relativeHeight="150">
                      <wp:simplePos x="0" y="0"/>
                      <wp:positionH relativeFrom="column">
                        <wp:align>left</wp:align>
                      </wp:positionH>
                      <wp:positionV relativeFrom="line">
                        <wp:align>top</wp:align>
                      </wp:positionV>
                      <wp:extent cx="228600" cy="350520"/>
                      <wp:effectExtent l="0" t="0" r="0" b="0"/>
                      <wp:wrapSquare wrapText="right"/>
                      <wp:docPr id="63" name="Frame1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158" w:after="0"/>
              <w:ind w:left="360" w:right="0" w:hanging="0"/>
              <w:jc w:val="left"/>
              <w:rPr/>
            </w:pPr>
            <w:r>
              <w:rPr>
                <w:spacing w:val="-1"/>
              </w:rPr>
              <w:t>the Company’s Annual Report to Stockholders.</w:t>
            </w:r>
            <w:r>
              <w:rPr/>
              <w:t xml:space="preserve"> </w:t>
            </w:r>
            <w:r>
              <mc:AlternateContent>
                <mc:Choice Requires="wps">
                  <w:drawing>
                    <wp:anchor behindDoc="0" distT="100330" distB="0" distL="0" distR="0" simplePos="0" locked="0" layoutInCell="1" allowOverlap="1" relativeHeight="151">
                      <wp:simplePos x="0" y="0"/>
                      <wp:positionH relativeFrom="column">
                        <wp:align>left</wp:align>
                      </wp:positionH>
                      <wp:positionV relativeFrom="line">
                        <wp:align>top</wp:align>
                      </wp:positionV>
                      <wp:extent cx="228600" cy="350520"/>
                      <wp:effectExtent l="0" t="0" r="0" b="0"/>
                      <wp:wrapSquare wrapText="right"/>
                      <wp:docPr id="64" name="Frame1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158" w:after="283"/>
              <w:jc w:val="both"/>
              <w:rPr>
                <w:spacing w:val="-1"/>
              </w:rPr>
            </w:pPr>
            <w:r>
              <w:rPr>
                <w:spacing w:val="-1"/>
              </w:rPr>
              <w:t xml:space="preserve">If you requested printed versions of these materials by mail, the proxy materials will also include a proxy card (for stockholders of record) or a voting instruction form (for beneficial owners) for the Annual Meeting.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287" w:after="283"/>
        <w:ind w:left="901" w:right="0" w:hanging="0"/>
        <w:jc w:val="both"/>
        <w:rPr>
          <w:rFonts w:ascii="Arial;Helvetica;sans-serif" w:hAnsi="Arial;Helvetica;sans-serif"/>
          <w:b/>
          <w:i w:val="false"/>
          <w:caps/>
          <w:color w:val="7F7F7F"/>
          <w:spacing w:val="-3"/>
          <w:sz w:val="25"/>
        </w:rPr>
      </w:pPr>
      <w:r>
        <w:rPr>
          <w:rFonts w:ascii="Arial;Helvetica;sans-serif" w:hAnsi="Arial;Helvetica;sans-serif"/>
          <w:b/>
          <w:i w:val="false"/>
          <w:caps/>
          <w:color w:val="7F7F7F"/>
          <w:spacing w:val="-3"/>
          <w:sz w:val="25"/>
        </w:rPr>
        <w:t xml:space="preserve">Proxy Statement for Annual Meeting of Stockholders to Be Held on </w:t>
      </w:r>
    </w:p>
    <w:p>
      <w:pPr>
        <w:pStyle w:val="TextBody"/>
        <w:bidi w:val="0"/>
        <w:spacing w:lineRule="atLeast" w:line="290" w:before="287" w:after="283"/>
        <w:jc w:val="left"/>
        <w:rPr>
          <w:rFonts w:ascii="Arial;Helvetica;sans-serif" w:hAnsi="Arial;Helvetica;sans-serif"/>
          <w:b/>
          <w:i w:val="false"/>
          <w:caps w:val="false"/>
          <w:smallCaps w:val="false"/>
          <w:color w:val="7F7F7F"/>
          <w:sz w:val="25"/>
        </w:rPr>
      </w:pPr>
      <w:r>
        <w:rPr>
          <w:rFonts w:ascii="Arial;Helvetica;sans-serif" w:hAnsi="Arial;Helvetica;sans-serif"/>
          <w:b/>
          <w:i w:val="false"/>
          <w:caps/>
          <w:color w:val="7F7F7F"/>
          <w:spacing w:val="-3"/>
          <w:sz w:val="25"/>
        </w:rPr>
        <w:t>September 30, 2026</w:t>
      </w:r>
      <w:r>
        <w:rPr>
          <w:rFonts w:ascii="Arial;Helvetica;sans-serif" w:hAnsi="Arial;Helvetica;sans-serif"/>
          <w:b/>
          <w:i w:val="false"/>
          <w:caps w:val="false"/>
          <w:smallCaps w:val="false"/>
          <w:color w:val="7F7F7F"/>
          <w:sz w:val="25"/>
        </w:rPr>
        <w:t>​</w:t>
      </w:r>
      <w:r>
        <w:rPr>
          <w:rFonts w:ascii="Arial;Helvetica;sans-serif" w:hAnsi="Arial;Helvetica;sans-serif"/>
          <w:b/>
          <w:i w:val="false"/>
          <w:caps w:val="false"/>
          <w:smallCaps w:val="false"/>
          <w:color w:val="7F7F7F"/>
          <w:spacing w:val="-3"/>
          <w:sz w:val="25"/>
        </w:rPr>
        <w:t xml:space="preserve"> </w:t>
      </w:r>
    </w:p>
    <w:tbl>
      <w:tblPr>
        <w:tblW w:w="9304" w:type="dxa"/>
        <w:jc w:val="left"/>
        <w:tblInd w:w="901" w:type="dxa"/>
        <w:tblLayout w:type="fixed"/>
        <w:tblCellMar>
          <w:top w:w="0" w:type="dxa"/>
          <w:left w:w="0" w:type="dxa"/>
          <w:bottom w:w="0" w:type="dxa"/>
          <w:right w:w="0" w:type="dxa"/>
        </w:tblCellMar>
      </w:tblPr>
      <w:tblGrid>
        <w:gridCol w:w="124"/>
        <w:gridCol w:w="614"/>
        <w:gridCol w:w="109"/>
        <w:gridCol w:w="109"/>
        <w:gridCol w:w="8193"/>
        <w:gridCol w:w="155"/>
      </w:tblGrid>
      <w:tr>
        <w:trPr/>
        <w:tc>
          <w:tcPr>
            <w:tcW w:w="124" w:type="dxa"/>
            <w:tcBorders/>
            <w:vAlign w:val="center"/>
          </w:tcPr>
          <w:p>
            <w:pPr>
              <w:pStyle w:val="TableContents"/>
              <w:bidi w:val="0"/>
              <w:spacing w:before="0" w:after="283"/>
              <w:jc w:val="left"/>
              <w:rPr/>
            </w:pPr>
            <w:r>
              <w:rPr/>
              <w:t>​</w:t>
            </w:r>
          </w:p>
        </w:tc>
        <w:tc>
          <w:tcPr>
            <w:tcW w:w="614" w:type="dxa"/>
            <w:tcBorders/>
            <w:vAlign w:val="center"/>
          </w:tcPr>
          <w:p>
            <w:pPr>
              <w:pStyle w:val="TableContents"/>
              <w:bidi w:val="0"/>
              <w:spacing w:before="0" w:after="0"/>
              <w:jc w:val="left"/>
              <w:rPr/>
            </w:pPr>
            <w:r>
              <w:rPr/>
              <w:drawing>
                <wp:inline distT="0" distB="0" distL="0" distR="0">
                  <wp:extent cx="333375" cy="371475"/>
                  <wp:effectExtent l="0" t="0" r="0" b="0"/>
                  <wp:docPr id="6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8" descr=""/>
                          <pic:cNvPicPr>
                            <a:picLocks noChangeAspect="1" noChangeArrowheads="1"/>
                          </pic:cNvPicPr>
                        </pic:nvPicPr>
                        <pic:blipFill>
                          <a:blip r:embed="rId49"/>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93" w:type="dxa"/>
            <w:tcBorders/>
            <w:vAlign w:val="center"/>
          </w:tcPr>
          <w:p>
            <w:pPr>
              <w:pStyle w:val="TableContents"/>
              <w:bidi w:val="0"/>
              <w:spacing w:lineRule="atLeast" w:line="228" w:before="0" w:after="0"/>
              <w:jc w:val="left"/>
              <w:rPr/>
            </w:pPr>
            <w:r>
              <w:rPr>
                <w:spacing w:val="0"/>
              </w:rPr>
              <w:t>Who is entitled to vote at the Annual Meeting?</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4" w:type="dxa"/>
            <w:tcBorders/>
            <w:vAlign w:val="center"/>
          </w:tcPr>
          <w:p>
            <w:pPr>
              <w:pStyle w:val="TableContents"/>
              <w:bidi w:val="0"/>
              <w:spacing w:before="0" w:after="0"/>
              <w:jc w:val="left"/>
              <w:rPr/>
            </w:pPr>
            <w:r>
              <w:rPr/>
              <w:drawing>
                <wp:inline distT="0" distB="0" distL="0" distR="0">
                  <wp:extent cx="333375" cy="371475"/>
                  <wp:effectExtent l="0" t="0" r="0" b="0"/>
                  <wp:docPr id="6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9" descr=""/>
                          <pic:cNvPicPr>
                            <a:picLocks noChangeAspect="1" noChangeArrowheads="1"/>
                          </pic:cNvPicPr>
                        </pic:nvPicPr>
                        <pic:blipFill>
                          <a:blip r:embed="rId50"/>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93" w:type="dxa"/>
            <w:tcBorders/>
            <w:vAlign w:val="center"/>
          </w:tcPr>
          <w:p>
            <w:pPr>
              <w:pStyle w:val="TableContents"/>
              <w:bidi w:val="0"/>
              <w:spacing w:lineRule="atLeast" w:line="228" w:before="0" w:after="0"/>
              <w:jc w:val="both"/>
              <w:rPr/>
            </w:pPr>
            <w:r>
              <w:rPr>
                <w:spacing w:val="-1"/>
              </w:rPr>
              <w:t>Holders of Company common stock at the close of business on August 17, 2026 are entitled to receive notice of, and to vote their shares at, the Annual Meeting. As of August 17, 2026, there were 59,719,462 shares of Company common stock outstanding and entitled to vote at the Annual Meeting. Each share of common stock is entitled to one vote on each matter properly brought before the Annual Meeting.</w:t>
            </w:r>
            <w:r>
              <w:rPr/>
              <w:t xml:space="preserve"> </w:t>
            </w:r>
          </w:p>
          <w:p>
            <w:pPr>
              <w:pStyle w:val="TableContents"/>
              <w:bidi w:val="0"/>
              <w:spacing w:lineRule="atLeast" w:line="228" w:before="120" w:after="283"/>
              <w:jc w:val="both"/>
              <w:rPr/>
            </w:pPr>
            <w:r>
              <w:rPr>
                <w:spacing w:val="-1"/>
              </w:rPr>
              <w:t>If your shares are registered in your name with the Company’s transfer agent, Computershare Trust Company, N.A., you are considered a “stockholder of record.” If your shares are held in an account with a broker, bank or other nominee, you are considered the “beneficial owner.” As the beneficial owner, you have the right to direct your broker, bank or other nominee on how to vote your shares.</w:t>
            </w:r>
            <w:r>
              <w:rPr/>
              <w:t xml:space="preserve"> </w:t>
            </w:r>
          </w:p>
          <w:p>
            <w:pPr>
              <w:pStyle w:val="TableContents"/>
              <w:bidi w:val="0"/>
              <w:spacing w:lineRule="atLeast" w:line="228" w:before="120" w:after="283"/>
              <w:jc w:val="both"/>
              <w:rPr/>
            </w:pPr>
            <w:r>
              <w:rPr>
                <w:spacing w:val="-1"/>
              </w:rPr>
              <w:t>Pursuant to the Standstill Agreement, dated May 5, 2025, by and between the Company and Pershing Square Inc., a Nevada corporation (f/k/a Pershing Square Holdco, L.P., a Delaware limited partnership) (“PS Inc.”), for all matters being voted on at the Annual Meeting, the voting power of the shares held by PS Inc., Pershing Square Capital Management, L.P. (“PSCM”), and their respective affiliates will be limited to 40% of the total voting power of the outstanding shares of Company common stock (the “voting cap”), with the excess of any shares held by PS Inc., PSCM and their respective affiliates over the voting cap (the “excess shares”) to be voted by PS Inc., PSCM and their respective affiliates in proportion to the votes cast by stockholders unaffiliated with PS Inc., PSCM and their respective affiliates, or any transferee thereof. This voting cap will be uniformly applied across all matters, except with respect to voting to elect the three PS Board Designees (Messrs. Ackman, Grandisson and Israel), for which no voting cap applies. For additional information, see the section entitled “</w:t>
            </w:r>
            <w:r>
              <w:rPr>
                <w:i/>
              </w:rPr>
              <w:t>Related-Party Transactions and Certain Relationships – Pershing Square Agreements – Standstill Agreement</w:t>
            </w:r>
            <w:r>
              <w:rPr>
                <w:spacing w:val="-1"/>
              </w:rPr>
              <w:t>” in this Proxy Statement.</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4" w:type="dxa"/>
            <w:tcBorders/>
            <w:vAlign w:val="center"/>
          </w:tcPr>
          <w:p>
            <w:pPr>
              <w:pStyle w:val="TableContents"/>
              <w:bidi w:val="0"/>
              <w:spacing w:before="0" w:after="0"/>
              <w:jc w:val="left"/>
              <w:rPr/>
            </w:pPr>
            <w:r>
              <w:rPr/>
              <w:drawing>
                <wp:inline distT="0" distB="0" distL="0" distR="0">
                  <wp:extent cx="333375" cy="371475"/>
                  <wp:effectExtent l="0" t="0" r="0" b="0"/>
                  <wp:docPr id="6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0" descr=""/>
                          <pic:cNvPicPr>
                            <a:picLocks noChangeAspect="1" noChangeArrowheads="1"/>
                          </pic:cNvPicPr>
                        </pic:nvPicPr>
                        <pic:blipFill>
                          <a:blip r:embed="rId51"/>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93" w:type="dxa"/>
            <w:tcBorders/>
            <w:vAlign w:val="center"/>
          </w:tcPr>
          <w:p>
            <w:pPr>
              <w:pStyle w:val="TableContents"/>
              <w:bidi w:val="0"/>
              <w:spacing w:lineRule="atLeast" w:line="228" w:before="0" w:after="0"/>
              <w:jc w:val="left"/>
              <w:rPr/>
            </w:pPr>
            <w:r>
              <w:rPr>
                <w:spacing w:val="0"/>
              </w:rPr>
              <w:t>How do I vote?</w:t>
            </w:r>
            <w:r>
              <w:rPr/>
              <w:t xml:space="preserve"> </w:t>
            </w:r>
          </w:p>
        </w:tc>
        <w:tc>
          <w:tcPr>
            <w:tcW w:w="155" w:type="dxa"/>
            <w:tcBorders/>
            <w:vAlign w:val="center"/>
          </w:tcPr>
          <w:p>
            <w:pPr>
              <w:pStyle w:val="TableContents"/>
              <w:bidi w:val="0"/>
              <w:spacing w:before="0" w:after="283"/>
              <w:jc w:val="left"/>
              <w:rPr/>
            </w:pPr>
            <w:r>
              <w:rPr/>
              <w:t>​</w:t>
            </w:r>
          </w:p>
        </w:tc>
      </w:tr>
    </w:tbl>
    <w:tbl>
      <w:tblPr>
        <w:tblW w:w="9304" w:type="dxa"/>
        <w:jc w:val="left"/>
        <w:tblInd w:w="901" w:type="dxa"/>
        <w:tblLayout w:type="fixed"/>
        <w:tblCellMar>
          <w:top w:w="0" w:type="dxa"/>
          <w:left w:w="0" w:type="dxa"/>
          <w:bottom w:w="28" w:type="dxa"/>
          <w:right w:w="0" w:type="dxa"/>
        </w:tblCellMar>
      </w:tblPr>
      <w:tblGrid>
        <w:gridCol w:w="632"/>
        <w:gridCol w:w="109"/>
        <w:gridCol w:w="109"/>
        <w:gridCol w:w="1346"/>
        <w:gridCol w:w="109"/>
        <w:gridCol w:w="109"/>
        <w:gridCol w:w="6734"/>
        <w:gridCol w:w="156"/>
      </w:tblGrid>
      <w:tr>
        <w:trPr/>
        <w:tc>
          <w:tcPr>
            <w:tcW w:w="6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8298" w:type="dxa"/>
            <w:gridSpan w:val="4"/>
            <w:tcBorders>
              <w:bottom w:val="single" w:sz="2" w:space="0" w:color="7F7F7F"/>
            </w:tcBorders>
            <w:vAlign w:val="center"/>
          </w:tcPr>
          <w:p>
            <w:pPr>
              <w:pStyle w:val="TableContents"/>
              <w:bidi w:val="0"/>
              <w:spacing w:before="0" w:after="283"/>
              <w:jc w:val="left"/>
              <w:rPr/>
            </w:pPr>
            <w:r>
              <w:rPr/>
              <w:t>​</w:t>
            </w:r>
          </w:p>
        </w:tc>
        <w:tc>
          <w:tcPr>
            <w:tcW w:w="156" w:type="dxa"/>
            <w:tcBorders>
              <w:bottom w:val="single" w:sz="2" w:space="0" w:color="7F7F7F"/>
            </w:tcBorders>
            <w:vAlign w:val="center"/>
          </w:tcPr>
          <w:p>
            <w:pPr>
              <w:pStyle w:val="TableContents"/>
              <w:bidi w:val="0"/>
              <w:spacing w:before="0" w:after="283"/>
              <w:jc w:val="left"/>
              <w:rPr/>
            </w:pPr>
            <w:r>
              <w:rPr/>
              <w:t>​</w:t>
            </w:r>
          </w:p>
        </w:tc>
      </w:tr>
      <w:tr>
        <w:trPr/>
        <w:tc>
          <w:tcPr>
            <w:tcW w:w="632" w:type="dxa"/>
            <w:tcBorders/>
            <w:tcMar>
              <w:bottom w:w="0" w:type="dxa"/>
            </w:tcMar>
            <w:vAlign w:val="center"/>
          </w:tcPr>
          <w:p>
            <w:pPr>
              <w:pStyle w:val="TableContents"/>
              <w:bidi w:val="0"/>
              <w:spacing w:before="0" w:after="0"/>
              <w:jc w:val="left"/>
              <w:rPr/>
            </w:pPr>
            <w:r>
              <w:rPr/>
              <w:drawing>
                <wp:inline distT="0" distB="0" distL="0" distR="0">
                  <wp:extent cx="333375" cy="371475"/>
                  <wp:effectExtent l="0" t="0" r="0" b="0"/>
                  <wp:docPr id="6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1" descr=""/>
                          <pic:cNvPicPr>
                            <a:picLocks noChangeAspect="1" noChangeArrowheads="1"/>
                          </pic:cNvPicPr>
                        </pic:nvPicPr>
                        <pic:blipFill>
                          <a:blip r:embed="rId52"/>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8298" w:type="dxa"/>
            <w:gridSpan w:val="4"/>
            <w:tcBorders/>
            <w:shd w:fill="BAD8EA" w:val="clear"/>
            <w:tcMar>
              <w:bottom w:w="0" w:type="dxa"/>
            </w:tcMar>
            <w:vAlign w:val="center"/>
          </w:tcPr>
          <w:p>
            <w:pPr>
              <w:pStyle w:val="TableContents"/>
              <w:bidi w:val="0"/>
              <w:spacing w:lineRule="atLeast" w:line="238" w:before="0" w:after="0"/>
              <w:jc w:val="center"/>
              <w:rPr/>
            </w:pPr>
            <w:r>
              <w:rPr>
                <w:spacing w:val="0"/>
              </w:rPr>
              <w:t>How to Vote</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632"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302B27"/>
            </w:tcBorders>
            <w:vAlign w:val="center"/>
          </w:tcPr>
          <w:p>
            <w:pPr>
              <w:pStyle w:val="TableContents"/>
              <w:bidi w:val="0"/>
              <w:spacing w:before="0" w:after="283"/>
              <w:jc w:val="left"/>
              <w:rPr/>
            </w:pPr>
            <w:r>
              <w:rPr/>
              <w:t>​</w:t>
            </w:r>
          </w:p>
        </w:tc>
        <w:tc>
          <w:tcPr>
            <w:tcW w:w="8298" w:type="dxa"/>
            <w:gridSpan w:val="4"/>
            <w:tcBorders>
              <w:bottom w:val="single" w:sz="12" w:space="0" w:color="302B27"/>
            </w:tcBorders>
            <w:tcMar>
              <w:bottom w:w="92" w:type="dxa"/>
            </w:tcMar>
            <w:vAlign w:val="center"/>
          </w:tcPr>
          <w:p>
            <w:pPr>
              <w:pStyle w:val="TableContents"/>
              <w:bidi w:val="0"/>
              <w:spacing w:before="0" w:after="0"/>
              <w:jc w:val="center"/>
              <w:rPr/>
            </w:pPr>
            <w:r>
              <w:rPr>
                <w:spacing w:val="0"/>
              </w:rPr>
              <w:t>Your vote is important. Please vote as soon as possible by one of the methods shown below.</w:t>
            </w:r>
            <w:r>
              <w:rPr/>
              <w:t xml:space="preserve"> </w:t>
            </w:r>
          </w:p>
        </w:tc>
        <w:tc>
          <w:tcPr>
            <w:tcW w:w="156" w:type="dxa"/>
            <w:tcBorders>
              <w:bottom w:val="single" w:sz="12" w:space="0" w:color="302B27"/>
            </w:tcBorders>
            <w:vAlign w:val="center"/>
          </w:tcPr>
          <w:p>
            <w:pPr>
              <w:pStyle w:val="TableContents"/>
              <w:bidi w:val="0"/>
              <w:spacing w:before="0" w:after="283"/>
              <w:jc w:val="left"/>
              <w:rPr/>
            </w:pPr>
            <w:r>
              <w:rPr/>
              <w:t>​</w:t>
            </w:r>
          </w:p>
        </w:tc>
      </w:tr>
      <w:tr>
        <w:trPr/>
        <w:tc>
          <w:tcPr>
            <w:tcW w:w="632"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302B27"/>
            </w:tcBorders>
            <w:vAlign w:val="center"/>
          </w:tcPr>
          <w:p>
            <w:pPr>
              <w:pStyle w:val="TableContents"/>
              <w:bidi w:val="0"/>
              <w:spacing w:before="0" w:after="283"/>
              <w:jc w:val="left"/>
              <w:rPr/>
            </w:pPr>
            <w:r>
              <w:rPr/>
              <w:t>​</w:t>
            </w:r>
          </w:p>
        </w:tc>
        <w:tc>
          <w:tcPr>
            <w:tcW w:w="1346" w:type="dxa"/>
            <w:tcBorders>
              <w:bottom w:val="single" w:sz="12" w:space="0" w:color="302B27"/>
            </w:tcBorders>
            <w:tcMar>
              <w:bottom w:w="79" w:type="dxa"/>
            </w:tcMar>
            <w:vAlign w:val="center"/>
          </w:tcPr>
          <w:p>
            <w:pPr>
              <w:pStyle w:val="TableContents"/>
              <w:bidi w:val="0"/>
              <w:spacing w:before="0" w:after="0"/>
              <w:jc w:val="center"/>
              <w:rPr/>
            </w:pPr>
            <w:r>
              <w:rPr/>
              <w:drawing>
                <wp:inline distT="0" distB="0" distL="0" distR="0">
                  <wp:extent cx="457200" cy="276225"/>
                  <wp:effectExtent l="0" t="0" r="0" b="0"/>
                  <wp:docPr id="6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2" descr=""/>
                          <pic:cNvPicPr>
                            <a:picLocks noChangeAspect="1" noChangeArrowheads="1"/>
                          </pic:cNvPicPr>
                        </pic:nvPicPr>
                        <pic:blipFill>
                          <a:blip r:embed="rId53"/>
                          <a:stretch>
                            <a:fillRect/>
                          </a:stretch>
                        </pic:blipFill>
                        <pic:spPr bwMode="auto">
                          <a:xfrm>
                            <a:off x="0" y="0"/>
                            <a:ext cx="457200" cy="276225"/>
                          </a:xfrm>
                          <a:prstGeom prst="rect">
                            <a:avLst/>
                          </a:prstGeom>
                        </pic:spPr>
                      </pic:pic>
                    </a:graphicData>
                  </a:graphic>
                </wp:inline>
              </w:drawing>
            </w:r>
            <w:r>
              <w:rPr/>
              <w:t xml:space="preserve"> </w:t>
            </w:r>
          </w:p>
          <w:p>
            <w:pPr>
              <w:pStyle w:val="TableContents"/>
              <w:bidi w:val="0"/>
              <w:spacing w:lineRule="atLeast" w:line="228" w:before="95" w:after="283"/>
              <w:jc w:val="center"/>
              <w:rPr>
                <w:b/>
              </w:rPr>
            </w:pPr>
            <w:r>
              <w:rPr>
                <w:b/>
                <w:spacing w:val="0"/>
              </w:rPr>
              <w:t>In person at the Annual Meeting</w:t>
            </w:r>
            <w:r>
              <w:rPr>
                <w:b/>
              </w:rPr>
              <w:t xml:space="preserve"> </w:t>
            </w:r>
          </w:p>
        </w:tc>
        <w:tc>
          <w:tcPr>
            <w:tcW w:w="109" w:type="dxa"/>
            <w:tcBorders>
              <w:bottom w:val="single" w:sz="12" w:space="0" w:color="302B27"/>
            </w:tcBorders>
            <w:vAlign w:val="center"/>
          </w:tcPr>
          <w:p>
            <w:pPr>
              <w:pStyle w:val="TableContents"/>
              <w:bidi w:val="0"/>
              <w:spacing w:before="0" w:after="283"/>
              <w:jc w:val="left"/>
              <w:rPr/>
            </w:pPr>
            <w:r>
              <w:rPr/>
              <w:t>​</w:t>
            </w:r>
          </w:p>
        </w:tc>
        <w:tc>
          <w:tcPr>
            <w:tcW w:w="109" w:type="dxa"/>
            <w:tcBorders>
              <w:bottom w:val="single" w:sz="12" w:space="0" w:color="302B27"/>
            </w:tcBorders>
            <w:vAlign w:val="center"/>
          </w:tcPr>
          <w:p>
            <w:pPr>
              <w:pStyle w:val="TableContents"/>
              <w:bidi w:val="0"/>
              <w:spacing w:before="0" w:after="283"/>
              <w:jc w:val="left"/>
              <w:rPr/>
            </w:pPr>
            <w:r>
              <w:rPr/>
              <w:t>​</w:t>
            </w:r>
          </w:p>
        </w:tc>
        <w:tc>
          <w:tcPr>
            <w:tcW w:w="6734" w:type="dxa"/>
            <w:tcBorders>
              <w:bottom w:val="single" w:sz="12" w:space="0" w:color="302B27"/>
            </w:tcBorders>
            <w:tcMar>
              <w:bottom w:w="79" w:type="dxa"/>
            </w:tcMar>
            <w:vAlign w:val="center"/>
          </w:tcPr>
          <w:p>
            <w:pPr>
              <w:pStyle w:val="TableContents"/>
              <w:bidi w:val="0"/>
              <w:spacing w:lineRule="atLeast" w:line="228" w:before="0" w:after="0"/>
              <w:jc w:val="both"/>
              <w:rPr>
                <w:spacing w:val="-1"/>
              </w:rPr>
            </w:pPr>
            <w:r>
              <w:rPr>
                <w:spacing w:val="-1"/>
              </w:rPr>
              <w:t xml:space="preserve">All stockholders of record may vote in person at the Annual Meeting. You can request a ballot at the Annual Meeting. You may also be represented by another person at the Annual Meeting by executing a proper proxy designating that person. If you are a beneficial owner of shares, you must obtain a legal proxy from your broker, bank or other holder of record and present it to the inspector of election with your ballot to be able to vote at the Annual Meeting. </w:t>
            </w:r>
          </w:p>
        </w:tc>
        <w:tc>
          <w:tcPr>
            <w:tcW w:w="156" w:type="dxa"/>
            <w:tcBorders>
              <w:bottom w:val="single" w:sz="12" w:space="0" w:color="302B27"/>
            </w:tcBorders>
            <w:vAlign w:val="center"/>
          </w:tcPr>
          <w:p>
            <w:pPr>
              <w:pStyle w:val="TableContents"/>
              <w:bidi w:val="0"/>
              <w:spacing w:before="0" w:after="283"/>
              <w:jc w:val="left"/>
              <w:rPr/>
            </w:pPr>
            <w:r>
              <w:rPr/>
              <w:t>​</w:t>
            </w:r>
          </w:p>
        </w:tc>
      </w:tr>
      <w:tr>
        <w:trPr/>
        <w:tc>
          <w:tcPr>
            <w:tcW w:w="632"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302B27"/>
            </w:tcBorders>
            <w:vAlign w:val="center"/>
          </w:tcPr>
          <w:p>
            <w:pPr>
              <w:pStyle w:val="TableContents"/>
              <w:bidi w:val="0"/>
              <w:spacing w:before="0" w:after="283"/>
              <w:jc w:val="left"/>
              <w:rPr/>
            </w:pPr>
            <w:r>
              <w:rPr/>
              <w:t>​</w:t>
            </w:r>
          </w:p>
        </w:tc>
        <w:tc>
          <w:tcPr>
            <w:tcW w:w="1346" w:type="dxa"/>
            <w:tcBorders>
              <w:bottom w:val="single" w:sz="12" w:space="0" w:color="302B27"/>
            </w:tcBorders>
            <w:tcMar>
              <w:bottom w:w="79" w:type="dxa"/>
            </w:tcMar>
            <w:vAlign w:val="center"/>
          </w:tcPr>
          <w:p>
            <w:pPr>
              <w:pStyle w:val="TableContents"/>
              <w:bidi w:val="0"/>
              <w:spacing w:before="0" w:after="0"/>
              <w:jc w:val="center"/>
              <w:rPr/>
            </w:pPr>
            <w:r>
              <w:rPr/>
              <w:drawing>
                <wp:inline distT="0" distB="0" distL="0" distR="0">
                  <wp:extent cx="257175" cy="457200"/>
                  <wp:effectExtent l="0" t="0" r="0" b="0"/>
                  <wp:docPr id="7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3" descr=""/>
                          <pic:cNvPicPr>
                            <a:picLocks noChangeAspect="1" noChangeArrowheads="1"/>
                          </pic:cNvPicPr>
                        </pic:nvPicPr>
                        <pic:blipFill>
                          <a:blip r:embed="rId54"/>
                          <a:stretch>
                            <a:fillRect/>
                          </a:stretch>
                        </pic:blipFill>
                        <pic:spPr bwMode="auto">
                          <a:xfrm>
                            <a:off x="0" y="0"/>
                            <a:ext cx="257175" cy="457200"/>
                          </a:xfrm>
                          <a:prstGeom prst="rect">
                            <a:avLst/>
                          </a:prstGeom>
                        </pic:spPr>
                      </pic:pic>
                    </a:graphicData>
                  </a:graphic>
                </wp:inline>
              </w:drawing>
            </w:r>
            <w:r>
              <w:rPr/>
              <w:t xml:space="preserve"> </w:t>
            </w:r>
          </w:p>
          <w:p>
            <w:pPr>
              <w:pStyle w:val="TableContents"/>
              <w:bidi w:val="0"/>
              <w:spacing w:lineRule="atLeast" w:line="228" w:before="95" w:after="283"/>
              <w:jc w:val="center"/>
              <w:rPr>
                <w:b/>
              </w:rPr>
            </w:pPr>
            <w:r>
              <w:rPr>
                <w:b/>
                <w:spacing w:val="0"/>
              </w:rPr>
              <w:t>By telephone</w:t>
            </w:r>
            <w:r>
              <w:rPr>
                <w:b/>
              </w:rPr>
              <w:t xml:space="preserve"> </w:t>
            </w:r>
          </w:p>
        </w:tc>
        <w:tc>
          <w:tcPr>
            <w:tcW w:w="109" w:type="dxa"/>
            <w:tcBorders>
              <w:bottom w:val="single" w:sz="12" w:space="0" w:color="302B27"/>
            </w:tcBorders>
            <w:vAlign w:val="center"/>
          </w:tcPr>
          <w:p>
            <w:pPr>
              <w:pStyle w:val="TableContents"/>
              <w:bidi w:val="0"/>
              <w:spacing w:before="0" w:after="283"/>
              <w:jc w:val="left"/>
              <w:rPr/>
            </w:pPr>
            <w:r>
              <w:rPr/>
              <w:t>​</w:t>
            </w:r>
          </w:p>
        </w:tc>
        <w:tc>
          <w:tcPr>
            <w:tcW w:w="109" w:type="dxa"/>
            <w:tcBorders>
              <w:bottom w:val="single" w:sz="12" w:space="0" w:color="302B27"/>
            </w:tcBorders>
            <w:vAlign w:val="center"/>
          </w:tcPr>
          <w:p>
            <w:pPr>
              <w:pStyle w:val="TableContents"/>
              <w:bidi w:val="0"/>
              <w:spacing w:before="0" w:after="283"/>
              <w:jc w:val="left"/>
              <w:rPr/>
            </w:pPr>
            <w:r>
              <w:rPr/>
              <w:t>​</w:t>
            </w:r>
          </w:p>
        </w:tc>
        <w:tc>
          <w:tcPr>
            <w:tcW w:w="6734" w:type="dxa"/>
            <w:tcBorders>
              <w:bottom w:val="single" w:sz="12" w:space="0" w:color="302B27"/>
            </w:tcBorders>
            <w:tcMar>
              <w:bottom w:w="79" w:type="dxa"/>
            </w:tcMar>
            <w:vAlign w:val="center"/>
          </w:tcPr>
          <w:p>
            <w:pPr>
              <w:pStyle w:val="TableContents"/>
              <w:bidi w:val="0"/>
              <w:spacing w:lineRule="atLeast" w:line="228" w:before="0" w:after="0"/>
              <w:jc w:val="both"/>
              <w:rPr>
                <w:spacing w:val="-1"/>
              </w:rPr>
            </w:pPr>
            <w:r>
              <w:rPr>
                <w:spacing w:val="-1"/>
              </w:rPr>
              <w:t xml:space="preserve">All stockholders of record may vote their shares by calling 1-800-690-6903 toll-free. Submit your vote by telephone until 11:59 p.m. Eastern Time on September 29, 2026. Have your proxy card available and follow the instructions provided by the recorded message to vote your shares. If you are a beneficial owner of shares, you may vote your shares by telephone by following the instructions sent to you by your broker, bank, or other record holder. </w:t>
            </w:r>
          </w:p>
        </w:tc>
        <w:tc>
          <w:tcPr>
            <w:tcW w:w="156" w:type="dxa"/>
            <w:tcBorders>
              <w:bottom w:val="single" w:sz="12" w:space="0" w:color="302B27"/>
            </w:tcBorders>
            <w:vAlign w:val="center"/>
          </w:tcPr>
          <w:p>
            <w:pPr>
              <w:pStyle w:val="TableContents"/>
              <w:bidi w:val="0"/>
              <w:spacing w:before="0" w:after="283"/>
              <w:jc w:val="left"/>
              <w:rPr/>
            </w:pPr>
            <w:r>
              <w:rPr/>
              <w:t>​</w:t>
            </w:r>
          </w:p>
        </w:tc>
      </w:tr>
      <w:tr>
        <w:trPr/>
        <w:tc>
          <w:tcPr>
            <w:tcW w:w="632"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302B27"/>
            </w:tcBorders>
            <w:vAlign w:val="center"/>
          </w:tcPr>
          <w:p>
            <w:pPr>
              <w:pStyle w:val="TableContents"/>
              <w:bidi w:val="0"/>
              <w:spacing w:before="0" w:after="283"/>
              <w:jc w:val="left"/>
              <w:rPr/>
            </w:pPr>
            <w:r>
              <w:rPr/>
              <w:t>​</w:t>
            </w:r>
          </w:p>
        </w:tc>
        <w:tc>
          <w:tcPr>
            <w:tcW w:w="1346" w:type="dxa"/>
            <w:tcBorders>
              <w:bottom w:val="single" w:sz="12" w:space="0" w:color="302B27"/>
            </w:tcBorders>
            <w:vAlign w:val="center"/>
          </w:tcPr>
          <w:p>
            <w:pPr>
              <w:pStyle w:val="TableContents"/>
              <w:bidi w:val="0"/>
              <w:spacing w:before="0" w:after="0"/>
              <w:jc w:val="center"/>
              <w:rPr/>
            </w:pPr>
            <w:r>
              <w:rPr/>
              <w:drawing>
                <wp:inline distT="0" distB="0" distL="0" distR="0">
                  <wp:extent cx="419100" cy="390525"/>
                  <wp:effectExtent l="0" t="0" r="0" b="0"/>
                  <wp:docPr id="7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4" descr=""/>
                          <pic:cNvPicPr>
                            <a:picLocks noChangeAspect="1" noChangeArrowheads="1"/>
                          </pic:cNvPicPr>
                        </pic:nvPicPr>
                        <pic:blipFill>
                          <a:blip r:embed="rId55"/>
                          <a:stretch>
                            <a:fillRect/>
                          </a:stretch>
                        </pic:blipFill>
                        <pic:spPr bwMode="auto">
                          <a:xfrm>
                            <a:off x="0" y="0"/>
                            <a:ext cx="419100" cy="390525"/>
                          </a:xfrm>
                          <a:prstGeom prst="rect">
                            <a:avLst/>
                          </a:prstGeom>
                        </pic:spPr>
                      </pic:pic>
                    </a:graphicData>
                  </a:graphic>
                </wp:inline>
              </w:drawing>
            </w:r>
            <w:r>
              <w:rPr/>
              <w:t xml:space="preserve"> </w:t>
            </w:r>
          </w:p>
          <w:p>
            <w:pPr>
              <w:pStyle w:val="TableContents"/>
              <w:bidi w:val="0"/>
              <w:spacing w:lineRule="atLeast" w:line="228" w:before="95" w:after="283"/>
              <w:jc w:val="center"/>
              <w:rPr>
                <w:b/>
              </w:rPr>
            </w:pPr>
            <w:r>
              <w:rPr>
                <w:b/>
                <w:spacing w:val="0"/>
              </w:rPr>
              <w:t>By Internet</w:t>
            </w:r>
            <w:r>
              <w:rPr>
                <w:b/>
              </w:rPr>
              <w:t xml:space="preserve"> </w:t>
            </w:r>
          </w:p>
        </w:tc>
        <w:tc>
          <w:tcPr>
            <w:tcW w:w="109" w:type="dxa"/>
            <w:tcBorders>
              <w:bottom w:val="single" w:sz="12" w:space="0" w:color="302B27"/>
            </w:tcBorders>
            <w:vAlign w:val="center"/>
          </w:tcPr>
          <w:p>
            <w:pPr>
              <w:pStyle w:val="TableContents"/>
              <w:bidi w:val="0"/>
              <w:spacing w:before="0" w:after="283"/>
              <w:jc w:val="left"/>
              <w:rPr/>
            </w:pPr>
            <w:r>
              <w:rPr/>
              <w:t>​</w:t>
            </w:r>
          </w:p>
        </w:tc>
        <w:tc>
          <w:tcPr>
            <w:tcW w:w="109" w:type="dxa"/>
            <w:tcBorders>
              <w:bottom w:val="single" w:sz="12" w:space="0" w:color="302B27"/>
            </w:tcBorders>
            <w:vAlign w:val="center"/>
          </w:tcPr>
          <w:p>
            <w:pPr>
              <w:pStyle w:val="TableContents"/>
              <w:bidi w:val="0"/>
              <w:spacing w:before="0" w:after="283"/>
              <w:jc w:val="left"/>
              <w:rPr/>
            </w:pPr>
            <w:r>
              <w:rPr/>
              <w:t>​</w:t>
            </w:r>
          </w:p>
        </w:tc>
        <w:tc>
          <w:tcPr>
            <w:tcW w:w="6734" w:type="dxa"/>
            <w:tcBorders>
              <w:bottom w:val="single" w:sz="12" w:space="0" w:color="302B27"/>
            </w:tcBorders>
            <w:tcMar>
              <w:bottom w:w="34" w:type="dxa"/>
            </w:tcMar>
            <w:vAlign w:val="center"/>
          </w:tcPr>
          <w:p>
            <w:pPr>
              <w:pStyle w:val="TableContents"/>
              <w:bidi w:val="0"/>
              <w:spacing w:lineRule="atLeast" w:line="228" w:before="0" w:after="0"/>
              <w:jc w:val="both"/>
              <w:rPr>
                <w:spacing w:val="-1"/>
              </w:rPr>
            </w:pPr>
            <w:r>
              <w:rPr>
                <w:spacing w:val="-1"/>
              </w:rPr>
              <w:t xml:space="preserve">All stockholders of record may vote their shares online at www.proxyvote.com. Use the Internet to transmit your voting instructions until 11:59 p.m. Eastern Time on September 29, 2026. Have your proxy card available and follow the instructions on the website to vote your shares. If you are a beneficial owner of shares, you may vote your shares online by following the instructions sent to you by your broker, bank, or other record holder. </w:t>
            </w:r>
          </w:p>
        </w:tc>
        <w:tc>
          <w:tcPr>
            <w:tcW w:w="156" w:type="dxa"/>
            <w:tcBorders>
              <w:bottom w:val="single" w:sz="12" w:space="0" w:color="302B27"/>
            </w:tcBorders>
            <w:vAlign w:val="center"/>
          </w:tcPr>
          <w:p>
            <w:pPr>
              <w:pStyle w:val="TableContents"/>
              <w:bidi w:val="0"/>
              <w:spacing w:before="0" w:after="283"/>
              <w:jc w:val="left"/>
              <w:rPr/>
            </w:pPr>
            <w:r>
              <w:rPr/>
              <w:t>​</w:t>
            </w:r>
          </w:p>
        </w:tc>
      </w:tr>
    </w:tbl>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6 \ 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287" w:after="283"/>
        <w:ind w:left="901" w:right="0" w:hanging="0"/>
        <w:jc w:val="right"/>
        <w:rPr>
          <w:rFonts w:ascii="Arial;Helvetica;sans-serif" w:hAnsi="Arial;Helvetica;sans-serif"/>
          <w:b/>
          <w:i w:val="false"/>
          <w:caps w:val="false"/>
          <w:smallCaps w:val="false"/>
          <w:color w:val="7F7F7F"/>
          <w:sz w:val="25"/>
        </w:rPr>
      </w:pPr>
      <w:r>
        <w:rPr>
          <w:rFonts w:ascii="Arial;Helvetica;sans-serif" w:hAnsi="Arial;Helvetica;sans-serif"/>
          <w:b/>
          <w:i w:val="false"/>
          <w:caps/>
          <w:color w:val="7F7F7F"/>
          <w:spacing w:val="-3"/>
          <w:sz w:val="25"/>
        </w:rPr>
        <w:t>Proxy Statement for Annual Meeting of Stockholders to Be Held on September 30, 2026</w:t>
      </w:r>
      <w:r>
        <w:rPr>
          <w:rFonts w:ascii="Arial;Helvetica;sans-serif" w:hAnsi="Arial;Helvetica;sans-serif"/>
          <w:b/>
          <w:i w:val="false"/>
          <w:caps w:val="false"/>
          <w:smallCaps w:val="false"/>
          <w:color w:val="7F7F7F"/>
          <w:sz w:val="25"/>
        </w:rPr>
        <w:t>​</w:t>
      </w:r>
    </w:p>
    <w:tbl>
      <w:tblPr>
        <w:tblW w:w="9304" w:type="dxa"/>
        <w:jc w:val="left"/>
        <w:tblInd w:w="901" w:type="dxa"/>
        <w:tblLayout w:type="fixed"/>
        <w:tblCellMar>
          <w:top w:w="0" w:type="dxa"/>
          <w:left w:w="0" w:type="dxa"/>
          <w:bottom w:w="28" w:type="dxa"/>
          <w:right w:w="0" w:type="dxa"/>
        </w:tblCellMar>
      </w:tblPr>
      <w:tblGrid>
        <w:gridCol w:w="124"/>
        <w:gridCol w:w="109"/>
        <w:gridCol w:w="109"/>
        <w:gridCol w:w="837"/>
        <w:gridCol w:w="109"/>
        <w:gridCol w:w="109"/>
        <w:gridCol w:w="775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8807" w:type="dxa"/>
            <w:gridSpan w:val="4"/>
            <w:tcBorders>
              <w:bottom w:val="single" w:sz="2" w:space="0" w:color="7F7F7F"/>
            </w:tcBorders>
            <w:vAlign w:val="center"/>
          </w:tcPr>
          <w:p>
            <w:pPr>
              <w:pStyle w:val="TableContents"/>
              <w:bidi w:val="0"/>
              <w:spacing w:before="0" w:after="283"/>
              <w:jc w:val="left"/>
              <w:rPr/>
            </w:pPr>
            <w:r>
              <w:rPr/>
              <w:t>​</w:t>
            </w:r>
          </w:p>
        </w:tc>
        <w:tc>
          <w:tcPr>
            <w:tcW w:w="155"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302B27"/>
            </w:tcBorders>
            <w:vAlign w:val="center"/>
          </w:tcPr>
          <w:p>
            <w:pPr>
              <w:pStyle w:val="TableContents"/>
              <w:bidi w:val="0"/>
              <w:spacing w:before="0" w:after="283"/>
              <w:jc w:val="left"/>
              <w:rPr/>
            </w:pPr>
            <w:r>
              <w:rPr/>
              <w:t>​</w:t>
            </w:r>
          </w:p>
        </w:tc>
        <w:tc>
          <w:tcPr>
            <w:tcW w:w="837" w:type="dxa"/>
            <w:tcBorders>
              <w:bottom w:val="single" w:sz="12" w:space="0" w:color="302B27"/>
            </w:tcBorders>
            <w:vAlign w:val="center"/>
          </w:tcPr>
          <w:p>
            <w:pPr>
              <w:pStyle w:val="TableContents"/>
              <w:bidi w:val="0"/>
              <w:spacing w:before="0" w:after="0"/>
              <w:jc w:val="center"/>
              <w:rPr/>
            </w:pPr>
            <w:r>
              <w:rPr/>
              <w:drawing>
                <wp:inline distT="0" distB="0" distL="0" distR="0">
                  <wp:extent cx="457200" cy="295275"/>
                  <wp:effectExtent l="0" t="0" r="0" b="0"/>
                  <wp:docPr id="7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5" descr=""/>
                          <pic:cNvPicPr>
                            <a:picLocks noChangeAspect="1" noChangeArrowheads="1"/>
                          </pic:cNvPicPr>
                        </pic:nvPicPr>
                        <pic:blipFill>
                          <a:blip r:embed="rId56"/>
                          <a:stretch>
                            <a:fillRect/>
                          </a:stretch>
                        </pic:blipFill>
                        <pic:spPr bwMode="auto">
                          <a:xfrm>
                            <a:off x="0" y="0"/>
                            <a:ext cx="457200" cy="295275"/>
                          </a:xfrm>
                          <a:prstGeom prst="rect">
                            <a:avLst/>
                          </a:prstGeom>
                        </pic:spPr>
                      </pic:pic>
                    </a:graphicData>
                  </a:graphic>
                </wp:inline>
              </w:drawing>
            </w:r>
            <w:r>
              <w:rPr/>
              <w:t xml:space="preserve"> </w:t>
            </w:r>
          </w:p>
          <w:p>
            <w:pPr>
              <w:pStyle w:val="TableContents"/>
              <w:bidi w:val="0"/>
              <w:spacing w:lineRule="atLeast" w:line="228" w:before="95" w:after="283"/>
              <w:jc w:val="center"/>
              <w:rPr>
                <w:b/>
              </w:rPr>
            </w:pPr>
            <w:r>
              <w:rPr>
                <w:b/>
                <w:spacing w:val="0"/>
              </w:rPr>
              <w:t>By mail</w:t>
            </w:r>
            <w:r>
              <w:rPr>
                <w:b/>
              </w:rPr>
              <w:t xml:space="preserve"> </w:t>
            </w:r>
          </w:p>
        </w:tc>
        <w:tc>
          <w:tcPr>
            <w:tcW w:w="109" w:type="dxa"/>
            <w:tcBorders>
              <w:bottom w:val="single" w:sz="12" w:space="0" w:color="302B27"/>
            </w:tcBorders>
            <w:vAlign w:val="center"/>
          </w:tcPr>
          <w:p>
            <w:pPr>
              <w:pStyle w:val="TableContents"/>
              <w:bidi w:val="0"/>
              <w:spacing w:before="0" w:after="283"/>
              <w:jc w:val="left"/>
              <w:rPr/>
            </w:pPr>
            <w:r>
              <w:rPr/>
              <w:t>​</w:t>
            </w:r>
          </w:p>
        </w:tc>
        <w:tc>
          <w:tcPr>
            <w:tcW w:w="109" w:type="dxa"/>
            <w:tcBorders>
              <w:bottom w:val="single" w:sz="12" w:space="0" w:color="302B27"/>
            </w:tcBorders>
            <w:vAlign w:val="center"/>
          </w:tcPr>
          <w:p>
            <w:pPr>
              <w:pStyle w:val="TableContents"/>
              <w:bidi w:val="0"/>
              <w:spacing w:before="0" w:after="283"/>
              <w:jc w:val="left"/>
              <w:rPr/>
            </w:pPr>
            <w:r>
              <w:rPr/>
              <w:t>​</w:t>
            </w:r>
          </w:p>
        </w:tc>
        <w:tc>
          <w:tcPr>
            <w:tcW w:w="7752" w:type="dxa"/>
            <w:tcBorders>
              <w:bottom w:val="single" w:sz="12" w:space="0" w:color="302B27"/>
            </w:tcBorders>
            <w:tcMar>
              <w:bottom w:w="34" w:type="dxa"/>
            </w:tcMar>
            <w:vAlign w:val="center"/>
          </w:tcPr>
          <w:p>
            <w:pPr>
              <w:pStyle w:val="TableContents"/>
              <w:bidi w:val="0"/>
              <w:spacing w:lineRule="atLeast" w:line="228" w:before="0" w:after="0"/>
              <w:jc w:val="both"/>
              <w:rPr/>
            </w:pPr>
            <w:r>
              <w:rPr>
                <w:spacing w:val="-1"/>
              </w:rPr>
              <w:t>If you are a stockholder of record, you vote by filling out the proxy card and returning it in the envelope provided, or if you received your proxy materials via email, you may request from us, by following the instructions in the email that you received, printed copies of the proxy materials, which will include a proxy card.</w:t>
            </w:r>
            <w:r>
              <w:rPr/>
              <w:t xml:space="preserve"> </w:t>
            </w:r>
          </w:p>
          <w:p>
            <w:pPr>
              <w:pStyle w:val="TableContents"/>
              <w:bidi w:val="0"/>
              <w:spacing w:lineRule="atLeast" w:line="228" w:before="120" w:after="283"/>
              <w:jc w:val="both"/>
              <w:rPr/>
            </w:pPr>
            <w:r>
              <w:rPr>
                <w:spacing w:val="-1"/>
              </w:rPr>
              <w:t>If you are a beneficial owner of shares, you may vote your shares by mail by following the instructions sent to you by your broker, bank, or other record holder.</w:t>
            </w:r>
            <w:r>
              <w:rPr/>
              <w:t xml:space="preserve"> </w:t>
            </w:r>
          </w:p>
        </w:tc>
        <w:tc>
          <w:tcPr>
            <w:tcW w:w="155" w:type="dxa"/>
            <w:tcBorders>
              <w:bottom w:val="single" w:sz="12" w:space="0" w:color="302B27"/>
            </w:tcBorders>
            <w:vAlign w:val="center"/>
          </w:tcPr>
          <w:p>
            <w:pPr>
              <w:pStyle w:val="TableContents"/>
              <w:bidi w:val="0"/>
              <w:spacing w:before="0" w:after="283"/>
              <w:jc w:val="left"/>
              <w:rPr/>
            </w:pPr>
            <w:r>
              <w:rPr/>
              <w:t>​</w:t>
            </w:r>
          </w:p>
        </w:tc>
      </w:tr>
      <w:tr>
        <w:trPr/>
        <w:tc>
          <w:tcPr>
            <w:tcW w:w="9304" w:type="dxa"/>
            <w:gridSpan w:val="8"/>
            <w:tcBorders/>
            <w:tcMar>
              <w:bottom w:w="0" w:type="dxa"/>
            </w:tcMar>
            <w:vAlign w:val="center"/>
          </w:tcPr>
          <w:p>
            <w:pPr>
              <w:pStyle w:val="TableContents"/>
              <w:bidi w:val="0"/>
              <w:spacing w:before="0" w:after="283"/>
              <w:jc w:val="left"/>
              <w:rPr/>
            </w:pPr>
            <w:r>
              <w:rPr/>
              <w:t>​</w:t>
            </w:r>
          </w:p>
        </w:tc>
      </w:tr>
    </w:tbl>
    <w:tbl>
      <w:tblPr>
        <w:tblW w:w="9304" w:type="dxa"/>
        <w:jc w:val="left"/>
        <w:tblInd w:w="901" w:type="dxa"/>
        <w:tblLayout w:type="fixed"/>
        <w:tblCellMar>
          <w:top w:w="0" w:type="dxa"/>
          <w:left w:w="0" w:type="dxa"/>
          <w:bottom w:w="0" w:type="dxa"/>
          <w:right w:w="0" w:type="dxa"/>
        </w:tblCellMar>
      </w:tblPr>
      <w:tblGrid>
        <w:gridCol w:w="124"/>
        <w:gridCol w:w="615"/>
        <w:gridCol w:w="109"/>
        <w:gridCol w:w="109"/>
        <w:gridCol w:w="8192"/>
        <w:gridCol w:w="155"/>
      </w:tblGrid>
      <w:tr>
        <w:trPr/>
        <w:tc>
          <w:tcPr>
            <w:tcW w:w="124" w:type="dxa"/>
            <w:tcBorders/>
            <w:vAlign w:val="center"/>
          </w:tcPr>
          <w:p>
            <w:pPr>
              <w:pStyle w:val="TableContents"/>
              <w:bidi w:val="0"/>
              <w:spacing w:before="0" w:after="283"/>
              <w:jc w:val="left"/>
              <w:rPr/>
            </w:pPr>
            <w:r>
              <w:rPr/>
              <w:t>​</w:t>
            </w:r>
          </w:p>
        </w:tc>
        <w:tc>
          <w:tcPr>
            <w:tcW w:w="61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92" w:type="dxa"/>
            <w:tcBorders/>
            <w:vAlign w:val="center"/>
          </w:tcPr>
          <w:p>
            <w:pPr>
              <w:pStyle w:val="TableContents"/>
              <w:bidi w:val="0"/>
              <w:spacing w:before="0" w:after="0"/>
              <w:jc w:val="both"/>
              <w:rPr>
                <w:spacing w:val="-1"/>
              </w:rPr>
            </w:pPr>
            <w:r>
              <w:rPr>
                <w:spacing w:val="-1"/>
              </w:rPr>
              <w:t xml:space="preserve">Internet and telephone voting for stockholders of record will be available 24 hours a day and will close at 11:59 p.m. Eastern Time on September 29, 2026. The availability of Internet and telephone voting for beneficial owners will depend on the voting processes of your broker, bank, or other holder of record. You should follow the voting instructions in the materials provided to you by your broker, bank, or other holder of record. If you vote on the Internet or by telephone, you do not have to return a proxy card or voting instruction form. If you are located outside the U.S. and Canada, please use the Internet or mail voting procedures. Your vote is important. Your timely response may save us the expense of attempting to contact you again.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5" w:type="dxa"/>
            <w:tcBorders/>
            <w:vAlign w:val="center"/>
          </w:tcPr>
          <w:p>
            <w:pPr>
              <w:pStyle w:val="TableContents"/>
              <w:bidi w:val="0"/>
              <w:spacing w:before="0" w:after="0"/>
              <w:jc w:val="left"/>
              <w:rPr/>
            </w:pPr>
            <w:r>
              <w:rPr/>
              <w:drawing>
                <wp:inline distT="0" distB="0" distL="0" distR="0">
                  <wp:extent cx="333375" cy="371475"/>
                  <wp:effectExtent l="0" t="0" r="0" b="0"/>
                  <wp:docPr id="7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6" descr=""/>
                          <pic:cNvPicPr>
                            <a:picLocks noChangeAspect="1" noChangeArrowheads="1"/>
                          </pic:cNvPicPr>
                        </pic:nvPicPr>
                        <pic:blipFill>
                          <a:blip r:embed="rId57"/>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92" w:type="dxa"/>
            <w:tcBorders/>
            <w:vAlign w:val="center"/>
          </w:tcPr>
          <w:p>
            <w:pPr>
              <w:pStyle w:val="TableContents"/>
              <w:bidi w:val="0"/>
              <w:spacing w:lineRule="atLeast" w:line="228" w:before="0" w:after="0"/>
              <w:jc w:val="left"/>
              <w:rPr/>
            </w:pPr>
            <w:r>
              <w:rPr>
                <w:spacing w:val="0"/>
              </w:rPr>
              <w:t>What is householding and how does this affect me?</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5" w:type="dxa"/>
            <w:tcBorders/>
            <w:vAlign w:val="center"/>
          </w:tcPr>
          <w:p>
            <w:pPr>
              <w:pStyle w:val="TableContents"/>
              <w:bidi w:val="0"/>
              <w:spacing w:before="0" w:after="0"/>
              <w:jc w:val="left"/>
              <w:rPr/>
            </w:pPr>
            <w:r>
              <w:rPr/>
              <w:drawing>
                <wp:inline distT="0" distB="0" distL="0" distR="0">
                  <wp:extent cx="333375" cy="371475"/>
                  <wp:effectExtent l="0" t="0" r="0" b="0"/>
                  <wp:docPr id="7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7" descr=""/>
                          <pic:cNvPicPr>
                            <a:picLocks noChangeAspect="1" noChangeArrowheads="1"/>
                          </pic:cNvPicPr>
                        </pic:nvPicPr>
                        <pic:blipFill>
                          <a:blip r:embed="rId58"/>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92" w:type="dxa"/>
            <w:tcBorders/>
            <w:vAlign w:val="center"/>
          </w:tcPr>
          <w:p>
            <w:pPr>
              <w:pStyle w:val="TableContents"/>
              <w:bidi w:val="0"/>
              <w:spacing w:lineRule="atLeast" w:line="228" w:before="0" w:after="283"/>
              <w:jc w:val="both"/>
              <w:rPr>
                <w:spacing w:val="-1"/>
              </w:rPr>
            </w:pPr>
            <w:r>
              <w:rPr>
                <w:spacing w:val="-1"/>
              </w:rPr>
              <w:t xml:space="preserve">We have adopted a procedure approved by the U.S. Securities and Exchange Commission (the “SEC”) called “householding.” Under this procedure, registered stockholders, who have the same address and last name and who receive paper copies of the proxy materials in the mail, will receive only one copy of our proxy materials. This consolidated method of delivery will continue unless one or more of these stockholders notifies us that they would like to receive individual copies of proxy materials. This procedure reduces our printing costs and postage fees. If a stockholder of record residing at such address wishes to receive separate proxy materials in the future, he or she may contact Howard Hughes Holdings Inc., 9950 Woodloch Forest Drive, Suite 1100, The Woodlands, Texas 77380, Attention: Investor Relations, or by calling (281) 929-7700.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5" w:type="dxa"/>
            <w:tcBorders/>
            <w:vAlign w:val="center"/>
          </w:tcPr>
          <w:p>
            <w:pPr>
              <w:pStyle w:val="TableContents"/>
              <w:bidi w:val="0"/>
              <w:spacing w:before="0" w:after="0"/>
              <w:jc w:val="left"/>
              <w:rPr/>
            </w:pPr>
            <w:r>
              <w:rPr/>
              <w:drawing>
                <wp:inline distT="0" distB="0" distL="0" distR="0">
                  <wp:extent cx="333375" cy="371475"/>
                  <wp:effectExtent l="0" t="0" r="0" b="0"/>
                  <wp:docPr id="7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8" descr=""/>
                          <pic:cNvPicPr>
                            <a:picLocks noChangeAspect="1" noChangeArrowheads="1"/>
                          </pic:cNvPicPr>
                        </pic:nvPicPr>
                        <pic:blipFill>
                          <a:blip r:embed="rId59"/>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92" w:type="dxa"/>
            <w:tcBorders/>
            <w:vAlign w:val="center"/>
          </w:tcPr>
          <w:p>
            <w:pPr>
              <w:pStyle w:val="TableContents"/>
              <w:bidi w:val="0"/>
              <w:spacing w:lineRule="atLeast" w:line="228" w:before="0" w:after="0"/>
              <w:jc w:val="left"/>
              <w:rPr/>
            </w:pPr>
            <w:r>
              <w:rPr>
                <w:spacing w:val="0"/>
              </w:rPr>
              <w:t>What can I do if I change my mind after I submit my proxy?</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5" w:type="dxa"/>
            <w:tcBorders/>
            <w:vAlign w:val="center"/>
          </w:tcPr>
          <w:p>
            <w:pPr>
              <w:pStyle w:val="TableContents"/>
              <w:bidi w:val="0"/>
              <w:spacing w:before="0" w:after="0"/>
              <w:jc w:val="left"/>
              <w:rPr/>
            </w:pPr>
            <w:r>
              <w:rPr/>
              <w:drawing>
                <wp:inline distT="0" distB="0" distL="0" distR="0">
                  <wp:extent cx="333375" cy="371475"/>
                  <wp:effectExtent l="0" t="0" r="0" b="0"/>
                  <wp:docPr id="7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9" descr=""/>
                          <pic:cNvPicPr>
                            <a:picLocks noChangeAspect="1" noChangeArrowheads="1"/>
                          </pic:cNvPicPr>
                        </pic:nvPicPr>
                        <pic:blipFill>
                          <a:blip r:embed="rId60"/>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92" w:type="dxa"/>
            <w:tcBorders/>
            <w:vAlign w:val="center"/>
          </w:tcPr>
          <w:p>
            <w:pPr>
              <w:pStyle w:val="TableContents"/>
              <w:bidi w:val="0"/>
              <w:spacing w:lineRule="atLeast" w:line="228" w:before="0" w:after="283"/>
              <w:jc w:val="left"/>
              <w:rPr/>
            </w:pPr>
            <w:r>
              <w:rPr>
                <w:spacing w:val="-1"/>
              </w:rPr>
              <w:t>If you are a stockholder of record, you can revoke your proxy at any time before it is exercised by:</w:t>
            </w:r>
            <w:r>
              <w:rPr/>
              <w:t xml:space="preserve"> </w:t>
            </w:r>
          </w:p>
          <w:p>
            <w:pPr>
              <w:pStyle w:val="TableContents"/>
              <w:bidi w:val="0"/>
              <w:spacing w:lineRule="atLeast" w:line="228" w:before="158" w:after="0"/>
              <w:ind w:left="320" w:right="0" w:hanging="0"/>
              <w:jc w:val="both"/>
              <w:rPr/>
            </w:pPr>
            <w:r>
              <w:rPr>
                <w:spacing w:val="-1"/>
              </w:rPr>
              <w:t>delivering written notice revoking your proxy to the Corporate Secretary at the Company’s address set forth above;</w:t>
            </w:r>
            <w:r>
              <w:rPr/>
              <w:t xml:space="preserve"> </w:t>
            </w:r>
            <w:r>
              <mc:AlternateContent>
                <mc:Choice Requires="wps">
                  <w:drawing>
                    <wp:anchor behindDoc="0" distT="100330" distB="0" distL="0" distR="0" simplePos="0" locked="0" layoutInCell="1" allowOverlap="1" relativeHeight="152">
                      <wp:simplePos x="0" y="0"/>
                      <wp:positionH relativeFrom="column">
                        <wp:align>left</wp:align>
                      </wp:positionH>
                      <wp:positionV relativeFrom="line">
                        <wp:align>top</wp:align>
                      </wp:positionV>
                      <wp:extent cx="203200" cy="350520"/>
                      <wp:effectExtent l="0" t="0" r="0" b="0"/>
                      <wp:wrapSquare wrapText="right"/>
                      <wp:docPr id="77" name="Frame18"/>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28"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28" w:before="0" w:after="283"/>
                              <w:jc w:val="both"/>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158" w:after="0"/>
              <w:ind w:left="320" w:right="0" w:hanging="0"/>
              <w:jc w:val="left"/>
              <w:rPr/>
            </w:pPr>
            <w:r>
              <w:rPr>
                <w:spacing w:val="-1"/>
              </w:rPr>
              <w:t>timely delivering a new, later-dated proxy using one of the methods described above; or</w:t>
            </w:r>
            <w:r>
              <w:rPr/>
              <w:t xml:space="preserve"> </w:t>
            </w:r>
            <w:r>
              <mc:AlternateContent>
                <mc:Choice Requires="wps">
                  <w:drawing>
                    <wp:anchor behindDoc="0" distT="100330" distB="0" distL="0" distR="0" simplePos="0" locked="0" layoutInCell="1" allowOverlap="1" relativeHeight="153">
                      <wp:simplePos x="0" y="0"/>
                      <wp:positionH relativeFrom="column">
                        <wp:align>left</wp:align>
                      </wp:positionH>
                      <wp:positionV relativeFrom="line">
                        <wp:align>top</wp:align>
                      </wp:positionV>
                      <wp:extent cx="203200" cy="350520"/>
                      <wp:effectExtent l="0" t="0" r="0" b="0"/>
                      <wp:wrapSquare wrapText="right"/>
                      <wp:docPr id="78" name="Frame19"/>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158" w:after="0"/>
              <w:ind w:left="320" w:right="0" w:hanging="0"/>
              <w:jc w:val="left"/>
              <w:rPr/>
            </w:pPr>
            <w:r>
              <w:rPr>
                <w:spacing w:val="-1"/>
              </w:rPr>
              <w:t>voting in person at the Annual Meeting.</w:t>
            </w:r>
            <w:r>
              <w:rPr/>
              <w:t xml:space="preserve"> </w:t>
            </w:r>
            <w:r>
              <mc:AlternateContent>
                <mc:Choice Requires="wps">
                  <w:drawing>
                    <wp:anchor behindDoc="0" distT="100330" distB="0" distL="0" distR="0" simplePos="0" locked="0" layoutInCell="1" allowOverlap="1" relativeHeight="154">
                      <wp:simplePos x="0" y="0"/>
                      <wp:positionH relativeFrom="column">
                        <wp:align>left</wp:align>
                      </wp:positionH>
                      <wp:positionV relativeFrom="line">
                        <wp:align>top</wp:align>
                      </wp:positionV>
                      <wp:extent cx="203200" cy="350520"/>
                      <wp:effectExtent l="0" t="0" r="0" b="0"/>
                      <wp:wrapSquare wrapText="right"/>
                      <wp:docPr id="79" name="Frame20"/>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7.9pt;mso-wrap-distance-bottom:0pt;margin-top:7.9pt;mso-position-vertical:top;mso-position-vertical-relative:text;margin-left:16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158" w:after="283"/>
              <w:jc w:val="both"/>
              <w:rPr>
                <w:spacing w:val="-1"/>
              </w:rPr>
            </w:pPr>
            <w:r>
              <w:rPr>
                <w:spacing w:val="-1"/>
              </w:rPr>
              <w:t xml:space="preserve">If you are a beneficial owner of shares, you may submit new voting instructions by contacting your broker, bank or other nominee. You may also vote in person at the Annual Meeting if you obtain a legal proxy from your broker, bank or other nominee.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5" w:type="dxa"/>
            <w:tcBorders/>
            <w:vAlign w:val="center"/>
          </w:tcPr>
          <w:p>
            <w:pPr>
              <w:pStyle w:val="TableContents"/>
              <w:bidi w:val="0"/>
              <w:spacing w:before="0" w:after="0"/>
              <w:jc w:val="left"/>
              <w:rPr/>
            </w:pPr>
            <w:r>
              <w:rPr/>
              <w:drawing>
                <wp:inline distT="0" distB="0" distL="0" distR="0">
                  <wp:extent cx="333375" cy="371475"/>
                  <wp:effectExtent l="0" t="0" r="0" b="0"/>
                  <wp:docPr id="8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0" descr=""/>
                          <pic:cNvPicPr>
                            <a:picLocks noChangeAspect="1" noChangeArrowheads="1"/>
                          </pic:cNvPicPr>
                        </pic:nvPicPr>
                        <pic:blipFill>
                          <a:blip r:embed="rId61"/>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92" w:type="dxa"/>
            <w:tcBorders/>
            <w:vAlign w:val="center"/>
          </w:tcPr>
          <w:p>
            <w:pPr>
              <w:pStyle w:val="TableContents"/>
              <w:bidi w:val="0"/>
              <w:spacing w:lineRule="atLeast" w:line="228" w:before="0" w:after="0"/>
              <w:jc w:val="left"/>
              <w:rPr/>
            </w:pPr>
            <w:r>
              <w:rPr>
                <w:spacing w:val="0"/>
              </w:rPr>
              <w:t>What shares are included in my proxy?</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5" w:type="dxa"/>
            <w:tcBorders/>
            <w:vAlign w:val="center"/>
          </w:tcPr>
          <w:p>
            <w:pPr>
              <w:pStyle w:val="TableContents"/>
              <w:bidi w:val="0"/>
              <w:spacing w:before="0" w:after="0"/>
              <w:jc w:val="left"/>
              <w:rPr/>
            </w:pPr>
            <w:r>
              <w:rPr/>
              <w:drawing>
                <wp:inline distT="0" distB="0" distL="0" distR="0">
                  <wp:extent cx="333375" cy="371475"/>
                  <wp:effectExtent l="0" t="0" r="0" b="0"/>
                  <wp:docPr id="8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1" descr=""/>
                          <pic:cNvPicPr>
                            <a:picLocks noChangeAspect="1" noChangeArrowheads="1"/>
                          </pic:cNvPicPr>
                        </pic:nvPicPr>
                        <pic:blipFill>
                          <a:blip r:embed="rId62"/>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92" w:type="dxa"/>
            <w:tcBorders/>
            <w:vAlign w:val="center"/>
          </w:tcPr>
          <w:p>
            <w:pPr>
              <w:pStyle w:val="TableContents"/>
              <w:bidi w:val="0"/>
              <w:spacing w:lineRule="atLeast" w:line="228" w:before="0" w:after="283"/>
              <w:jc w:val="both"/>
              <w:rPr>
                <w:spacing w:val="-1"/>
              </w:rPr>
            </w:pPr>
            <w:r>
              <w:rPr>
                <w:spacing w:val="-1"/>
              </w:rPr>
              <w:t xml:space="preserve">If you are a stockholder of record, you will receive one proxy card for all your shares that are registered in your name with the Company’s transfer agent. If you are a beneficial owner of shares, the voting instructions you receive from your broker, bank or other nominee will indicate the number of shares of Company common stock held by them on your behalf. If you received more than one proxy card or voting instruction form, then your shares are likely registered in more than one name with the Company’s transfer agent and/or held in more than one account with your broker, bank, or other nominee. Please complete, sign, date and return each proxy card and/or voting instructions to ensure that all your shares are voted.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287" w:after="283"/>
        <w:ind w:left="901" w:right="0" w:hanging="0"/>
        <w:jc w:val="both"/>
        <w:rPr>
          <w:rFonts w:ascii="Arial;Helvetica;sans-serif" w:hAnsi="Arial;Helvetica;sans-serif"/>
          <w:b/>
          <w:i w:val="false"/>
          <w:caps/>
          <w:color w:val="7F7F7F"/>
          <w:spacing w:val="-3"/>
          <w:sz w:val="25"/>
        </w:rPr>
      </w:pPr>
      <w:r>
        <w:rPr>
          <w:rFonts w:ascii="Arial;Helvetica;sans-serif" w:hAnsi="Arial;Helvetica;sans-serif"/>
          <w:b/>
          <w:i w:val="false"/>
          <w:caps/>
          <w:color w:val="7F7F7F"/>
          <w:spacing w:val="-3"/>
          <w:sz w:val="25"/>
        </w:rPr>
        <w:t xml:space="preserve">Proxy Statement for Annual Meeting of Stockholders to Be Held on </w:t>
      </w:r>
    </w:p>
    <w:p>
      <w:pPr>
        <w:pStyle w:val="TextBody"/>
        <w:bidi w:val="0"/>
        <w:spacing w:lineRule="atLeast" w:line="290" w:before="287" w:after="283"/>
        <w:jc w:val="left"/>
        <w:rPr>
          <w:rFonts w:ascii="Arial;Helvetica;sans-serif" w:hAnsi="Arial;Helvetica;sans-serif"/>
          <w:b/>
          <w:i w:val="false"/>
          <w:caps w:val="false"/>
          <w:smallCaps w:val="false"/>
          <w:color w:val="7F7F7F"/>
          <w:sz w:val="25"/>
        </w:rPr>
      </w:pPr>
      <w:r>
        <w:rPr>
          <w:rFonts w:ascii="Arial;Helvetica;sans-serif" w:hAnsi="Arial;Helvetica;sans-serif"/>
          <w:b/>
          <w:i w:val="false"/>
          <w:caps/>
          <w:color w:val="7F7F7F"/>
          <w:spacing w:val="-3"/>
          <w:sz w:val="25"/>
        </w:rPr>
        <w:t>September 30, 2026</w:t>
      </w:r>
      <w:r>
        <w:rPr>
          <w:rFonts w:ascii="Arial;Helvetica;sans-serif" w:hAnsi="Arial;Helvetica;sans-serif"/>
          <w:b/>
          <w:i w:val="false"/>
          <w:caps w:val="false"/>
          <w:smallCaps w:val="false"/>
          <w:color w:val="7F7F7F"/>
          <w:sz w:val="25"/>
        </w:rPr>
        <w:t>​</w:t>
      </w:r>
      <w:r>
        <w:rPr>
          <w:rFonts w:ascii="Arial;Helvetica;sans-serif" w:hAnsi="Arial;Helvetica;sans-serif"/>
          <w:b/>
          <w:i w:val="false"/>
          <w:caps w:val="false"/>
          <w:smallCaps w:val="false"/>
          <w:color w:val="7F7F7F"/>
          <w:spacing w:val="-3"/>
          <w:sz w:val="25"/>
        </w:rPr>
        <w:t xml:space="preserve"> </w:t>
      </w:r>
    </w:p>
    <w:tbl>
      <w:tblPr>
        <w:tblW w:w="9304" w:type="dxa"/>
        <w:jc w:val="left"/>
        <w:tblInd w:w="901" w:type="dxa"/>
        <w:tblLayout w:type="fixed"/>
        <w:tblCellMar>
          <w:top w:w="0" w:type="dxa"/>
          <w:left w:w="0" w:type="dxa"/>
          <w:bottom w:w="0" w:type="dxa"/>
          <w:right w:w="0" w:type="dxa"/>
        </w:tblCellMar>
      </w:tblPr>
      <w:tblGrid>
        <w:gridCol w:w="124"/>
        <w:gridCol w:w="615"/>
        <w:gridCol w:w="109"/>
        <w:gridCol w:w="109"/>
        <w:gridCol w:w="8192"/>
        <w:gridCol w:w="155"/>
      </w:tblGrid>
      <w:tr>
        <w:trPr/>
        <w:tc>
          <w:tcPr>
            <w:tcW w:w="124" w:type="dxa"/>
            <w:tcBorders/>
            <w:vAlign w:val="center"/>
          </w:tcPr>
          <w:p>
            <w:pPr>
              <w:pStyle w:val="TableContents"/>
              <w:bidi w:val="0"/>
              <w:spacing w:before="0" w:after="283"/>
              <w:jc w:val="left"/>
              <w:rPr/>
            </w:pPr>
            <w:r>
              <w:rPr/>
              <w:t>​</w:t>
            </w:r>
          </w:p>
        </w:tc>
        <w:tc>
          <w:tcPr>
            <w:tcW w:w="615" w:type="dxa"/>
            <w:tcBorders/>
            <w:vAlign w:val="center"/>
          </w:tcPr>
          <w:p>
            <w:pPr>
              <w:pStyle w:val="TableContents"/>
              <w:bidi w:val="0"/>
              <w:spacing w:before="0" w:after="0"/>
              <w:jc w:val="left"/>
              <w:rPr/>
            </w:pPr>
            <w:r>
              <w:rPr/>
              <w:drawing>
                <wp:inline distT="0" distB="0" distL="0" distR="0">
                  <wp:extent cx="333375" cy="371475"/>
                  <wp:effectExtent l="0" t="0" r="0" b="0"/>
                  <wp:docPr id="8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2" descr=""/>
                          <pic:cNvPicPr>
                            <a:picLocks noChangeAspect="1" noChangeArrowheads="1"/>
                          </pic:cNvPicPr>
                        </pic:nvPicPr>
                        <pic:blipFill>
                          <a:blip r:embed="rId63"/>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92" w:type="dxa"/>
            <w:tcBorders/>
            <w:vAlign w:val="center"/>
          </w:tcPr>
          <w:p>
            <w:pPr>
              <w:pStyle w:val="TableContents"/>
              <w:bidi w:val="0"/>
              <w:spacing w:lineRule="atLeast" w:line="228" w:before="0" w:after="0"/>
              <w:jc w:val="left"/>
              <w:rPr/>
            </w:pPr>
            <w:r>
              <w:rPr>
                <w:spacing w:val="0"/>
              </w:rPr>
              <w:t>What happens if I do not give specific voting instructions?</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5" w:type="dxa"/>
            <w:tcBorders/>
            <w:vAlign w:val="center"/>
          </w:tcPr>
          <w:p>
            <w:pPr>
              <w:pStyle w:val="TableContents"/>
              <w:bidi w:val="0"/>
              <w:spacing w:before="0" w:after="0"/>
              <w:jc w:val="left"/>
              <w:rPr/>
            </w:pPr>
            <w:r>
              <w:rPr/>
              <w:drawing>
                <wp:inline distT="0" distB="0" distL="0" distR="0">
                  <wp:extent cx="333375" cy="371475"/>
                  <wp:effectExtent l="0" t="0" r="0" b="0"/>
                  <wp:docPr id="8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3" descr=""/>
                          <pic:cNvPicPr>
                            <a:picLocks noChangeAspect="1" noChangeArrowheads="1"/>
                          </pic:cNvPicPr>
                        </pic:nvPicPr>
                        <pic:blipFill>
                          <a:blip r:embed="rId64"/>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92" w:type="dxa"/>
            <w:tcBorders/>
            <w:vAlign w:val="center"/>
          </w:tcPr>
          <w:p>
            <w:pPr>
              <w:pStyle w:val="TableContents"/>
              <w:bidi w:val="0"/>
              <w:spacing w:lineRule="atLeast" w:line="228" w:before="0" w:after="283"/>
              <w:jc w:val="both"/>
              <w:rPr/>
            </w:pPr>
            <w:r>
              <w:rPr>
                <w:spacing w:val="-1"/>
              </w:rPr>
              <w:t>All properly executed proxies, unless revoked as described above, will be voted at the Annual Meeting in accordance with your instructions. If a properly executed proxy gives no specific instructions, then the proxy holders will vote your shares in the manner recommended by the Board on all matters presented in this Proxy Statement and as the proxy holders may determine in their discretion with respect to any other matters properly presented for a vote at the Annual Meeting.</w:t>
            </w:r>
            <w:r>
              <w:rPr/>
              <w:t xml:space="preserve"> </w:t>
            </w:r>
          </w:p>
          <w:p>
            <w:pPr>
              <w:pStyle w:val="TableContents"/>
              <w:bidi w:val="0"/>
              <w:spacing w:lineRule="atLeast" w:line="228" w:before="120" w:after="283"/>
              <w:jc w:val="both"/>
              <w:rPr/>
            </w:pPr>
            <w:r>
              <w:rPr>
                <w:spacing w:val="-1"/>
              </w:rPr>
              <w:t>If you are a beneficial owner of shares and do not provide your broker, bank, or other nominee with specific voting instructions, then under the rules of the New York Stock Exchange (the “NYSE”), they may only vote on matters for which they have discretionary power to vote. If your broker, bank, or other nominee does not receive instructions from you on how to vote your shares and they do not have discretion to vote on the matter, then the broker, bank, or other nominee will inform the inspector of election that it does not have the authority to vote on the matter with respect to your shares.</w:t>
            </w:r>
            <w:r>
              <w:rPr/>
              <w:t xml:space="preserve"> </w:t>
            </w:r>
          </w:p>
          <w:p>
            <w:pPr>
              <w:pStyle w:val="TableContents"/>
              <w:bidi w:val="0"/>
              <w:spacing w:lineRule="atLeast" w:line="228" w:before="120" w:after="283"/>
              <w:jc w:val="both"/>
              <w:rPr>
                <w:spacing w:val="-1"/>
              </w:rPr>
            </w:pPr>
            <w:r>
              <w:rPr>
                <w:spacing w:val="-1"/>
              </w:rPr>
              <w:t xml:space="preserve">Your broker, bank or other nominee is permitted to vote on your behalf, without instructions, on ratification of the appointment of KPMG LLP as our independent registered public accounting firm for 2026. However, they will not be permitted to vote on your behalf on the election of directors; the advisory vote on executive compensation; and other matters to be considered at the Annual Meeting, unless you provide specific instructions by completing and returning a properly executed proxy or following the instructions provided to you to vote your shares. For your vote to be counted, you need to communicate your voting decisions to your broker, bank, or other nominee before the date of the Annual Meeting.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5" w:type="dxa"/>
            <w:tcBorders/>
            <w:vAlign w:val="center"/>
          </w:tcPr>
          <w:p>
            <w:pPr>
              <w:pStyle w:val="TableContents"/>
              <w:bidi w:val="0"/>
              <w:spacing w:before="0" w:after="0"/>
              <w:jc w:val="left"/>
              <w:rPr/>
            </w:pPr>
            <w:r>
              <w:rPr/>
              <w:drawing>
                <wp:inline distT="0" distB="0" distL="0" distR="0">
                  <wp:extent cx="333375" cy="371475"/>
                  <wp:effectExtent l="0" t="0" r="0" b="0"/>
                  <wp:docPr id="8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4" descr=""/>
                          <pic:cNvPicPr>
                            <a:picLocks noChangeAspect="1" noChangeArrowheads="1"/>
                          </pic:cNvPicPr>
                        </pic:nvPicPr>
                        <pic:blipFill>
                          <a:blip r:embed="rId65"/>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92" w:type="dxa"/>
            <w:tcBorders/>
            <w:vAlign w:val="center"/>
          </w:tcPr>
          <w:p>
            <w:pPr>
              <w:pStyle w:val="TableContents"/>
              <w:bidi w:val="0"/>
              <w:spacing w:lineRule="atLeast" w:line="228" w:before="0" w:after="0"/>
              <w:jc w:val="left"/>
              <w:rPr/>
            </w:pPr>
            <w:r>
              <w:rPr>
                <w:spacing w:val="0"/>
              </w:rPr>
              <w:t>What constitutes a quorum?</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5" w:type="dxa"/>
            <w:tcBorders/>
            <w:vAlign w:val="center"/>
          </w:tcPr>
          <w:p>
            <w:pPr>
              <w:pStyle w:val="TableContents"/>
              <w:bidi w:val="0"/>
              <w:spacing w:before="0" w:after="0"/>
              <w:jc w:val="left"/>
              <w:rPr/>
            </w:pPr>
            <w:r>
              <w:rPr/>
              <w:drawing>
                <wp:inline distT="0" distB="0" distL="0" distR="0">
                  <wp:extent cx="333375" cy="371475"/>
                  <wp:effectExtent l="0" t="0" r="0" b="0"/>
                  <wp:docPr id="8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5" descr=""/>
                          <pic:cNvPicPr>
                            <a:picLocks noChangeAspect="1" noChangeArrowheads="1"/>
                          </pic:cNvPicPr>
                        </pic:nvPicPr>
                        <pic:blipFill>
                          <a:blip r:embed="rId66"/>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92" w:type="dxa"/>
            <w:tcBorders/>
            <w:vAlign w:val="center"/>
          </w:tcPr>
          <w:p>
            <w:pPr>
              <w:pStyle w:val="TableContents"/>
              <w:bidi w:val="0"/>
              <w:spacing w:lineRule="atLeast" w:line="228" w:before="0" w:after="283"/>
              <w:jc w:val="both"/>
              <w:rPr/>
            </w:pPr>
            <w:r>
              <w:rPr>
                <w:spacing w:val="-1"/>
              </w:rPr>
              <w:t>A majority of the outstanding shares of common stock must be present, in person or by proxy, to constitute a quorum at the Annual Meeting.</w:t>
            </w:r>
            <w:r>
              <w:rPr/>
              <w:t xml:space="preserve"> </w:t>
            </w:r>
          </w:p>
          <w:p>
            <w:pPr>
              <w:pStyle w:val="TableContents"/>
              <w:bidi w:val="0"/>
              <w:spacing w:lineRule="atLeast" w:line="228" w:before="120" w:after="283"/>
              <w:jc w:val="both"/>
              <w:rPr>
                <w:spacing w:val="-1"/>
              </w:rPr>
            </w:pPr>
            <w:r>
              <w:rPr>
                <w:spacing w:val="-1"/>
              </w:rPr>
              <w:t xml:space="preserve">Abstentions and “broker non-votes” are counted as present and entitled to vote for purposes of determining a quorum. A “broker non-vote” occurs when a broker, bank or other nominee holding shares for a beneficial owner does not vote on a particular proposal because that holder does not have discretionary voting power for that particular matter and has not received voting instructions from the beneficial owner.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5" w:type="dxa"/>
            <w:tcBorders/>
            <w:vAlign w:val="center"/>
          </w:tcPr>
          <w:p>
            <w:pPr>
              <w:pStyle w:val="TableContents"/>
              <w:bidi w:val="0"/>
              <w:spacing w:before="0" w:after="0"/>
              <w:jc w:val="left"/>
              <w:rPr/>
            </w:pPr>
            <w:r>
              <w:rPr/>
              <w:drawing>
                <wp:inline distT="0" distB="0" distL="0" distR="0">
                  <wp:extent cx="333375" cy="371475"/>
                  <wp:effectExtent l="0" t="0" r="0" b="0"/>
                  <wp:docPr id="8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6" descr=""/>
                          <pic:cNvPicPr>
                            <a:picLocks noChangeAspect="1" noChangeArrowheads="1"/>
                          </pic:cNvPicPr>
                        </pic:nvPicPr>
                        <pic:blipFill>
                          <a:blip r:embed="rId67"/>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92" w:type="dxa"/>
            <w:tcBorders/>
            <w:vAlign w:val="center"/>
          </w:tcPr>
          <w:p>
            <w:pPr>
              <w:pStyle w:val="TableContents"/>
              <w:bidi w:val="0"/>
              <w:spacing w:lineRule="atLeast" w:line="228" w:before="0" w:after="0"/>
              <w:jc w:val="left"/>
              <w:rPr/>
            </w:pPr>
            <w:r>
              <w:rPr>
                <w:spacing w:val="0"/>
              </w:rPr>
              <w:t>Who can attend the Annual Meeting?</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5" w:type="dxa"/>
            <w:tcBorders/>
            <w:vAlign w:val="center"/>
          </w:tcPr>
          <w:p>
            <w:pPr>
              <w:pStyle w:val="TableContents"/>
              <w:bidi w:val="0"/>
              <w:spacing w:before="0" w:after="0"/>
              <w:jc w:val="left"/>
              <w:rPr/>
            </w:pPr>
            <w:r>
              <w:rPr/>
              <w:drawing>
                <wp:inline distT="0" distB="0" distL="0" distR="0">
                  <wp:extent cx="333375" cy="371475"/>
                  <wp:effectExtent l="0" t="0" r="0" b="0"/>
                  <wp:docPr id="8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7" descr=""/>
                          <pic:cNvPicPr>
                            <a:picLocks noChangeAspect="1" noChangeArrowheads="1"/>
                          </pic:cNvPicPr>
                        </pic:nvPicPr>
                        <pic:blipFill>
                          <a:blip r:embed="rId68"/>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92" w:type="dxa"/>
            <w:tcBorders/>
            <w:vAlign w:val="center"/>
          </w:tcPr>
          <w:p>
            <w:pPr>
              <w:pStyle w:val="TableContents"/>
              <w:bidi w:val="0"/>
              <w:spacing w:lineRule="atLeast" w:line="228" w:before="0" w:after="283"/>
              <w:jc w:val="both"/>
              <w:rPr>
                <w:spacing w:val="-1"/>
              </w:rPr>
            </w:pPr>
            <w:r>
              <w:rPr>
                <w:spacing w:val="-1"/>
              </w:rPr>
              <w:t xml:space="preserve">The Annual Meeting is open to all. Please note that you must register in advance and present photo identification in order to attend the Annual Meeting. Please see “How do I register for the Annual Meeting?” below for directions on how to register for the meeting.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5" w:type="dxa"/>
            <w:tcBorders/>
            <w:vAlign w:val="center"/>
          </w:tcPr>
          <w:p>
            <w:pPr>
              <w:pStyle w:val="TableContents"/>
              <w:bidi w:val="0"/>
              <w:spacing w:before="0" w:after="0"/>
              <w:jc w:val="left"/>
              <w:rPr/>
            </w:pPr>
            <w:r>
              <w:rPr/>
              <w:drawing>
                <wp:inline distT="0" distB="0" distL="0" distR="0">
                  <wp:extent cx="333375" cy="371475"/>
                  <wp:effectExtent l="0" t="0" r="0" b="0"/>
                  <wp:docPr id="8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8" descr=""/>
                          <pic:cNvPicPr>
                            <a:picLocks noChangeAspect="1" noChangeArrowheads="1"/>
                          </pic:cNvPicPr>
                        </pic:nvPicPr>
                        <pic:blipFill>
                          <a:blip r:embed="rId69"/>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92" w:type="dxa"/>
            <w:tcBorders/>
            <w:vAlign w:val="center"/>
          </w:tcPr>
          <w:p>
            <w:pPr>
              <w:pStyle w:val="TableContents"/>
              <w:bidi w:val="0"/>
              <w:spacing w:lineRule="atLeast" w:line="228" w:before="0" w:after="0"/>
              <w:jc w:val="left"/>
              <w:rPr/>
            </w:pPr>
            <w:r>
              <w:rPr>
                <w:spacing w:val="0"/>
              </w:rPr>
              <w:t>How do I register for the Annual Meeting?</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5" w:type="dxa"/>
            <w:tcBorders/>
            <w:vAlign w:val="center"/>
          </w:tcPr>
          <w:p>
            <w:pPr>
              <w:pStyle w:val="TableContents"/>
              <w:bidi w:val="0"/>
              <w:spacing w:before="0" w:after="0"/>
              <w:jc w:val="left"/>
              <w:rPr/>
            </w:pPr>
            <w:r>
              <w:rPr/>
              <w:drawing>
                <wp:inline distT="0" distB="0" distL="0" distR="0">
                  <wp:extent cx="333375" cy="371475"/>
                  <wp:effectExtent l="0" t="0" r="0" b="0"/>
                  <wp:docPr id="8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69" descr=""/>
                          <pic:cNvPicPr>
                            <a:picLocks noChangeAspect="1" noChangeArrowheads="1"/>
                          </pic:cNvPicPr>
                        </pic:nvPicPr>
                        <pic:blipFill>
                          <a:blip r:embed="rId70"/>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92" w:type="dxa"/>
            <w:tcBorders/>
            <w:vAlign w:val="center"/>
          </w:tcPr>
          <w:p>
            <w:pPr>
              <w:pStyle w:val="TableContents"/>
              <w:bidi w:val="0"/>
              <w:spacing w:lineRule="atLeast" w:line="228" w:before="0" w:after="283"/>
              <w:jc w:val="both"/>
              <w:rPr>
                <w:spacing w:val="-1"/>
              </w:rPr>
            </w:pPr>
            <w:r>
              <w:rPr>
                <w:spacing w:val="-1"/>
              </w:rPr>
              <w:t xml:space="preserve">To help ensure an orderly admission process to the Annual Meeting, all stockholders who wish to attend the Annual Meeting must register in advance. To register to attend the Annual Meeting, visit shareholdermeeting.howardhughes.com.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8 \ 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287" w:after="283"/>
        <w:ind w:left="901" w:right="0" w:hanging="0"/>
        <w:jc w:val="right"/>
        <w:rPr>
          <w:rFonts w:ascii="Arial;Helvetica;sans-serif" w:hAnsi="Arial;Helvetica;sans-serif"/>
          <w:b/>
          <w:i w:val="false"/>
          <w:caps w:val="false"/>
          <w:smallCaps w:val="false"/>
          <w:color w:val="7F7F7F"/>
          <w:sz w:val="25"/>
        </w:rPr>
      </w:pPr>
      <w:r>
        <w:rPr>
          <w:rFonts w:ascii="Arial;Helvetica;sans-serif" w:hAnsi="Arial;Helvetica;sans-serif"/>
          <w:b/>
          <w:i w:val="false"/>
          <w:caps/>
          <w:color w:val="7F7F7F"/>
          <w:spacing w:val="-3"/>
          <w:sz w:val="25"/>
        </w:rPr>
        <w:t>Proxy Statement for Annual Meeting of Stockholders to Be Held on September 30, 2026</w:t>
      </w:r>
      <w:r>
        <w:rPr>
          <w:rFonts w:ascii="Arial;Helvetica;sans-serif" w:hAnsi="Arial;Helvetica;sans-serif"/>
          <w:b/>
          <w:i w:val="false"/>
          <w:caps w:val="false"/>
          <w:smallCaps w:val="false"/>
          <w:color w:val="7F7F7F"/>
          <w:sz w:val="25"/>
        </w:rPr>
        <w:t>​</w:t>
      </w:r>
    </w:p>
    <w:tbl>
      <w:tblPr>
        <w:tblW w:w="9304" w:type="dxa"/>
        <w:jc w:val="left"/>
        <w:tblInd w:w="901" w:type="dxa"/>
        <w:tblLayout w:type="fixed"/>
        <w:tblCellMar>
          <w:top w:w="0" w:type="dxa"/>
          <w:left w:w="0" w:type="dxa"/>
          <w:bottom w:w="0" w:type="dxa"/>
          <w:right w:w="0" w:type="dxa"/>
        </w:tblCellMar>
      </w:tblPr>
      <w:tblGrid>
        <w:gridCol w:w="124"/>
        <w:gridCol w:w="632"/>
        <w:gridCol w:w="109"/>
        <w:gridCol w:w="109"/>
        <w:gridCol w:w="8175"/>
        <w:gridCol w:w="155"/>
      </w:tblGrid>
      <w:tr>
        <w:trPr/>
        <w:tc>
          <w:tcPr>
            <w:tcW w:w="124" w:type="dxa"/>
            <w:tcBorders/>
            <w:vAlign w:val="center"/>
          </w:tcPr>
          <w:p>
            <w:pPr>
              <w:pStyle w:val="TableContents"/>
              <w:bidi w:val="0"/>
              <w:spacing w:before="0" w:after="283"/>
              <w:jc w:val="left"/>
              <w:rPr/>
            </w:pPr>
            <w:r>
              <w:rPr/>
              <w:t>​</w:t>
            </w:r>
          </w:p>
        </w:tc>
        <w:tc>
          <w:tcPr>
            <w:tcW w:w="632" w:type="dxa"/>
            <w:tcBorders/>
            <w:vAlign w:val="center"/>
          </w:tcPr>
          <w:p>
            <w:pPr>
              <w:pStyle w:val="TableContents"/>
              <w:bidi w:val="0"/>
              <w:spacing w:before="0" w:after="0"/>
              <w:jc w:val="left"/>
              <w:rPr/>
            </w:pPr>
            <w:r>
              <w:rPr/>
              <w:drawing>
                <wp:inline distT="0" distB="0" distL="0" distR="0">
                  <wp:extent cx="333375" cy="371475"/>
                  <wp:effectExtent l="0" t="0" r="0" b="0"/>
                  <wp:docPr id="9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0" descr=""/>
                          <pic:cNvPicPr>
                            <a:picLocks noChangeAspect="1" noChangeArrowheads="1"/>
                          </pic:cNvPicPr>
                        </pic:nvPicPr>
                        <pic:blipFill>
                          <a:blip r:embed="rId71"/>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75" w:type="dxa"/>
            <w:tcBorders/>
            <w:tcMar>
              <w:top w:w="28" w:type="dxa"/>
              <w:left w:w="28" w:type="dxa"/>
              <w:bottom w:w="28" w:type="dxa"/>
              <w:right w:w="28" w:type="dxa"/>
            </w:tcMar>
            <w:vAlign w:val="center"/>
          </w:tcPr>
          <w:p>
            <w:pPr>
              <w:pStyle w:val="TableContents"/>
              <w:bidi w:val="0"/>
              <w:spacing w:lineRule="atLeast" w:line="228" w:before="0" w:after="0"/>
              <w:jc w:val="both"/>
              <w:rPr/>
            </w:pPr>
            <w:r>
              <w:rPr>
                <w:spacing w:val="0"/>
              </w:rPr>
              <w:t>What will the stockholders vote on at the Annual Meeting, what are the voting requirements for each of the matters to be voted on at the Annual Meeting, and what are the Board’s voting recommendations?</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2" w:type="dxa"/>
            <w:tcBorders/>
            <w:vAlign w:val="center"/>
          </w:tcPr>
          <w:p>
            <w:pPr>
              <w:pStyle w:val="TableContents"/>
              <w:bidi w:val="0"/>
              <w:spacing w:before="0" w:after="0"/>
              <w:jc w:val="left"/>
              <w:rPr/>
            </w:pPr>
            <w:r>
              <w:rPr/>
              <w:drawing>
                <wp:inline distT="0" distB="0" distL="0" distR="0">
                  <wp:extent cx="333375" cy="371475"/>
                  <wp:effectExtent l="0" t="0" r="0" b="0"/>
                  <wp:docPr id="9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1" descr=""/>
                          <pic:cNvPicPr>
                            <a:picLocks noChangeAspect="1" noChangeArrowheads="1"/>
                          </pic:cNvPicPr>
                        </pic:nvPicPr>
                        <pic:blipFill>
                          <a:blip r:embed="rId72"/>
                          <a:stretch>
                            <a:fillRect/>
                          </a:stretch>
                        </pic:blipFill>
                        <pic:spPr bwMode="auto">
                          <a:xfrm>
                            <a:off x="0" y="0"/>
                            <a:ext cx="3333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75"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tbl>
      <w:tblPr>
        <w:tblW w:w="9304" w:type="dxa"/>
        <w:jc w:val="left"/>
        <w:tblInd w:w="901" w:type="dxa"/>
        <w:tblLayout w:type="fixed"/>
        <w:tblCellMar>
          <w:top w:w="0" w:type="dxa"/>
          <w:left w:w="0" w:type="dxa"/>
          <w:bottom w:w="0" w:type="dxa"/>
          <w:right w:w="0" w:type="dxa"/>
        </w:tblCellMar>
      </w:tblPr>
      <w:tblGrid>
        <w:gridCol w:w="124"/>
        <w:gridCol w:w="333"/>
        <w:gridCol w:w="109"/>
        <w:gridCol w:w="109"/>
        <w:gridCol w:w="1596"/>
        <w:gridCol w:w="109"/>
        <w:gridCol w:w="109"/>
        <w:gridCol w:w="1448"/>
        <w:gridCol w:w="109"/>
        <w:gridCol w:w="109"/>
        <w:gridCol w:w="1382"/>
        <w:gridCol w:w="109"/>
        <w:gridCol w:w="109"/>
        <w:gridCol w:w="1403"/>
        <w:gridCol w:w="109"/>
        <w:gridCol w:w="109"/>
        <w:gridCol w:w="1772"/>
        <w:gridCol w:w="156"/>
      </w:tblGrid>
      <w:tr>
        <w:trPr/>
        <w:tc>
          <w:tcPr>
            <w:tcW w:w="124" w:type="dxa"/>
            <w:tcBorders/>
            <w:shd w:fill="BAD8EA" w:val="clear"/>
            <w:vAlign w:val="center"/>
          </w:tcPr>
          <w:p>
            <w:pPr>
              <w:pStyle w:val="TableContents"/>
              <w:bidi w:val="0"/>
              <w:spacing w:before="0" w:after="283"/>
              <w:jc w:val="left"/>
              <w:rPr/>
            </w:pPr>
            <w:r>
              <w:rPr/>
              <w:t>​</w:t>
            </w:r>
          </w:p>
        </w:tc>
        <w:tc>
          <w:tcPr>
            <w:tcW w:w="2147" w:type="dxa"/>
            <w:gridSpan w:val="4"/>
            <w:tcBorders/>
            <w:shd w:fill="BAD8EA" w:val="clear"/>
            <w:vAlign w:val="center"/>
          </w:tcPr>
          <w:p>
            <w:pPr>
              <w:pStyle w:val="TableContents"/>
              <w:bidi w:val="0"/>
              <w:spacing w:before="0" w:after="0"/>
              <w:jc w:val="left"/>
              <w:rPr>
                <w:spacing w:val="0"/>
              </w:rPr>
            </w:pPr>
            <w:r>
              <w:rPr>
                <w:spacing w:val="0"/>
              </w:rPr>
              <w:t xml:space="preserve">Proposal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448" w:type="dxa"/>
            <w:tcBorders/>
            <w:shd w:fill="BAD8EA" w:val="clear"/>
            <w:vAlign w:val="center"/>
          </w:tcPr>
          <w:p>
            <w:pPr>
              <w:pStyle w:val="TableContents"/>
              <w:bidi w:val="0"/>
              <w:spacing w:before="0" w:after="0"/>
              <w:jc w:val="center"/>
              <w:rPr>
                <w:spacing w:val="0"/>
              </w:rPr>
            </w:pPr>
            <w:r>
              <w:rPr>
                <w:spacing w:val="0"/>
              </w:rPr>
              <w:t xml:space="preserve">Vote Necessary to </w:t>
              <w:br/>
              <w:t xml:space="preserve">Approve Proposal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382" w:type="dxa"/>
            <w:tcBorders/>
            <w:shd w:fill="BAD8EA" w:val="clear"/>
            <w:vAlign w:val="center"/>
          </w:tcPr>
          <w:p>
            <w:pPr>
              <w:pStyle w:val="TableContents"/>
              <w:bidi w:val="0"/>
              <w:spacing w:before="0" w:after="0"/>
              <w:jc w:val="center"/>
              <w:rPr>
                <w:spacing w:val="0"/>
              </w:rPr>
            </w:pPr>
            <w:r>
              <w:rPr>
                <w:spacing w:val="0"/>
              </w:rPr>
              <w:t xml:space="preserve">Broker </w:t>
              <w:br/>
              <w:t xml:space="preserve">Discretionary </w:t>
              <w:br/>
              <w:t xml:space="preserve">Voting </w:t>
              <w:br/>
              <w:t xml:space="preserve">Allowed?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403" w:type="dxa"/>
            <w:tcBorders/>
            <w:shd w:fill="BAD8EA" w:val="clear"/>
            <w:vAlign w:val="center"/>
          </w:tcPr>
          <w:p>
            <w:pPr>
              <w:pStyle w:val="TableContents"/>
              <w:bidi w:val="0"/>
              <w:spacing w:before="0" w:after="0"/>
              <w:jc w:val="center"/>
              <w:rPr>
                <w:spacing w:val="0"/>
              </w:rPr>
            </w:pPr>
            <w:r>
              <w:rPr>
                <w:spacing w:val="0"/>
              </w:rPr>
              <w:t xml:space="preserve">Treatment of </w:t>
              <w:br/>
              <w:t xml:space="preserve">Abstentions and </w:t>
              <w:br/>
              <w:t xml:space="preserve">Broker </w:t>
              <w:br/>
              <w:t xml:space="preserve">Non-Votes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772" w:type="dxa"/>
            <w:tcBorders/>
            <w:shd w:fill="BAD8EA" w:val="clear"/>
            <w:vAlign w:val="center"/>
          </w:tcPr>
          <w:p>
            <w:pPr>
              <w:pStyle w:val="TableContents"/>
              <w:bidi w:val="0"/>
              <w:spacing w:before="0" w:after="0"/>
              <w:jc w:val="center"/>
              <w:rPr>
                <w:spacing w:val="0"/>
              </w:rPr>
            </w:pPr>
            <w:r>
              <w:rPr>
                <w:spacing w:val="0"/>
              </w:rPr>
              <w:t xml:space="preserve">Board </w:t>
              <w:br/>
              <w:t xml:space="preserve">Recommendation </w:t>
            </w:r>
          </w:p>
        </w:tc>
        <w:tc>
          <w:tcPr>
            <w:tcW w:w="156" w:type="dxa"/>
            <w:tcBorders/>
            <w:vAlign w:val="center"/>
          </w:tcPr>
          <w:p>
            <w:pPr>
              <w:pStyle w:val="TableContents"/>
              <w:bidi w:val="0"/>
              <w:spacing w:before="0" w:after="283"/>
              <w:jc w:val="left"/>
              <w:rPr/>
            </w:pPr>
            <w:r>
              <w:rPr/>
              <w:t>​</w:t>
            </w:r>
          </w:p>
        </w:tc>
      </w:tr>
      <w:tr>
        <w:trPr/>
        <w:tc>
          <w:tcPr>
            <w:tcW w:w="124" w:type="dxa"/>
            <w:tcBorders>
              <w:bottom w:val="single" w:sz="2" w:space="0" w:color="2E2925"/>
            </w:tcBorders>
            <w:tcMar>
              <w:bottom w:w="28" w:type="dxa"/>
            </w:tcMar>
            <w:vAlign w:val="center"/>
          </w:tcPr>
          <w:p>
            <w:pPr>
              <w:pStyle w:val="TableContents"/>
              <w:bidi w:val="0"/>
              <w:spacing w:before="0" w:after="283"/>
              <w:jc w:val="left"/>
              <w:rPr/>
            </w:pPr>
            <w:r>
              <w:rPr/>
              <w:t>​</w:t>
            </w:r>
          </w:p>
        </w:tc>
        <w:tc>
          <w:tcPr>
            <w:tcW w:w="333" w:type="dxa"/>
            <w:tcBorders>
              <w:bottom w:val="single" w:sz="2" w:space="0" w:color="2E2925"/>
            </w:tcBorders>
            <w:tcMar>
              <w:bottom w:w="28" w:type="dxa"/>
            </w:tcMar>
            <w:vAlign w:val="center"/>
          </w:tcPr>
          <w:p>
            <w:pPr>
              <w:pStyle w:val="TableContents"/>
              <w:bidi w:val="0"/>
              <w:spacing w:before="0" w:after="0"/>
              <w:jc w:val="left"/>
              <w:rPr>
                <w:b/>
                <w:color w:val="2E2925"/>
                <w:sz w:val="44"/>
              </w:rPr>
            </w:pPr>
            <w:r>
              <w:rPr>
                <w:b/>
                <w:color w:val="2E2925"/>
                <w:spacing w:val="-6"/>
                <w:sz w:val="44"/>
              </w:rPr>
              <w:t>1</w:t>
            </w:r>
            <w:r>
              <w:rPr>
                <w:b/>
                <w:color w:val="2E2925"/>
                <w:sz w:val="44"/>
              </w:rPr>
              <w:t xml:space="preserve"> </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596" w:type="dxa"/>
            <w:tcBorders>
              <w:bottom w:val="single" w:sz="2" w:space="0" w:color="2E2925"/>
            </w:tcBorders>
            <w:tcMar>
              <w:bottom w:w="28" w:type="dxa"/>
            </w:tcMar>
            <w:vAlign w:val="center"/>
          </w:tcPr>
          <w:p>
            <w:pPr>
              <w:pStyle w:val="TableContents"/>
              <w:bidi w:val="0"/>
              <w:spacing w:lineRule="atLeast" w:line="192" w:before="0" w:after="0"/>
              <w:jc w:val="left"/>
              <w:rPr>
                <w:spacing w:val="-1"/>
              </w:rPr>
            </w:pPr>
            <w:r>
              <w:rPr>
                <w:spacing w:val="-1"/>
              </w:rPr>
              <w:t xml:space="preserve">Election of directors </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448" w:type="dxa"/>
            <w:tcBorders>
              <w:bottom w:val="single" w:sz="2" w:space="0" w:color="2E2925"/>
            </w:tcBorders>
            <w:tcMar>
              <w:bottom w:w="28" w:type="dxa"/>
            </w:tcMar>
            <w:vAlign w:val="center"/>
          </w:tcPr>
          <w:p>
            <w:pPr>
              <w:pStyle w:val="TableContents"/>
              <w:bidi w:val="0"/>
              <w:spacing w:lineRule="atLeast" w:line="192" w:before="0" w:after="0"/>
              <w:jc w:val="both"/>
              <w:rPr>
                <w:spacing w:val="-1"/>
              </w:rPr>
            </w:pPr>
            <w:r>
              <w:rPr>
                <w:spacing w:val="-1"/>
              </w:rPr>
              <w:t xml:space="preserve">Each director nominee must receive the affirmative vote of a majority of the votes cast with respect to the nominee, excluding abstentions </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382" w:type="dxa"/>
            <w:tcBorders>
              <w:bottom w:val="single" w:sz="2" w:space="0" w:color="2E2925"/>
            </w:tcBorders>
            <w:tcMar>
              <w:bottom w:w="28" w:type="dxa"/>
            </w:tcMar>
            <w:vAlign w:val="center"/>
          </w:tcPr>
          <w:p>
            <w:pPr>
              <w:pStyle w:val="TableContents"/>
              <w:bidi w:val="0"/>
              <w:spacing w:lineRule="atLeast" w:line="192" w:before="0" w:after="0"/>
              <w:jc w:val="center"/>
              <w:rPr>
                <w:spacing w:val="-1"/>
              </w:rPr>
            </w:pPr>
            <w:r>
              <w:rPr>
                <w:spacing w:val="-1"/>
              </w:rPr>
              <w:t xml:space="preserve">No </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403" w:type="dxa"/>
            <w:tcBorders>
              <w:bottom w:val="single" w:sz="2" w:space="0" w:color="2E2925"/>
            </w:tcBorders>
            <w:tcMar>
              <w:bottom w:w="28" w:type="dxa"/>
            </w:tcMar>
            <w:vAlign w:val="center"/>
          </w:tcPr>
          <w:p>
            <w:pPr>
              <w:pStyle w:val="TableContents"/>
              <w:bidi w:val="0"/>
              <w:spacing w:lineRule="atLeast" w:line="192" w:before="0" w:after="0"/>
              <w:jc w:val="left"/>
              <w:rPr>
                <w:spacing w:val="-1"/>
              </w:rPr>
            </w:pPr>
            <w:r>
              <w:rPr>
                <w:spacing w:val="-1"/>
              </w:rPr>
              <w:t xml:space="preserve">No effect </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772" w:type="dxa"/>
            <w:tcBorders>
              <w:bottom w:val="single" w:sz="2" w:space="0" w:color="2E2925"/>
            </w:tcBorders>
            <w:tcMar>
              <w:bottom w:w="28" w:type="dxa"/>
            </w:tcMar>
            <w:vAlign w:val="center"/>
          </w:tcPr>
          <w:p>
            <w:pPr>
              <w:pStyle w:val="TableContents"/>
              <w:bidi w:val="0"/>
              <w:spacing w:lineRule="atLeast" w:line="160" w:before="0" w:after="0"/>
              <w:jc w:val="center"/>
              <w:rPr>
                <w:color w:val="2E2925"/>
              </w:rPr>
            </w:pPr>
            <w:r>
              <w:rPr>
                <w:color w:val="000000"/>
                <w:spacing w:val="-2"/>
              </w:rPr>
              <w:t>✓</w:t>
            </w:r>
            <w:r>
              <w:rPr>
                <w:color w:val="000000"/>
                <w:spacing w:val="-1"/>
              </w:rPr>
              <w:t> </w:t>
            </w:r>
            <w:r>
              <w:rPr>
                <w:color w:val="2E2925"/>
                <w:spacing w:val="-1"/>
              </w:rPr>
              <w:t>FOR</w:t>
            </w:r>
            <w:r>
              <w:rPr>
                <w:color w:val="2E2925"/>
              </w:rPr>
              <w:t xml:space="preserve"> </w:t>
              <w:br/>
            </w:r>
            <w:r>
              <w:rPr>
                <w:color w:val="2E2925"/>
                <w:spacing w:val="-1"/>
              </w:rPr>
              <w:t xml:space="preserve">each director </w:t>
              <w:br/>
              <w:t xml:space="preserve">nominee </w:t>
            </w:r>
          </w:p>
        </w:tc>
        <w:tc>
          <w:tcPr>
            <w:tcW w:w="156" w:type="dxa"/>
            <w:tcBorders>
              <w:bottom w:val="single" w:sz="2" w:space="0" w:color="2E2925"/>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2E2925"/>
            </w:tcBorders>
            <w:tcMar>
              <w:bottom w:w="28" w:type="dxa"/>
            </w:tcMar>
            <w:vAlign w:val="center"/>
          </w:tcPr>
          <w:p>
            <w:pPr>
              <w:pStyle w:val="TableContents"/>
              <w:bidi w:val="0"/>
              <w:spacing w:before="0" w:after="283"/>
              <w:jc w:val="left"/>
              <w:rPr/>
            </w:pPr>
            <w:r>
              <w:rPr/>
              <w:t>​</w:t>
            </w:r>
          </w:p>
        </w:tc>
        <w:tc>
          <w:tcPr>
            <w:tcW w:w="333" w:type="dxa"/>
            <w:tcBorders>
              <w:bottom w:val="single" w:sz="2" w:space="0" w:color="2E2925"/>
            </w:tcBorders>
            <w:tcMar>
              <w:bottom w:w="28" w:type="dxa"/>
            </w:tcMar>
            <w:vAlign w:val="center"/>
          </w:tcPr>
          <w:p>
            <w:pPr>
              <w:pStyle w:val="TableContents"/>
              <w:bidi w:val="0"/>
              <w:spacing w:before="0" w:after="0"/>
              <w:jc w:val="left"/>
              <w:rPr>
                <w:b/>
                <w:color w:val="2E2925"/>
                <w:sz w:val="44"/>
              </w:rPr>
            </w:pPr>
            <w:r>
              <w:rPr>
                <w:b/>
                <w:color w:val="2E2925"/>
                <w:spacing w:val="-6"/>
                <w:sz w:val="44"/>
              </w:rPr>
              <w:t>2</w:t>
            </w:r>
            <w:r>
              <w:rPr>
                <w:b/>
                <w:color w:val="2E2925"/>
                <w:sz w:val="44"/>
              </w:rPr>
              <w:t xml:space="preserve"> </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596" w:type="dxa"/>
            <w:tcBorders>
              <w:bottom w:val="single" w:sz="2" w:space="0" w:color="2E2925"/>
            </w:tcBorders>
            <w:tcMar>
              <w:bottom w:w="28" w:type="dxa"/>
            </w:tcMar>
            <w:vAlign w:val="center"/>
          </w:tcPr>
          <w:p>
            <w:pPr>
              <w:pStyle w:val="TableContents"/>
              <w:bidi w:val="0"/>
              <w:spacing w:lineRule="atLeast" w:line="192" w:before="0" w:after="0"/>
              <w:jc w:val="both"/>
              <w:rPr>
                <w:spacing w:val="-1"/>
              </w:rPr>
            </w:pPr>
            <w:r>
              <w:rPr>
                <w:spacing w:val="-1"/>
              </w:rPr>
              <w:t xml:space="preserve">Advisory (non-binding) vote to approve executive compensation (Say-on-Pay) </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448" w:type="dxa"/>
            <w:tcBorders>
              <w:bottom w:val="single" w:sz="2" w:space="0" w:color="2E2925"/>
            </w:tcBorders>
            <w:tcMar>
              <w:bottom w:w="28" w:type="dxa"/>
            </w:tcMar>
            <w:vAlign w:val="center"/>
          </w:tcPr>
          <w:p>
            <w:pPr>
              <w:pStyle w:val="TableContents"/>
              <w:bidi w:val="0"/>
              <w:spacing w:lineRule="atLeast" w:line="192" w:before="0" w:after="0"/>
              <w:jc w:val="both"/>
              <w:rPr>
                <w:spacing w:val="-1"/>
              </w:rPr>
            </w:pPr>
            <w:r>
              <w:rPr>
                <w:spacing w:val="-1"/>
              </w:rPr>
              <w:t xml:space="preserve">Affirmative vote of a majority of the shares present, in person or by proxy, at the Annual Meeting and entitled to vote on the matter </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382" w:type="dxa"/>
            <w:tcBorders>
              <w:bottom w:val="single" w:sz="2" w:space="0" w:color="2E2925"/>
            </w:tcBorders>
            <w:tcMar>
              <w:bottom w:w="28" w:type="dxa"/>
            </w:tcMar>
            <w:vAlign w:val="center"/>
          </w:tcPr>
          <w:p>
            <w:pPr>
              <w:pStyle w:val="TableContents"/>
              <w:bidi w:val="0"/>
              <w:spacing w:lineRule="atLeast" w:line="192" w:before="0" w:after="0"/>
              <w:jc w:val="center"/>
              <w:rPr>
                <w:spacing w:val="-1"/>
              </w:rPr>
            </w:pPr>
            <w:r>
              <w:rPr>
                <w:spacing w:val="-1"/>
              </w:rPr>
              <w:t xml:space="preserve">No </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403" w:type="dxa"/>
            <w:tcBorders>
              <w:bottom w:val="single" w:sz="2" w:space="0" w:color="2E2925"/>
            </w:tcBorders>
            <w:tcMar>
              <w:bottom w:w="28" w:type="dxa"/>
            </w:tcMar>
            <w:vAlign w:val="center"/>
          </w:tcPr>
          <w:p>
            <w:pPr>
              <w:pStyle w:val="TableContents"/>
              <w:bidi w:val="0"/>
              <w:spacing w:lineRule="atLeast" w:line="192" w:before="0" w:after="0"/>
              <w:jc w:val="both"/>
              <w:rPr>
                <w:spacing w:val="-1"/>
              </w:rPr>
            </w:pPr>
            <w:r>
              <w:rPr>
                <w:spacing w:val="-1"/>
              </w:rPr>
              <w:t xml:space="preserve">Abstentions have the effect of a vote cast against the matter and broker non-votes have no effect </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772" w:type="dxa"/>
            <w:tcBorders>
              <w:bottom w:val="single" w:sz="2" w:space="0" w:color="2E2925"/>
            </w:tcBorders>
            <w:tcMar>
              <w:bottom w:w="28" w:type="dxa"/>
            </w:tcMar>
            <w:vAlign w:val="center"/>
          </w:tcPr>
          <w:p>
            <w:pPr>
              <w:pStyle w:val="TableContents"/>
              <w:bidi w:val="0"/>
              <w:spacing w:before="0" w:after="0"/>
              <w:jc w:val="center"/>
              <w:rPr/>
            </w:pPr>
            <w:r>
              <w:rPr>
                <w:spacing w:val="-2"/>
              </w:rPr>
              <w:t>✓</w:t>
            </w:r>
            <w:r>
              <w:rPr>
                <w:spacing w:val="-1"/>
              </w:rPr>
              <w:t> </w:t>
            </w:r>
            <w:r>
              <w:rPr>
                <w:color w:val="2E2925"/>
                <w:spacing w:val="-1"/>
              </w:rPr>
              <w:t>FOR</w:t>
            </w:r>
            <w:r>
              <w:rPr/>
              <w:t xml:space="preserve"> </w:t>
            </w:r>
          </w:p>
        </w:tc>
        <w:tc>
          <w:tcPr>
            <w:tcW w:w="156" w:type="dxa"/>
            <w:tcBorders>
              <w:bottom w:val="single" w:sz="2" w:space="0" w:color="2E2925"/>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2E2925"/>
            </w:tcBorders>
            <w:tcMar>
              <w:bottom w:w="28" w:type="dxa"/>
            </w:tcMar>
            <w:vAlign w:val="center"/>
          </w:tcPr>
          <w:p>
            <w:pPr>
              <w:pStyle w:val="TableContents"/>
              <w:bidi w:val="0"/>
              <w:spacing w:before="0" w:after="283"/>
              <w:jc w:val="left"/>
              <w:rPr/>
            </w:pPr>
            <w:r>
              <w:rPr/>
              <w:t>​</w:t>
            </w:r>
          </w:p>
        </w:tc>
        <w:tc>
          <w:tcPr>
            <w:tcW w:w="333" w:type="dxa"/>
            <w:tcBorders>
              <w:bottom w:val="single" w:sz="2" w:space="0" w:color="2E2925"/>
            </w:tcBorders>
            <w:tcMar>
              <w:bottom w:w="42" w:type="dxa"/>
            </w:tcMar>
            <w:vAlign w:val="center"/>
          </w:tcPr>
          <w:p>
            <w:pPr>
              <w:pStyle w:val="TableContents"/>
              <w:bidi w:val="0"/>
              <w:spacing w:before="0" w:after="0"/>
              <w:jc w:val="left"/>
              <w:rPr>
                <w:b/>
                <w:color w:val="2E2925"/>
                <w:sz w:val="44"/>
              </w:rPr>
            </w:pPr>
            <w:r>
              <w:rPr>
                <w:b/>
                <w:color w:val="2E2925"/>
                <w:spacing w:val="-6"/>
                <w:sz w:val="44"/>
              </w:rPr>
              <w:t>3</w:t>
            </w:r>
            <w:r>
              <w:rPr>
                <w:b/>
                <w:color w:val="2E2925"/>
                <w:sz w:val="44"/>
              </w:rPr>
              <w:t xml:space="preserve"> </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596" w:type="dxa"/>
            <w:tcBorders>
              <w:bottom w:val="single" w:sz="2" w:space="0" w:color="2E2925"/>
            </w:tcBorders>
            <w:tcMar>
              <w:bottom w:w="42" w:type="dxa"/>
            </w:tcMar>
            <w:vAlign w:val="center"/>
          </w:tcPr>
          <w:p>
            <w:pPr>
              <w:pStyle w:val="TableContents"/>
              <w:bidi w:val="0"/>
              <w:spacing w:lineRule="atLeast" w:line="192" w:before="0" w:after="0"/>
              <w:jc w:val="both"/>
              <w:rPr>
                <w:spacing w:val="-1"/>
              </w:rPr>
            </w:pPr>
            <w:r>
              <w:rPr>
                <w:spacing w:val="-1"/>
              </w:rPr>
              <w:t xml:space="preserve">Ratification of the appointment of KPMG LLP as our independent registered public accounting firm for 2026 </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448" w:type="dxa"/>
            <w:tcBorders>
              <w:bottom w:val="single" w:sz="2" w:space="0" w:color="2E2925"/>
            </w:tcBorders>
            <w:tcMar>
              <w:bottom w:w="42" w:type="dxa"/>
            </w:tcMar>
            <w:vAlign w:val="center"/>
          </w:tcPr>
          <w:p>
            <w:pPr>
              <w:pStyle w:val="TableContents"/>
              <w:bidi w:val="0"/>
              <w:spacing w:lineRule="atLeast" w:line="192" w:before="0" w:after="0"/>
              <w:jc w:val="both"/>
              <w:rPr>
                <w:spacing w:val="-1"/>
              </w:rPr>
            </w:pPr>
            <w:r>
              <w:rPr>
                <w:spacing w:val="-1"/>
              </w:rPr>
              <w:t xml:space="preserve">Affirmative vote of a majority of the votes cast </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382" w:type="dxa"/>
            <w:tcBorders>
              <w:bottom w:val="single" w:sz="2" w:space="0" w:color="2E2925"/>
            </w:tcBorders>
            <w:tcMar>
              <w:bottom w:w="42" w:type="dxa"/>
            </w:tcMar>
            <w:vAlign w:val="center"/>
          </w:tcPr>
          <w:p>
            <w:pPr>
              <w:pStyle w:val="TableContents"/>
              <w:bidi w:val="0"/>
              <w:spacing w:lineRule="atLeast" w:line="192" w:before="0" w:after="0"/>
              <w:jc w:val="center"/>
              <w:rPr>
                <w:spacing w:val="-1"/>
              </w:rPr>
            </w:pPr>
            <w:r>
              <w:rPr>
                <w:spacing w:val="-1"/>
              </w:rPr>
              <w:t xml:space="preserve">Yes </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403" w:type="dxa"/>
            <w:tcBorders>
              <w:bottom w:val="single" w:sz="2" w:space="0" w:color="2E2925"/>
            </w:tcBorders>
            <w:tcMar>
              <w:bottom w:w="42" w:type="dxa"/>
            </w:tcMar>
            <w:vAlign w:val="center"/>
          </w:tcPr>
          <w:p>
            <w:pPr>
              <w:pStyle w:val="TableContents"/>
              <w:bidi w:val="0"/>
              <w:spacing w:lineRule="atLeast" w:line="192" w:before="0" w:after="0"/>
              <w:jc w:val="left"/>
              <w:rPr>
                <w:spacing w:val="-1"/>
              </w:rPr>
            </w:pPr>
            <w:r>
              <w:rPr>
                <w:spacing w:val="-1"/>
              </w:rPr>
              <w:t xml:space="preserve">No effect </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09" w:type="dxa"/>
            <w:tcBorders>
              <w:bottom w:val="single" w:sz="2" w:space="0" w:color="2E2925"/>
            </w:tcBorders>
            <w:tcMar>
              <w:bottom w:w="28" w:type="dxa"/>
            </w:tcMar>
            <w:vAlign w:val="center"/>
          </w:tcPr>
          <w:p>
            <w:pPr>
              <w:pStyle w:val="TableContents"/>
              <w:bidi w:val="0"/>
              <w:spacing w:before="0" w:after="283"/>
              <w:jc w:val="left"/>
              <w:rPr/>
            </w:pPr>
            <w:r>
              <w:rPr/>
              <w:t>​</w:t>
            </w:r>
          </w:p>
        </w:tc>
        <w:tc>
          <w:tcPr>
            <w:tcW w:w="1772" w:type="dxa"/>
            <w:tcBorders>
              <w:bottom w:val="single" w:sz="2" w:space="0" w:color="2E2925"/>
            </w:tcBorders>
            <w:tcMar>
              <w:bottom w:w="42" w:type="dxa"/>
            </w:tcMar>
            <w:vAlign w:val="center"/>
          </w:tcPr>
          <w:p>
            <w:pPr>
              <w:pStyle w:val="TableContents"/>
              <w:bidi w:val="0"/>
              <w:spacing w:lineRule="atLeast" w:line="160" w:before="0" w:after="0"/>
              <w:jc w:val="center"/>
              <w:rPr/>
            </w:pPr>
            <w:r>
              <w:rPr>
                <w:spacing w:val="-2"/>
              </w:rPr>
              <w:t>✓</w:t>
            </w:r>
            <w:r>
              <w:rPr>
                <w:spacing w:val="-1"/>
              </w:rPr>
              <w:t> </w:t>
            </w:r>
            <w:r>
              <w:rPr>
                <w:color w:val="2E2925"/>
                <w:spacing w:val="-1"/>
              </w:rPr>
              <w:t>FOR</w:t>
            </w:r>
            <w:r>
              <w:rPr/>
              <w:t xml:space="preserve"> </w:t>
            </w:r>
          </w:p>
        </w:tc>
        <w:tc>
          <w:tcPr>
            <w:tcW w:w="156" w:type="dxa"/>
            <w:tcBorders>
              <w:bottom w:val="single" w:sz="2" w:space="0" w:color="2E2925"/>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MRTC"/>
      <w:bookmarkEnd w:id="12"/>
      <w:r>
        <w:rPr>
          <w:rFonts w:ascii="calibri;arial;sans-serif" w:hAnsi="calibri;arial;sans-serif"/>
          <w:b w:val="false"/>
          <w:i w:val="false"/>
          <w:caps w:val="false"/>
          <w:smallCaps w:val="false"/>
          <w:color w:val="000000"/>
          <w:sz w:val="16"/>
        </w:rPr>
        <w:t>​</w:t>
      </w:r>
      <w:bookmarkStart w:id="13" w:name="tCOGO"/>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490" w:before="200" w:after="160"/>
        <w:ind w:left="800" w:right="0" w:hanging="0"/>
        <w:jc w:val="left"/>
        <w:rPr>
          <w:caps w:val="false"/>
          <w:smallCaps w:val="false"/>
          <w:color w:val="000000"/>
        </w:rPr>
      </w:pPr>
      <w:r>
        <w:rPr>
          <w:caps w:val="false"/>
          <w:smallCaps w:val="false"/>
          <w:color w:val="000000"/>
          <w:spacing w:val="-6"/>
        </w:rPr>
        <w:t xml:space="preserve">  </w:t>
      </w:r>
      <w:r>
        <w:rPr>
          <w:rFonts w:ascii="Arial;Helvetica;sans-serif" w:hAnsi="Arial;Helvetica;sans-serif"/>
          <w:b/>
          <w:i w:val="false"/>
          <w:caps w:val="false"/>
          <w:smallCaps w:val="false"/>
          <w:color w:val="000000"/>
          <w:sz w:val="44"/>
        </w:rPr>
        <w:br/>
      </w:r>
      <w:r>
        <w:rPr>
          <w:rFonts w:ascii="Arial;Helvetica;sans-serif" w:hAnsi="Arial;Helvetica;sans-serif"/>
          <w:b/>
          <w:i w:val="false"/>
          <w:caps w:val="false"/>
          <w:smallCaps w:val="false"/>
          <w:color w:val="000000"/>
          <w:spacing w:val="-1"/>
          <w:sz w:val="44"/>
        </w:rPr>
        <w:t xml:space="preserve">Matters Related to Corporate Governance, </w:t>
        <w:br/>
        <w:t xml:space="preserve">Board Structure, Director Compensation and </w:t>
        <w:br/>
        <w:t>Stock Ownership</w:t>
      </w:r>
      <w:r>
        <w:rPr>
          <w:rFonts w:ascii="Arial;Helvetica;sans-serif" w:hAnsi="Arial;Helvetica;sans-serif"/>
          <w:b/>
          <w:i w:val="false"/>
          <w:caps w:val="false"/>
          <w:smallCaps w:val="false"/>
          <w:color w:val="000000"/>
          <w:spacing w:val="9"/>
          <w:sz w:val="44"/>
        </w:rPr>
        <w:t xml:space="preserve"> </w:t>
      </w:r>
    </w:p>
    <w:p>
      <w:pPr>
        <w:pStyle w:val="TextBody"/>
        <w:bidi w:val="0"/>
        <w:spacing w:lineRule="atLeast" w:line="340" w:before="240" w:after="283"/>
        <w:ind w:left="900"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CORPORATE GOVERNANCE</w:t>
      </w:r>
      <w:r>
        <w:rPr>
          <w:rFonts w:ascii="Arial;Helvetica;sans-serif" w:hAnsi="Arial;Helvetica;sans-serif"/>
          <w:b/>
          <w:i w:val="false"/>
          <w:caps w:val="false"/>
          <w:smallCaps w:val="false"/>
          <w:color w:val="000000"/>
          <w:spacing w:val="6"/>
          <w:sz w:val="3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155">
                <wp:simplePos x="0" y="0"/>
                <wp:positionH relativeFrom="column">
                  <wp:align>left</wp:align>
                </wp:positionH>
                <wp:positionV relativeFrom="line">
                  <wp:posOffset>635</wp:posOffset>
                </wp:positionV>
                <wp:extent cx="3054350" cy="7980045"/>
                <wp:effectExtent l="0" t="0" r="0" b="0"/>
                <wp:wrapSquare wrapText="right"/>
                <wp:docPr id="92" name="Frame21"/>
                <a:graphic xmlns:a="http://schemas.openxmlformats.org/drawingml/2006/main">
                  <a:graphicData uri="http://schemas.microsoft.com/office/word/2010/wordprocessingShape">
                    <wps:wsp>
                      <wps:cNvSpPr txBox="1"/>
                      <wps:spPr>
                        <a:xfrm>
                          <a:off x="0" y="0"/>
                          <a:ext cx="3054350" cy="7980045"/>
                        </a:xfrm>
                        <a:prstGeom prst="rect"/>
                        <a:solidFill>
                          <a:srgbClr val="FFFFFF"/>
                        </a:solidFill>
                      </wps:spPr>
                      <wps:txbx>
                        <w:txbxContent>
                          <w:p>
                            <w:pPr>
                              <w:pStyle w:val="TextBody"/>
                              <w:bidi w:val="0"/>
                              <w:spacing w:lineRule="atLeast" w:line="240" w:before="0" w:after="0"/>
                              <w:jc w:val="both"/>
                              <w:rPr/>
                            </w:pPr>
                            <w:r>
                              <w:rPr>
                                <w:spacing w:val="-2"/>
                              </w:rPr>
                              <w:t>The Board has adopted the following policies to serve as the governing framework of the Company:</w:t>
                            </w:r>
                            <w:r>
                              <w:rPr>
                                <w:spacing w:val="4"/>
                              </w:rPr>
                              <w:t xml:space="preserve"> </w:t>
                            </w:r>
                          </w:p>
                          <w:p>
                            <w:pPr>
                              <w:pStyle w:val="TextBody"/>
                              <w:bidi w:val="0"/>
                              <w:spacing w:lineRule="atLeast" w:line="240" w:before="240" w:after="0"/>
                              <w:ind w:left="760" w:right="0" w:hanging="0"/>
                              <w:jc w:val="both"/>
                              <w:rPr/>
                            </w:pPr>
                            <w:r>
                              <w:rPr>
                                <w:spacing w:val="-2"/>
                              </w:rPr>
                              <w:t>corporate governance guidelines to assist the Board in the exercise of its responsibilities to the Company and its stockholders;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pPr>
                            <w:r>
                              <w:rPr>
                                <w:spacing w:val="-2"/>
                              </w:rPr>
                              <w:t>a code of business conduct and ethics applicable to the Company’s directors;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pPr>
                            <w:r>
                              <w:rPr>
                                <w:spacing w:val="-2"/>
                              </w:rPr>
                              <w:t>a code of business conduct and ethics applicable to the Company’s officers and other employees; and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pPr>
                            <w:r>
                              <w:rPr>
                                <w:spacing w:val="-2"/>
                              </w:rPr>
                              <w:t>written charters for its Audit Committee, Compensation Committee, Nominating and Corporate Governance Committee (“N&amp;CG”), Technology Committee, and Insurance Committee (a formal written charter for the Insurance Committee is currently under development).</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2"/>
                              </w:rPr>
                              <w:t>The Company’s corporate governance guidelines, codes of business conduct and ethics and committee charters (other than the Insurance Committee charter, which is under development) are available on the Company’s website at www.howardhughes.com under the “Investors” tab. You may also obtain a copy of these policies upon written request sent to the Company’s Corporate Secretary at its principal executive office.</w:t>
                            </w:r>
                            <w:r>
                              <w:rPr>
                                <w:spacing w:val="4"/>
                              </w:rPr>
                              <w:t xml:space="preserve"> </w:t>
                            </w:r>
                          </w:p>
                          <w:p>
                            <w:pPr>
                              <w:pStyle w:val="TextBody"/>
                              <w:bidi w:val="0"/>
                              <w:spacing w:lineRule="atLeast" w:line="240" w:before="160" w:after="283"/>
                              <w:jc w:val="both"/>
                              <w:rPr/>
                            </w:pPr>
                            <w:r>
                              <w:rPr>
                                <w:spacing w:val="-2"/>
                              </w:rPr>
                              <w:t>The Board periodically reviews its corporate governance policies and practices. Based on these reviews, the Board may adopt changes to policies and practices that are in the best interests of the Company and as appropriate to comply with any new SEC or NYSE corporate governance requirements.</w:t>
                            </w:r>
                            <w:r>
                              <w:rPr>
                                <w:spacing w:val="4"/>
                              </w:rPr>
                              <w:t xml:space="preserve"> </w:t>
                            </w:r>
                          </w:p>
                        </w:txbxContent>
                      </wps:txbx>
                      <wps:bodyPr anchor="t" lIns="0" tIns="0" rIns="0" bIns="0">
                        <a:noAutofit/>
                      </wps:bodyPr>
                    </wps:wsp>
                  </a:graphicData>
                </a:graphic>
              </wp:anchor>
            </w:drawing>
          </mc:Choice>
          <mc:Fallback>
            <w:pict>
              <v:rect style="position:absolute;rotation:-0;width:240.5pt;height:628.35pt;mso-wrap-distance-left:45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lineRule="atLeast" w:line="240" w:before="0" w:after="0"/>
                        <w:jc w:val="both"/>
                        <w:rPr/>
                      </w:pPr>
                      <w:r>
                        <w:rPr>
                          <w:spacing w:val="-2"/>
                        </w:rPr>
                        <w:t>The Board has adopted the following policies to serve as the governing framework of the Company:</w:t>
                      </w:r>
                      <w:r>
                        <w:rPr>
                          <w:spacing w:val="4"/>
                        </w:rPr>
                        <w:t xml:space="preserve"> </w:t>
                      </w:r>
                    </w:p>
                    <w:p>
                      <w:pPr>
                        <w:pStyle w:val="TextBody"/>
                        <w:bidi w:val="0"/>
                        <w:spacing w:lineRule="atLeast" w:line="240" w:before="240" w:after="0"/>
                        <w:ind w:left="760" w:right="0" w:hanging="0"/>
                        <w:jc w:val="both"/>
                        <w:rPr/>
                      </w:pPr>
                      <w:r>
                        <w:rPr>
                          <w:spacing w:val="-2"/>
                        </w:rPr>
                        <w:t>corporate governance guidelines to assist the Board in the exercise of its responsibilities to the Company and its stockholders;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pPr>
                      <w:r>
                        <w:rPr>
                          <w:spacing w:val="-2"/>
                        </w:rPr>
                        <w:t>a code of business conduct and ethics applicable to the Company’s directors;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pPr>
                      <w:r>
                        <w:rPr>
                          <w:spacing w:val="-2"/>
                        </w:rPr>
                        <w:t>a code of business conduct and ethics applicable to the Company’s officers and other employees; and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pPr>
                      <w:r>
                        <w:rPr>
                          <w:spacing w:val="-2"/>
                        </w:rPr>
                        <w:t>written charters for its Audit Committee, Compensation Committee, Nominating and Corporate Governance Committee (“N&amp;CG”), Technology Committee, and Insurance Committee (a formal written charter for the Insurance Committee is currently under development).</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2"/>
                        </w:rPr>
                        <w:t>The Company’s corporate governance guidelines, codes of business conduct and ethics and committee charters (other than the Insurance Committee charter, which is under development) are available on the Company’s website at www.howardhughes.com under the “Investors” tab. You may also obtain a copy of these policies upon written request sent to the Company’s Corporate Secretary at its principal executive office.</w:t>
                      </w:r>
                      <w:r>
                        <w:rPr>
                          <w:spacing w:val="4"/>
                        </w:rPr>
                        <w:t xml:space="preserve"> </w:t>
                      </w:r>
                    </w:p>
                    <w:p>
                      <w:pPr>
                        <w:pStyle w:val="TextBody"/>
                        <w:bidi w:val="0"/>
                        <w:spacing w:lineRule="atLeast" w:line="240" w:before="160" w:after="283"/>
                        <w:jc w:val="both"/>
                        <w:rPr/>
                      </w:pPr>
                      <w:r>
                        <w:rPr>
                          <w:spacing w:val="-2"/>
                        </w:rPr>
                        <w:t>The Board periodically reviews its corporate governance policies and practices. Based on these reviews, the Board may adopt changes to policies and practices that are in the best interests of the Company and as appropriate to comply with any new SEC or NYSE corporate governance requirements.</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160">
                <wp:simplePos x="0" y="0"/>
                <wp:positionH relativeFrom="column">
                  <wp:align>left</wp:align>
                </wp:positionH>
                <wp:positionV relativeFrom="line">
                  <wp:posOffset>635</wp:posOffset>
                </wp:positionV>
                <wp:extent cx="3054350" cy="7042785"/>
                <wp:effectExtent l="0" t="0" r="0" b="0"/>
                <wp:wrapSquare wrapText="right"/>
                <wp:docPr id="93" name="Frame26"/>
                <a:graphic xmlns:a="http://schemas.openxmlformats.org/drawingml/2006/main">
                  <a:graphicData uri="http://schemas.microsoft.com/office/word/2010/wordprocessingShape">
                    <wps:wsp>
                      <wps:cNvSpPr txBox="1"/>
                      <wps:spPr>
                        <a:xfrm>
                          <a:off x="0" y="0"/>
                          <a:ext cx="3054350" cy="7042785"/>
                        </a:xfrm>
                        <a:prstGeom prst="rect"/>
                        <a:solidFill>
                          <a:srgbClr val="FFFFFF"/>
                        </a:solidFill>
                      </wps:spPr>
                      <wps:txbx>
                        <w:txbxContent>
                          <w:p>
                            <w:pPr>
                              <w:pStyle w:val="TextBody"/>
                              <w:bidi w:val="0"/>
                              <w:spacing w:lineRule="atLeast" w:line="240" w:before="0" w:after="0"/>
                              <w:jc w:val="both"/>
                              <w:rPr/>
                            </w:pPr>
                            <w:r>
                              <w:rPr>
                                <w:spacing w:val="-2"/>
                              </w:rPr>
                              <w:t>The Board may, at its discretion, elect a Chairman of the Board from among the directors. If at any time the Chairman of the Board is a current or former executive officer of the Company, or for any reason is not an independent director, a Presiding Director will be selected by the independent directors from among the directors who are not current or former executive officers of the Company and are otherwise independent. The Board adopted this structure to promote decision-making and governance that is independent of the Company’s management and to better perform the Board’s monitoring and evaluation functions. The positions of Chairman of the Board, Presiding Director, and Chief Executive Officer are held by different individuals. The current Executive Chairman of the Board is William A. Ackman. R. Scot Sellers, who previously served as the independent Chairman of the Board, is the Presiding Director.</w:t>
                            </w:r>
                            <w:r>
                              <w:rPr>
                                <w:spacing w:val="4"/>
                              </w:rPr>
                              <w:t xml:space="preserve"> </w:t>
                            </w:r>
                          </w:p>
                          <w:p>
                            <w:pPr>
                              <w:pStyle w:val="TextBody"/>
                              <w:bidi w:val="0"/>
                              <w:spacing w:lineRule="atLeast" w:line="240" w:before="160" w:after="283"/>
                              <w:jc w:val="both"/>
                              <w:rPr/>
                            </w:pPr>
                            <w:r>
                              <w:rPr>
                                <w:spacing w:val="-2"/>
                              </w:rPr>
                              <w:t>The Board has established a policy that its non-management directors meet in executive session, without members of management present, at least four times per year; provided, however, that any non-management director may request additional executive sessions of the non-management directors at any time. The Chairman of the Board or Presiding Director presides over each executive session. Board policy provides that if the Board includes non-management directors who are not independent, at least one executive session each year will include only independent directors.</w:t>
                            </w:r>
                            <w:r>
                              <w:rPr>
                                <w:spacing w:val="4"/>
                              </w:rPr>
                              <w:t xml:space="preserve"> </w:t>
                            </w:r>
                          </w:p>
                          <w:p>
                            <w:pPr>
                              <w:pStyle w:val="TextBody"/>
                              <w:bidi w:val="0"/>
                              <w:spacing w:lineRule="atLeast" w:line="240" w:before="160" w:after="283"/>
                              <w:jc w:val="both"/>
                              <w:rPr/>
                            </w:pPr>
                            <w:r>
                              <w:rPr>
                                <w:spacing w:val="-2"/>
                              </w:rPr>
                              <w:t>The Company believes that the foregoing policies and practices, when combined with the Company’s other governance policies and procedures, provide an appropriate framework for oversight, discussion and evaluation of decisions and direction from the Board.</w:t>
                            </w:r>
                            <w:r>
                              <w:rPr/>
                              <w:t xml:space="preserve"> </w:t>
                            </w:r>
                          </w:p>
                        </w:txbxContent>
                      </wps:txbx>
                      <wps:bodyPr anchor="t" lIns="0" tIns="0" rIns="0" bIns="0">
                        <a:noAutofit/>
                      </wps:bodyPr>
                    </wps:wsp>
                  </a:graphicData>
                </a:graphic>
              </wp:anchor>
            </w:drawing>
          </mc:Choice>
          <mc:Fallback>
            <w:pict>
              <v:rect style="position:absolute;rotation:-0;width:240.5pt;height:554.5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jc w:val="both"/>
                        <w:rPr/>
                      </w:pPr>
                      <w:r>
                        <w:rPr>
                          <w:spacing w:val="-2"/>
                        </w:rPr>
                        <w:t>The Board may, at its discretion, elect a Chairman of the Board from among the directors. If at any time the Chairman of the Board is a current or former executive officer of the Company, or for any reason is not an independent director, a Presiding Director will be selected by the independent directors from among the directors who are not current or former executive officers of the Company and are otherwise independent. The Board adopted this structure to promote decision-making and governance that is independent of the Company’s management and to better perform the Board’s monitoring and evaluation functions. The positions of Chairman of the Board, Presiding Director, and Chief Executive Officer are held by different individuals. The current Executive Chairman of the Board is William A. Ackman. R. Scot Sellers, who previously served as the independent Chairman of the Board, is the Presiding Director.</w:t>
                      </w:r>
                      <w:r>
                        <w:rPr>
                          <w:spacing w:val="4"/>
                        </w:rPr>
                        <w:t xml:space="preserve"> </w:t>
                      </w:r>
                    </w:p>
                    <w:p>
                      <w:pPr>
                        <w:pStyle w:val="TextBody"/>
                        <w:bidi w:val="0"/>
                        <w:spacing w:lineRule="atLeast" w:line="240" w:before="160" w:after="283"/>
                        <w:jc w:val="both"/>
                        <w:rPr/>
                      </w:pPr>
                      <w:r>
                        <w:rPr>
                          <w:spacing w:val="-2"/>
                        </w:rPr>
                        <w:t>The Board has established a policy that its non-management directors meet in executive session, without members of management present, at least four times per year; provided, however, that any non-management director may request additional executive sessions of the non-management directors at any time. The Chairman of the Board or Presiding Director presides over each executive session. Board policy provides that if the Board includes non-management directors who are not independent, at least one executive session each year will include only independent directors.</w:t>
                      </w:r>
                      <w:r>
                        <w:rPr>
                          <w:spacing w:val="4"/>
                        </w:rPr>
                        <w:t xml:space="preserve"> </w:t>
                      </w:r>
                    </w:p>
                    <w:p>
                      <w:pPr>
                        <w:pStyle w:val="TextBody"/>
                        <w:bidi w:val="0"/>
                        <w:spacing w:lineRule="atLeast" w:line="240" w:before="160" w:after="283"/>
                        <w:jc w:val="both"/>
                        <w:rPr/>
                      </w:pPr>
                      <w:r>
                        <w:rPr>
                          <w:spacing w:val="-2"/>
                        </w:rPr>
                        <w:t>The Company believes that the foregoing policies and practices, when combined with the Company’s other governance policies and procedures, provide an appropriate framework for oversight, discussion and evaluation of decisions and direction from the Board.</w:t>
                      </w:r>
                      <w:r>
                        <w:rPr/>
                        <w:t xml:space="preserve"> </w:t>
                      </w:r>
                    </w:p>
                  </w:txbxContent>
                </v:textbox>
                <w10:wrap type="square" side="right"/>
              </v:rect>
            </w:pict>
          </mc:Fallback>
        </mc:AlternateContent>
      </w:r>
      <w:r>
        <mc:AlternateContent>
          <mc:Choice Requires="wps">
            <w:drawing>
              <wp:anchor behindDoc="0" distT="152400" distB="0" distL="254000" distR="0" simplePos="0" locked="0" layoutInCell="1" allowOverlap="1" relativeHeight="156">
                <wp:simplePos x="0" y="0"/>
                <wp:positionH relativeFrom="column">
                  <wp:align>left</wp:align>
                </wp:positionH>
                <wp:positionV relativeFrom="line">
                  <wp:align>top</wp:align>
                </wp:positionV>
                <wp:extent cx="228600" cy="350520"/>
                <wp:effectExtent l="0" t="0" r="0" b="0"/>
                <wp:wrapSquare wrapText="right"/>
                <wp:docPr id="94" name="Frame2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2400" distB="0" distL="254000" distR="0" simplePos="0" locked="0" layoutInCell="1" allowOverlap="1" relativeHeight="157">
                <wp:simplePos x="0" y="0"/>
                <wp:positionH relativeFrom="column">
                  <wp:align>left</wp:align>
                </wp:positionH>
                <wp:positionV relativeFrom="line">
                  <wp:align>top</wp:align>
                </wp:positionV>
                <wp:extent cx="228600" cy="350520"/>
                <wp:effectExtent l="0" t="0" r="0" b="0"/>
                <wp:wrapSquare wrapText="right"/>
                <wp:docPr id="95" name="Frame2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2400" distB="0" distL="254000" distR="0" simplePos="0" locked="0" layoutInCell="1" allowOverlap="1" relativeHeight="158">
                <wp:simplePos x="0" y="0"/>
                <wp:positionH relativeFrom="column">
                  <wp:align>left</wp:align>
                </wp:positionH>
                <wp:positionV relativeFrom="line">
                  <wp:align>top</wp:align>
                </wp:positionV>
                <wp:extent cx="228600" cy="350520"/>
                <wp:effectExtent l="0" t="0" r="0" b="0"/>
                <wp:wrapSquare wrapText="right"/>
                <wp:docPr id="96" name="Frame2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2400" distB="0" distL="254000" distR="0" simplePos="0" locked="0" layoutInCell="1" allowOverlap="1" relativeHeight="159">
                <wp:simplePos x="0" y="0"/>
                <wp:positionH relativeFrom="column">
                  <wp:align>left</wp:align>
                </wp:positionH>
                <wp:positionV relativeFrom="line">
                  <wp:align>top</wp:align>
                </wp:positionV>
                <wp:extent cx="228600" cy="350520"/>
                <wp:effectExtent l="0" t="0" r="0" b="0"/>
                <wp:wrapSquare wrapText="right"/>
                <wp:docPr id="97" name="Frame2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10 \ 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RIMA"/>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 xml:space="preserve">Matters Related to Corporate Governance, Board Structure, Director </w:t>
        <w:br/>
        <w:t>Compensation and Stock Ownership</w:t>
      </w:r>
      <w:r>
        <w:rPr>
          <w:rFonts w:ascii="Arial;Helvetica;sans-serif" w:hAnsi="Arial;Helvetica;sans-serif"/>
          <w:b/>
          <w:i w:val="false"/>
          <w:caps w:val="false"/>
          <w:smallCaps w:val="false"/>
          <w:color w:val="7F7F7F"/>
          <w:sz w:val="22"/>
        </w:rPr>
        <w:t>​</w:t>
      </w:r>
    </w:p>
    <w:tbl>
      <w:tblPr>
        <w:tblW w:w="9304" w:type="dxa"/>
        <w:jc w:val="left"/>
        <w:tblInd w:w="901" w:type="dxa"/>
        <w:tblLayout w:type="fixed"/>
        <w:tblCellMar>
          <w:top w:w="0" w:type="dxa"/>
          <w:left w:w="0" w:type="dxa"/>
          <w:bottom w:w="0" w:type="dxa"/>
          <w:right w:w="0" w:type="dxa"/>
        </w:tblCellMar>
      </w:tblPr>
      <w:tblGrid>
        <w:gridCol w:w="124"/>
        <w:gridCol w:w="325"/>
        <w:gridCol w:w="109"/>
        <w:gridCol w:w="109"/>
        <w:gridCol w:w="3783"/>
        <w:gridCol w:w="109"/>
        <w:gridCol w:w="109"/>
        <w:gridCol w:w="325"/>
        <w:gridCol w:w="109"/>
        <w:gridCol w:w="109"/>
        <w:gridCol w:w="3937"/>
        <w:gridCol w:w="156"/>
      </w:tblGrid>
      <w:tr>
        <w:trPr/>
        <w:tc>
          <w:tcPr>
            <w:tcW w:w="124" w:type="dxa"/>
            <w:tcBorders/>
            <w:shd w:fill="BAD8EA" w:val="clear"/>
            <w:vAlign w:val="center"/>
          </w:tcPr>
          <w:p>
            <w:pPr>
              <w:pStyle w:val="TableContents"/>
              <w:bidi w:val="0"/>
              <w:spacing w:before="0" w:after="283"/>
              <w:jc w:val="left"/>
              <w:rPr/>
            </w:pPr>
            <w:r>
              <w:rPr/>
              <w:t>​</w:t>
            </w:r>
          </w:p>
        </w:tc>
        <w:tc>
          <w:tcPr>
            <w:tcW w:w="9024" w:type="dxa"/>
            <w:gridSpan w:val="10"/>
            <w:tcBorders/>
            <w:shd w:fill="BAD8EA" w:val="clear"/>
            <w:vAlign w:val="center"/>
          </w:tcPr>
          <w:p>
            <w:pPr>
              <w:pStyle w:val="TableContents"/>
              <w:bidi w:val="0"/>
              <w:spacing w:lineRule="atLeast" w:line="228" w:before="0" w:after="0"/>
              <w:jc w:val="center"/>
              <w:rPr>
                <w:spacing w:val="0"/>
              </w:rPr>
            </w:pPr>
            <w:r>
              <w:rPr>
                <w:spacing w:val="0"/>
              </w:rPr>
              <w:t xml:space="preserve">Foundation in Sound Governance Practices </w:t>
            </w:r>
          </w:p>
        </w:tc>
        <w:tc>
          <w:tcPr>
            <w:tcW w:w="156" w:type="dxa"/>
            <w:tcBorders/>
            <w:shd w:fill="BAD8EA"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325" w:type="dxa"/>
            <w:tcBorders/>
            <w:shd w:fill="E5E5E5" w:val="clear"/>
            <w:vAlign w:val="center"/>
          </w:tcPr>
          <w:p>
            <w:pPr>
              <w:pStyle w:val="TableContents"/>
              <w:bidi w:val="0"/>
              <w:spacing w:lineRule="atLeast" w:line="318"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783" w:type="dxa"/>
            <w:tcBorders/>
            <w:shd w:fill="E5E5E5" w:val="clear"/>
            <w:vAlign w:val="center"/>
          </w:tcPr>
          <w:p>
            <w:pPr>
              <w:pStyle w:val="TableContents"/>
              <w:bidi w:val="0"/>
              <w:spacing w:lineRule="atLeast" w:line="228" w:before="0" w:after="0"/>
              <w:jc w:val="both"/>
              <w:rPr>
                <w:spacing w:val="-1"/>
              </w:rPr>
            </w:pPr>
            <w:r>
              <w:rPr>
                <w:spacing w:val="-1"/>
              </w:rPr>
              <w:t xml:space="preserve">Regular executive sessions of non-management and independent directors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25" w:type="dxa"/>
            <w:tcBorders/>
            <w:shd w:fill="E5E5E5" w:val="clear"/>
            <w:vAlign w:val="center"/>
          </w:tcPr>
          <w:p>
            <w:pPr>
              <w:pStyle w:val="TableContents"/>
              <w:bidi w:val="0"/>
              <w:spacing w:lineRule="atLeast" w:line="318" w:before="0" w:after="0"/>
              <w:jc w:val="left"/>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937" w:type="dxa"/>
            <w:tcBorders/>
            <w:shd w:fill="E5E5E5" w:val="clear"/>
            <w:vAlign w:val="center"/>
          </w:tcPr>
          <w:p>
            <w:pPr>
              <w:pStyle w:val="TableContents"/>
              <w:bidi w:val="0"/>
              <w:spacing w:lineRule="atLeast" w:line="228" w:before="0" w:after="0"/>
              <w:jc w:val="both"/>
              <w:rPr>
                <w:spacing w:val="-1"/>
              </w:rPr>
            </w:pPr>
            <w:r>
              <w:rPr>
                <w:spacing w:val="-1"/>
              </w:rPr>
              <w:t xml:space="preserve">Majority voting with resignation policy for directors in uncontested elections </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325" w:type="dxa"/>
            <w:tcBorders/>
            <w:shd w:fill="E5E5E5" w:val="clear"/>
            <w:vAlign w:val="center"/>
          </w:tcPr>
          <w:p>
            <w:pPr>
              <w:pStyle w:val="TableContents"/>
              <w:bidi w:val="0"/>
              <w:spacing w:lineRule="atLeast" w:line="318"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783" w:type="dxa"/>
            <w:tcBorders/>
            <w:shd w:fill="E5E5E5" w:val="clear"/>
            <w:vAlign w:val="center"/>
          </w:tcPr>
          <w:p>
            <w:pPr>
              <w:pStyle w:val="TableContents"/>
              <w:bidi w:val="0"/>
              <w:spacing w:lineRule="atLeast" w:line="228" w:before="0" w:after="0"/>
              <w:jc w:val="both"/>
              <w:rPr>
                <w:spacing w:val="-1"/>
              </w:rPr>
            </w:pPr>
            <w:r>
              <w:rPr>
                <w:spacing w:val="-1"/>
              </w:rPr>
              <w:t xml:space="preserve">Annual Board and committee evaluations, including an independent third-party evaluation once every three years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25" w:type="dxa"/>
            <w:tcBorders/>
            <w:shd w:fill="E5E5E5" w:val="clear"/>
            <w:vAlign w:val="center"/>
          </w:tcPr>
          <w:p>
            <w:pPr>
              <w:pStyle w:val="TableContents"/>
              <w:bidi w:val="0"/>
              <w:spacing w:lineRule="atLeast" w:line="318" w:before="0" w:after="0"/>
              <w:jc w:val="left"/>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937" w:type="dxa"/>
            <w:tcBorders/>
            <w:shd w:fill="E5E5E5" w:val="clear"/>
            <w:vAlign w:val="center"/>
          </w:tcPr>
          <w:p>
            <w:pPr>
              <w:pStyle w:val="TableContents"/>
              <w:bidi w:val="0"/>
              <w:spacing w:lineRule="atLeast" w:line="228" w:before="0" w:after="0"/>
              <w:jc w:val="both"/>
              <w:rPr>
                <w:spacing w:val="-1"/>
              </w:rPr>
            </w:pPr>
            <w:r>
              <w:rPr>
                <w:spacing w:val="-1"/>
              </w:rPr>
              <w:t xml:space="preserve">A general prohibition against short sales; investing in publicly traded options; hedging; pledging and margin accounts; and limit orders, in each case, involving Company securities </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325" w:type="dxa"/>
            <w:tcBorders/>
            <w:shd w:fill="E5E5E5" w:val="clear"/>
            <w:vAlign w:val="center"/>
          </w:tcPr>
          <w:p>
            <w:pPr>
              <w:pStyle w:val="TableContents"/>
              <w:bidi w:val="0"/>
              <w:spacing w:lineRule="atLeast" w:line="318"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783" w:type="dxa"/>
            <w:tcBorders/>
            <w:shd w:fill="E5E5E5" w:val="clear"/>
            <w:vAlign w:val="center"/>
          </w:tcPr>
          <w:p>
            <w:pPr>
              <w:pStyle w:val="TableContents"/>
              <w:bidi w:val="0"/>
              <w:spacing w:lineRule="atLeast" w:line="228" w:before="0" w:after="0"/>
              <w:jc w:val="both"/>
              <w:rPr>
                <w:spacing w:val="-1"/>
              </w:rPr>
            </w:pPr>
            <w:r>
              <w:rPr>
                <w:spacing w:val="-1"/>
              </w:rPr>
              <w:t xml:space="preserve">Directors may contact any employee of our Company directly, and the Board and its committees may engage independent advisors at their sole discretion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25" w:type="dxa"/>
            <w:tcBorders/>
            <w:shd w:fill="E5E5E5" w:val="clear"/>
            <w:vAlign w:val="center"/>
          </w:tcPr>
          <w:p>
            <w:pPr>
              <w:pStyle w:val="TableContents"/>
              <w:bidi w:val="0"/>
              <w:spacing w:lineRule="atLeast" w:line="318" w:before="0" w:after="0"/>
              <w:jc w:val="left"/>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937" w:type="dxa"/>
            <w:tcBorders/>
            <w:shd w:fill="E5E5E5" w:val="clear"/>
            <w:vAlign w:val="center"/>
          </w:tcPr>
          <w:p>
            <w:pPr>
              <w:pStyle w:val="TableContents"/>
              <w:bidi w:val="0"/>
              <w:spacing w:lineRule="atLeast" w:line="228" w:before="0" w:after="0"/>
              <w:jc w:val="both"/>
              <w:rPr>
                <w:spacing w:val="-1"/>
              </w:rPr>
            </w:pPr>
            <w:r>
              <w:rPr>
                <w:spacing w:val="-1"/>
              </w:rPr>
              <w:t xml:space="preserve">Stockholders holding at least 15% of our outstanding shares of common stock can call a special meeting of stockholders </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325" w:type="dxa"/>
            <w:tcBorders/>
            <w:shd w:fill="E5E5E5" w:val="clear"/>
            <w:vAlign w:val="center"/>
          </w:tcPr>
          <w:p>
            <w:pPr>
              <w:pStyle w:val="TableContents"/>
              <w:bidi w:val="0"/>
              <w:spacing w:lineRule="atLeast" w:line="318"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783" w:type="dxa"/>
            <w:tcBorders/>
            <w:shd w:fill="E5E5E5" w:val="clear"/>
            <w:vAlign w:val="center"/>
          </w:tcPr>
          <w:p>
            <w:pPr>
              <w:pStyle w:val="TableContents"/>
              <w:bidi w:val="0"/>
              <w:spacing w:lineRule="atLeast" w:line="228" w:before="0" w:after="0"/>
              <w:jc w:val="both"/>
              <w:rPr/>
            </w:pPr>
            <w:r>
              <w:rPr>
                <w:spacing w:val="-1"/>
              </w:rPr>
              <w:t>Annual elections of directors (</w:t>
            </w:r>
            <w:r>
              <w:rPr>
                <w:i/>
              </w:rPr>
              <w:t>i.e.</w:t>
            </w:r>
            <w:r>
              <w:rPr>
                <w:spacing w:val="-1"/>
              </w:rPr>
              <w:t xml:space="preserve">, no staggered board)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25" w:type="dxa"/>
            <w:tcBorders/>
            <w:shd w:fill="E5E5E5" w:val="clear"/>
            <w:vAlign w:val="center"/>
          </w:tcPr>
          <w:p>
            <w:pPr>
              <w:pStyle w:val="TableContents"/>
              <w:bidi w:val="0"/>
              <w:spacing w:lineRule="atLeast" w:line="318" w:before="0" w:after="0"/>
              <w:jc w:val="left"/>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937" w:type="dxa"/>
            <w:tcBorders/>
            <w:shd w:fill="E5E5E5" w:val="clear"/>
            <w:vAlign w:val="center"/>
          </w:tcPr>
          <w:p>
            <w:pPr>
              <w:pStyle w:val="TableContents"/>
              <w:bidi w:val="0"/>
              <w:spacing w:lineRule="atLeast" w:line="228" w:before="0" w:after="0"/>
              <w:jc w:val="left"/>
              <w:rPr>
                <w:spacing w:val="-1"/>
              </w:rPr>
            </w:pPr>
            <w:r>
              <w:rPr>
                <w:spacing w:val="-1"/>
              </w:rPr>
              <w:t xml:space="preserve">Director and executive stock ownership requirements </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325" w:type="dxa"/>
            <w:tcBorders>
              <w:bottom w:val="single" w:sz="8" w:space="0" w:color="7F7F7F"/>
            </w:tcBorders>
            <w:shd w:fill="E5E5E5" w:val="clear"/>
            <w:tcMar>
              <w:bottom w:w="160" w:type="dxa"/>
            </w:tcMar>
            <w:vAlign w:val="center"/>
          </w:tcPr>
          <w:p>
            <w:pPr>
              <w:pStyle w:val="TableContents"/>
              <w:bidi w:val="0"/>
              <w:spacing w:before="0" w:after="283"/>
              <w:jc w:val="center"/>
              <w:rPr/>
            </w:pPr>
            <w:r>
              <w:rPr/>
              <w:t>​</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3783" w:type="dxa"/>
            <w:tcBorders>
              <w:bottom w:val="single" w:sz="8" w:space="0" w:color="7F7F7F"/>
            </w:tcBorders>
            <w:shd w:fill="E5E5E5" w:val="clear"/>
            <w:tcMar>
              <w:bottom w:w="160" w:type="dxa"/>
            </w:tcMar>
            <w:vAlign w:val="center"/>
          </w:tcPr>
          <w:p>
            <w:pPr>
              <w:pStyle w:val="TableContents"/>
              <w:bidi w:val="0"/>
              <w:spacing w:before="0" w:after="283"/>
              <w:jc w:val="left"/>
              <w:rPr/>
            </w:pPr>
            <w:r>
              <w:rPr/>
              <w:t>​</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325" w:type="dxa"/>
            <w:tcBorders>
              <w:bottom w:val="single" w:sz="8" w:space="0" w:color="7F7F7F"/>
            </w:tcBorders>
            <w:shd w:fill="E5E5E5" w:val="clear"/>
            <w:tcMar>
              <w:bottom w:w="160" w:type="dxa"/>
            </w:tcMar>
            <w:vAlign w:val="center"/>
          </w:tcPr>
          <w:p>
            <w:pPr>
              <w:pStyle w:val="TableContents"/>
              <w:bidi w:val="0"/>
              <w:spacing w:lineRule="atLeast" w:line="318" w:before="0" w:after="0"/>
              <w:jc w:val="left"/>
              <w:rPr/>
            </w:pPr>
            <w:r>
              <w:rPr>
                <w:spacing w:val="-2"/>
              </w:rPr>
              <w:t>✓</w:t>
            </w:r>
            <w:r>
              <w:rPr/>
              <w:t xml:space="preserve">​ </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3937" w:type="dxa"/>
            <w:tcBorders>
              <w:bottom w:val="single" w:sz="8" w:space="0" w:color="7F7F7F"/>
            </w:tcBorders>
            <w:shd w:fill="E5E5E5" w:val="clear"/>
            <w:tcMar>
              <w:bottom w:w="170" w:type="dxa"/>
            </w:tcMar>
            <w:vAlign w:val="center"/>
          </w:tcPr>
          <w:p>
            <w:pPr>
              <w:pStyle w:val="TableContents"/>
              <w:bidi w:val="0"/>
              <w:spacing w:lineRule="atLeast" w:line="228" w:before="0" w:after="0"/>
              <w:jc w:val="left"/>
              <w:rPr/>
            </w:pPr>
            <w:r>
              <w:rPr>
                <w:spacing w:val="-1"/>
              </w:rPr>
              <w:t>Executive Compensation Recoupment Policy</w:t>
            </w:r>
            <w:r>
              <w:rPr/>
              <w:t xml:space="preserve"> </w:t>
            </w:r>
          </w:p>
        </w:tc>
        <w:tc>
          <w:tcPr>
            <w:tcW w:w="156"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r>
    </w:tbl>
    <w:p>
      <w:pPr>
        <w:pStyle w:val="TextBody"/>
        <w:bidi w:val="0"/>
        <w:spacing w:lineRule="atLeast" w:line="340" w:before="300" w:after="283"/>
        <w:ind w:left="901"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RISK MANAGEMENT</w:t>
      </w:r>
      <w:r>
        <w:rPr>
          <w:rFonts w:ascii="Arial;Helvetica;sans-serif" w:hAnsi="Arial;Helvetica;sans-serif"/>
          <w:b/>
          <w:i w:val="false"/>
          <w:caps w:val="false"/>
          <w:smallCaps w:val="false"/>
          <w:color w:val="000000"/>
          <w:spacing w:val="6"/>
          <w:sz w:val="3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161">
                <wp:simplePos x="0" y="0"/>
                <wp:positionH relativeFrom="column">
                  <wp:align>left</wp:align>
                </wp:positionH>
                <wp:positionV relativeFrom="line">
                  <wp:posOffset>635</wp:posOffset>
                </wp:positionV>
                <wp:extent cx="3055620" cy="8616950"/>
                <wp:effectExtent l="0" t="0" r="0" b="0"/>
                <wp:wrapSquare wrapText="right"/>
                <wp:docPr id="98" name="Frame27"/>
                <a:graphic xmlns:a="http://schemas.openxmlformats.org/drawingml/2006/main">
                  <a:graphicData uri="http://schemas.microsoft.com/office/word/2010/wordprocessingShape">
                    <wps:wsp>
                      <wps:cNvSpPr txBox="1"/>
                      <wps:spPr>
                        <a:xfrm>
                          <a:off x="0" y="0"/>
                          <a:ext cx="3055620" cy="8616950"/>
                        </a:xfrm>
                        <a:prstGeom prst="rect"/>
                        <a:solidFill>
                          <a:srgbClr val="FFFFFF"/>
                        </a:solidFill>
                      </wps:spPr>
                      <wps:txbx>
                        <w:txbxContent>
                          <w:p>
                            <w:pPr>
                              <w:pStyle w:val="TextBody"/>
                              <w:bidi w:val="0"/>
                              <w:spacing w:lineRule="atLeast" w:line="240" w:before="0" w:after="0"/>
                              <w:jc w:val="both"/>
                              <w:rPr/>
                            </w:pPr>
                            <w:r>
                              <w:rPr>
                                <w:spacing w:val="-2"/>
                              </w:rPr>
                              <w:t>The Board views risk management as one of its primary responsibilities. A fundamental part of risk management is not only understanding the risks that the Company faces and what steps management is taking to manage those risks, but also understanding what level of risk is appropriate for the Company. Our Board is responsible for overseeing the risk management of our Company, which is carried out by the full Board as well as at each of its committees.</w:t>
                            </w:r>
                            <w:r>
                              <w:rPr>
                                <w:spacing w:val="4"/>
                              </w:rPr>
                              <w:t xml:space="preserve"> </w:t>
                            </w:r>
                          </w:p>
                          <w:p>
                            <w:pPr>
                              <w:pStyle w:val="TextBody"/>
                              <w:bidi w:val="0"/>
                              <w:spacing w:lineRule="atLeast" w:line="240" w:before="240" w:after="283"/>
                              <w:jc w:val="left"/>
                              <w:rPr>
                                <w:b/>
                                <w:color w:val="2E2925"/>
                              </w:rPr>
                            </w:pPr>
                            <w:r>
                              <w:rPr>
                                <w:b/>
                                <w:caps/>
                                <w:color w:val="2E2925"/>
                                <w:spacing w:val="-3"/>
                              </w:rPr>
                              <w:t>BOARD RISK MANAGEMENT OVERSIGHT INCLUDES:</w:t>
                            </w:r>
                            <w:r>
                              <w:rPr>
                                <w:b/>
                                <w:color w:val="000000"/>
                                <w:spacing w:val="4"/>
                              </w:rPr>
                              <w:t xml:space="preserve"> </w:t>
                            </w:r>
                          </w:p>
                          <w:p>
                            <w:pPr>
                              <w:pStyle w:val="TextBody"/>
                              <w:bidi w:val="0"/>
                              <w:spacing w:lineRule="atLeast" w:line="240" w:before="220" w:after="0"/>
                              <w:ind w:left="760" w:right="0" w:hanging="0"/>
                              <w:jc w:val="left"/>
                              <w:rPr/>
                            </w:pPr>
                            <w:r>
                              <w:rPr>
                                <w:spacing w:val="-2"/>
                              </w:rPr>
                              <w:t>strategic and financial considerations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left"/>
                              <w:rPr/>
                            </w:pPr>
                            <w:r>
                              <w:rPr>
                                <w:spacing w:val="-2"/>
                              </w:rPr>
                              <w:t>legal, regulatory and compliance risks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left"/>
                              <w:rPr/>
                            </w:pPr>
                            <w:r>
                              <w:rPr>
                                <w:spacing w:val="-2"/>
                              </w:rPr>
                              <w:t>overall risk tolerance and risk governance</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both"/>
                              <w:rPr/>
                            </w:pPr>
                            <w:r>
                              <w:rPr>
                                <w:spacing w:val="-2"/>
                              </w:rPr>
                              <w:t>human capital management, health and safety, environmental, and social risks and issues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both"/>
                              <w:rPr/>
                            </w:pPr>
                            <w:r>
                              <w:rPr>
                                <w:spacing w:val="-2"/>
                              </w:rPr>
                              <w:t>management’s processes for the identification, assessment and mitigation of significant enterprise risks, including incorporating risk considerations into the Company’s strategic and operational decision-making</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both"/>
                              <w:rPr/>
                            </w:pPr>
                            <w:r>
                              <w:rPr>
                                <w:spacing w:val="-2"/>
                              </w:rPr>
                              <w:t>other risks considered by the committees (including those listed below)</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283"/>
                              <w:jc w:val="left"/>
                              <w:rPr>
                                <w:b/>
                                <w:color w:val="2E2925"/>
                              </w:rPr>
                            </w:pPr>
                            <w:r>
                              <w:rPr>
                                <w:b/>
                                <w:caps/>
                                <w:color w:val="2E2925"/>
                                <w:spacing w:val="-3"/>
                              </w:rPr>
                              <w:t>AUDIT COMMITTEE RISK MANAGEMENT OVERSIGHT INCLUDES:</w:t>
                            </w:r>
                            <w:r>
                              <w:rPr>
                                <w:b/>
                                <w:color w:val="000000"/>
                                <w:spacing w:val="4"/>
                              </w:rPr>
                              <w:t xml:space="preserve"> </w:t>
                            </w:r>
                          </w:p>
                          <w:p>
                            <w:pPr>
                              <w:pStyle w:val="TextBody"/>
                              <w:bidi w:val="0"/>
                              <w:spacing w:lineRule="atLeast" w:line="240" w:before="220" w:after="0"/>
                              <w:ind w:left="760" w:right="0" w:hanging="0"/>
                              <w:jc w:val="left"/>
                              <w:rPr/>
                            </w:pPr>
                            <w:r>
                              <w:rPr>
                                <w:spacing w:val="-2"/>
                              </w:rPr>
                              <w:t>financial, legal and compliance risks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both"/>
                              <w:rPr/>
                            </w:pPr>
                            <w:r>
                              <w:rPr>
                                <w:spacing w:val="-2"/>
                              </w:rPr>
                              <w:t>cybersecurity, data privacy, and technology risk management</w:t>
                            </w:r>
                            <w:r>
                              <w:rPr>
                                <w:spacing w:val="4"/>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0.6pt;height:678.5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jc w:val="both"/>
                        <w:rPr/>
                      </w:pPr>
                      <w:r>
                        <w:rPr>
                          <w:spacing w:val="-2"/>
                        </w:rPr>
                        <w:t>The Board views risk management as one of its primary responsibilities. A fundamental part of risk management is not only understanding the risks that the Company faces and what steps management is taking to manage those risks, but also understanding what level of risk is appropriate for the Company. Our Board is responsible for overseeing the risk management of our Company, which is carried out by the full Board as well as at each of its committees.</w:t>
                      </w:r>
                      <w:r>
                        <w:rPr>
                          <w:spacing w:val="4"/>
                        </w:rPr>
                        <w:t xml:space="preserve"> </w:t>
                      </w:r>
                    </w:p>
                    <w:p>
                      <w:pPr>
                        <w:pStyle w:val="TextBody"/>
                        <w:bidi w:val="0"/>
                        <w:spacing w:lineRule="atLeast" w:line="240" w:before="240" w:after="283"/>
                        <w:jc w:val="left"/>
                        <w:rPr>
                          <w:b/>
                          <w:color w:val="2E2925"/>
                        </w:rPr>
                      </w:pPr>
                      <w:r>
                        <w:rPr>
                          <w:b/>
                          <w:caps/>
                          <w:color w:val="2E2925"/>
                          <w:spacing w:val="-3"/>
                        </w:rPr>
                        <w:t>BOARD RISK MANAGEMENT OVERSIGHT INCLUDES:</w:t>
                      </w:r>
                      <w:r>
                        <w:rPr>
                          <w:b/>
                          <w:color w:val="000000"/>
                          <w:spacing w:val="4"/>
                        </w:rPr>
                        <w:t xml:space="preserve"> </w:t>
                      </w:r>
                    </w:p>
                    <w:p>
                      <w:pPr>
                        <w:pStyle w:val="TextBody"/>
                        <w:bidi w:val="0"/>
                        <w:spacing w:lineRule="atLeast" w:line="240" w:before="220" w:after="0"/>
                        <w:ind w:left="760" w:right="0" w:hanging="0"/>
                        <w:jc w:val="left"/>
                        <w:rPr/>
                      </w:pPr>
                      <w:r>
                        <w:rPr>
                          <w:spacing w:val="-2"/>
                        </w:rPr>
                        <w:t>strategic and financial considerations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left"/>
                        <w:rPr/>
                      </w:pPr>
                      <w:r>
                        <w:rPr>
                          <w:spacing w:val="-2"/>
                        </w:rPr>
                        <w:t>legal, regulatory and compliance risks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left"/>
                        <w:rPr/>
                      </w:pPr>
                      <w:r>
                        <w:rPr>
                          <w:spacing w:val="-2"/>
                        </w:rPr>
                        <w:t>overall risk tolerance and risk governance</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both"/>
                        <w:rPr/>
                      </w:pPr>
                      <w:r>
                        <w:rPr>
                          <w:spacing w:val="-2"/>
                        </w:rPr>
                        <w:t>human capital management, health and safety, environmental, and social risks and issues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both"/>
                        <w:rPr/>
                      </w:pPr>
                      <w:r>
                        <w:rPr>
                          <w:spacing w:val="-2"/>
                        </w:rPr>
                        <w:t>management’s processes for the identification, assessment and mitigation of significant enterprise risks, including incorporating risk considerations into the Company’s strategic and operational decision-making</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both"/>
                        <w:rPr/>
                      </w:pPr>
                      <w:r>
                        <w:rPr>
                          <w:spacing w:val="-2"/>
                        </w:rPr>
                        <w:t>other risks considered by the committees (including those listed below)</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283"/>
                        <w:jc w:val="left"/>
                        <w:rPr>
                          <w:b/>
                          <w:color w:val="2E2925"/>
                        </w:rPr>
                      </w:pPr>
                      <w:r>
                        <w:rPr>
                          <w:b/>
                          <w:caps/>
                          <w:color w:val="2E2925"/>
                          <w:spacing w:val="-3"/>
                        </w:rPr>
                        <w:t>AUDIT COMMITTEE RISK MANAGEMENT OVERSIGHT INCLUDES:</w:t>
                      </w:r>
                      <w:r>
                        <w:rPr>
                          <w:b/>
                          <w:color w:val="000000"/>
                          <w:spacing w:val="4"/>
                        </w:rPr>
                        <w:t xml:space="preserve"> </w:t>
                      </w:r>
                    </w:p>
                    <w:p>
                      <w:pPr>
                        <w:pStyle w:val="TextBody"/>
                        <w:bidi w:val="0"/>
                        <w:spacing w:lineRule="atLeast" w:line="240" w:before="220" w:after="0"/>
                        <w:ind w:left="760" w:right="0" w:hanging="0"/>
                        <w:jc w:val="left"/>
                        <w:rPr/>
                      </w:pPr>
                      <w:r>
                        <w:rPr>
                          <w:spacing w:val="-2"/>
                        </w:rPr>
                        <w:t>financial, legal and compliance risks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both"/>
                        <w:rPr/>
                      </w:pPr>
                      <w:r>
                        <w:rPr>
                          <w:spacing w:val="-2"/>
                        </w:rPr>
                        <w:t>cybersecurity, data privacy, and technology risk management</w:t>
                      </w:r>
                      <w:r>
                        <w:rPr>
                          <w:spacing w:val="4"/>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304800" distR="0" simplePos="0" locked="0" layoutInCell="1" allowOverlap="1" relativeHeight="170">
                <wp:simplePos x="0" y="0"/>
                <wp:positionH relativeFrom="column">
                  <wp:align>left</wp:align>
                </wp:positionH>
                <wp:positionV relativeFrom="line">
                  <wp:posOffset>635</wp:posOffset>
                </wp:positionV>
                <wp:extent cx="3055620" cy="7384415"/>
                <wp:effectExtent l="0" t="0" r="0" b="0"/>
                <wp:wrapSquare wrapText="right"/>
                <wp:docPr id="99" name="Frame36"/>
                <a:graphic xmlns:a="http://schemas.openxmlformats.org/drawingml/2006/main">
                  <a:graphicData uri="http://schemas.microsoft.com/office/word/2010/wordprocessingShape">
                    <wps:wsp>
                      <wps:cNvSpPr txBox="1"/>
                      <wps:spPr>
                        <a:xfrm>
                          <a:off x="0" y="0"/>
                          <a:ext cx="3055620" cy="7384415"/>
                        </a:xfrm>
                        <a:prstGeom prst="rect"/>
                        <a:solidFill>
                          <a:srgbClr val="FFFFFF"/>
                        </a:solidFill>
                      </wps:spPr>
                      <wps:txbx>
                        <w:txbxContent>
                          <w:p>
                            <w:pPr>
                              <w:pStyle w:val="TextBody"/>
                              <w:bidi w:val="0"/>
                              <w:spacing w:lineRule="atLeast" w:line="240" w:before="0" w:after="0"/>
                              <w:jc w:val="left"/>
                              <w:rPr>
                                <w:b/>
                                <w:color w:val="2E2925"/>
                              </w:rPr>
                            </w:pPr>
                            <w:r>
                              <w:rPr>
                                <w:b/>
                                <w:caps/>
                                <w:color w:val="2E2925"/>
                                <w:spacing w:val="-3"/>
                              </w:rPr>
                              <w:t>COMPENSATION COMMITTEE RISK MANAGEMENT OVERSIGHT INCLUDES:</w:t>
                            </w:r>
                            <w:r>
                              <w:rPr>
                                <w:b/>
                                <w:color w:val="000000"/>
                                <w:spacing w:val="4"/>
                              </w:rPr>
                              <w:t xml:space="preserve"> </w:t>
                            </w:r>
                          </w:p>
                          <w:p>
                            <w:pPr>
                              <w:pStyle w:val="TextBody"/>
                              <w:bidi w:val="0"/>
                              <w:spacing w:lineRule="atLeast" w:line="240" w:before="220" w:after="0"/>
                              <w:ind w:left="760" w:right="0" w:hanging="0"/>
                              <w:jc w:val="both"/>
                              <w:rPr/>
                            </w:pPr>
                            <w:r>
                              <w:rPr>
                                <w:spacing w:val="-2"/>
                              </w:rPr>
                              <w:t>considering the relationship between the Company’s overall compensation policies and practices for employees, including executive officers, and risk, including whether such policies and practices give rise to risks that would be reasonably likely to have a material adverse effect on the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283"/>
                              <w:jc w:val="left"/>
                              <w:rPr>
                                <w:b/>
                                <w:color w:val="2E2925"/>
                              </w:rPr>
                            </w:pPr>
                            <w:r>
                              <w:rPr>
                                <w:b/>
                                <w:caps/>
                                <w:color w:val="2E2925"/>
                                <w:spacing w:val="-3"/>
                              </w:rPr>
                              <w:t>NOMINATING AND CORPORATE GOVERNANCE COMMITTEE RISK MANAGEMENT OVERSIGHT INCLUDES:</w:t>
                            </w:r>
                            <w:r>
                              <w:rPr>
                                <w:b/>
                                <w:color w:val="000000"/>
                                <w:spacing w:val="4"/>
                              </w:rPr>
                              <w:t xml:space="preserve"> </w:t>
                            </w:r>
                          </w:p>
                          <w:p>
                            <w:pPr>
                              <w:pStyle w:val="TextBody"/>
                              <w:bidi w:val="0"/>
                              <w:spacing w:lineRule="atLeast" w:line="240" w:before="220" w:after="0"/>
                              <w:ind w:left="760" w:right="0" w:hanging="0"/>
                              <w:jc w:val="both"/>
                              <w:rPr/>
                            </w:pPr>
                            <w:r>
                              <w:rPr>
                                <w:spacing w:val="-2"/>
                              </w:rPr>
                              <w:t>managing risks related to Board and Committee composition</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both"/>
                              <w:rPr>
                                <w:spacing w:val="-2"/>
                              </w:rPr>
                            </w:pPr>
                            <w:r>
                              <w:rPr>
                                <w:spacing w:val="-2"/>
                              </w:rPr>
                              <w:t xml:space="preserve">managing risks related to succession planning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both"/>
                              <w:rPr/>
                            </w:pPr>
                            <w:r>
                              <w:rPr>
                                <w:spacing w:val="-2"/>
                              </w:rPr>
                              <w:t>oversight of risks related to corporate governance</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283"/>
                              <w:jc w:val="left"/>
                              <w:rPr>
                                <w:b/>
                                <w:color w:val="2E2925"/>
                              </w:rPr>
                            </w:pPr>
                            <w:r>
                              <w:rPr>
                                <w:b/>
                                <w:caps/>
                                <w:color w:val="2E2925"/>
                                <w:spacing w:val="-3"/>
                              </w:rPr>
                              <w:t>TECHNOLOGY COMMITTEE RISK MANAGEMENT OVERSIGHT INCLUDES:</w:t>
                            </w:r>
                            <w:r>
                              <w:rPr>
                                <w:b/>
                                <w:color w:val="000000"/>
                                <w:spacing w:val="4"/>
                              </w:rPr>
                              <w:t xml:space="preserve"> </w:t>
                            </w:r>
                          </w:p>
                          <w:p>
                            <w:pPr>
                              <w:pStyle w:val="TextBody"/>
                              <w:bidi w:val="0"/>
                              <w:spacing w:lineRule="atLeast" w:line="240" w:before="220" w:after="0"/>
                              <w:ind w:left="760" w:right="0" w:hanging="0"/>
                              <w:jc w:val="both"/>
                              <w:rPr/>
                            </w:pPr>
                            <w:r>
                              <w:rPr>
                                <w:spacing w:val="-2"/>
                              </w:rPr>
                              <w:t>innovation and emerging technology risks that impact the Company’s future strategy or current operations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left"/>
                              <w:rPr/>
                            </w:pPr>
                            <w:r>
                              <w:rPr>
                                <w:spacing w:val="-2"/>
                              </w:rPr>
                              <w:t>artificial intelligence risks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left"/>
                              <w:rPr/>
                            </w:pPr>
                            <w:r>
                              <w:rPr>
                                <w:spacing w:val="-2"/>
                              </w:rPr>
                              <w:t>digital strategy risks</w:t>
                            </w:r>
                            <w:r>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0.6pt;height:581.4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jc w:val="left"/>
                        <w:rPr>
                          <w:b/>
                          <w:color w:val="2E2925"/>
                        </w:rPr>
                      </w:pPr>
                      <w:r>
                        <w:rPr>
                          <w:b/>
                          <w:caps/>
                          <w:color w:val="2E2925"/>
                          <w:spacing w:val="-3"/>
                        </w:rPr>
                        <w:t>COMPENSATION COMMITTEE RISK MANAGEMENT OVERSIGHT INCLUDES:</w:t>
                      </w:r>
                      <w:r>
                        <w:rPr>
                          <w:b/>
                          <w:color w:val="000000"/>
                          <w:spacing w:val="4"/>
                        </w:rPr>
                        <w:t xml:space="preserve"> </w:t>
                      </w:r>
                    </w:p>
                    <w:p>
                      <w:pPr>
                        <w:pStyle w:val="TextBody"/>
                        <w:bidi w:val="0"/>
                        <w:spacing w:lineRule="atLeast" w:line="240" w:before="220" w:after="0"/>
                        <w:ind w:left="760" w:right="0" w:hanging="0"/>
                        <w:jc w:val="both"/>
                        <w:rPr/>
                      </w:pPr>
                      <w:r>
                        <w:rPr>
                          <w:spacing w:val="-2"/>
                        </w:rPr>
                        <w:t>considering the relationship between the Company’s overall compensation policies and practices for employees, including executive officers, and risk, including whether such policies and practices give rise to risks that would be reasonably likely to have a material adverse effect on the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283"/>
                        <w:jc w:val="left"/>
                        <w:rPr>
                          <w:b/>
                          <w:color w:val="2E2925"/>
                        </w:rPr>
                      </w:pPr>
                      <w:r>
                        <w:rPr>
                          <w:b/>
                          <w:caps/>
                          <w:color w:val="2E2925"/>
                          <w:spacing w:val="-3"/>
                        </w:rPr>
                        <w:t>NOMINATING AND CORPORATE GOVERNANCE COMMITTEE RISK MANAGEMENT OVERSIGHT INCLUDES:</w:t>
                      </w:r>
                      <w:r>
                        <w:rPr>
                          <w:b/>
                          <w:color w:val="000000"/>
                          <w:spacing w:val="4"/>
                        </w:rPr>
                        <w:t xml:space="preserve"> </w:t>
                      </w:r>
                    </w:p>
                    <w:p>
                      <w:pPr>
                        <w:pStyle w:val="TextBody"/>
                        <w:bidi w:val="0"/>
                        <w:spacing w:lineRule="atLeast" w:line="240" w:before="220" w:after="0"/>
                        <w:ind w:left="760" w:right="0" w:hanging="0"/>
                        <w:jc w:val="both"/>
                        <w:rPr/>
                      </w:pPr>
                      <w:r>
                        <w:rPr>
                          <w:spacing w:val="-2"/>
                        </w:rPr>
                        <w:t>managing risks related to Board and Committee composition</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both"/>
                        <w:rPr>
                          <w:spacing w:val="-2"/>
                        </w:rPr>
                      </w:pPr>
                      <w:r>
                        <w:rPr>
                          <w:spacing w:val="-2"/>
                        </w:rPr>
                        <w:t xml:space="preserve">managing risks related to succession planning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both"/>
                        <w:rPr/>
                      </w:pPr>
                      <w:r>
                        <w:rPr>
                          <w:spacing w:val="-2"/>
                        </w:rPr>
                        <w:t>oversight of risks related to corporate governance</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283"/>
                        <w:jc w:val="left"/>
                        <w:rPr>
                          <w:b/>
                          <w:color w:val="2E2925"/>
                        </w:rPr>
                      </w:pPr>
                      <w:r>
                        <w:rPr>
                          <w:b/>
                          <w:caps/>
                          <w:color w:val="2E2925"/>
                          <w:spacing w:val="-3"/>
                        </w:rPr>
                        <w:t>TECHNOLOGY COMMITTEE RISK MANAGEMENT OVERSIGHT INCLUDES:</w:t>
                      </w:r>
                      <w:r>
                        <w:rPr>
                          <w:b/>
                          <w:color w:val="000000"/>
                          <w:spacing w:val="4"/>
                        </w:rPr>
                        <w:t xml:space="preserve"> </w:t>
                      </w:r>
                    </w:p>
                    <w:p>
                      <w:pPr>
                        <w:pStyle w:val="TextBody"/>
                        <w:bidi w:val="0"/>
                        <w:spacing w:lineRule="atLeast" w:line="240" w:before="220" w:after="0"/>
                        <w:ind w:left="760" w:right="0" w:hanging="0"/>
                        <w:jc w:val="both"/>
                        <w:rPr/>
                      </w:pPr>
                      <w:r>
                        <w:rPr>
                          <w:spacing w:val="-2"/>
                        </w:rPr>
                        <w:t>innovation and emerging technology risks that impact the Company’s future strategy or current operations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left"/>
                        <w:rPr/>
                      </w:pPr>
                      <w:r>
                        <w:rPr>
                          <w:spacing w:val="-2"/>
                        </w:rPr>
                        <w:t>artificial intelligence risks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left"/>
                        <w:rPr/>
                      </w:pPr>
                      <w:r>
                        <w:rPr>
                          <w:spacing w:val="-2"/>
                        </w:rPr>
                        <w:t>digital strategy risks</w:t>
                      </w:r>
                      <w:r>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139700" distB="0" distL="254000" distR="0" simplePos="0" locked="0" layoutInCell="1" allowOverlap="1" relativeHeight="162">
                <wp:simplePos x="0" y="0"/>
                <wp:positionH relativeFrom="column">
                  <wp:align>left</wp:align>
                </wp:positionH>
                <wp:positionV relativeFrom="line">
                  <wp:align>top</wp:align>
                </wp:positionV>
                <wp:extent cx="228600" cy="350520"/>
                <wp:effectExtent l="0" t="0" r="0" b="0"/>
                <wp:wrapSquare wrapText="right"/>
                <wp:docPr id="100" name="Frame2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pt;mso-wrap-distance-bottom:0pt;margin-top:1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39700" distB="0" distL="254000" distR="0" simplePos="0" locked="0" layoutInCell="1" allowOverlap="1" relativeHeight="163">
                <wp:simplePos x="0" y="0"/>
                <wp:positionH relativeFrom="column">
                  <wp:align>left</wp:align>
                </wp:positionH>
                <wp:positionV relativeFrom="line">
                  <wp:align>top</wp:align>
                </wp:positionV>
                <wp:extent cx="228600" cy="350520"/>
                <wp:effectExtent l="0" t="0" r="0" b="0"/>
                <wp:wrapSquare wrapText="right"/>
                <wp:docPr id="101" name="Frame2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pt;mso-wrap-distance-bottom:0pt;margin-top:1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39700" distB="0" distL="254000" distR="0" simplePos="0" locked="0" layoutInCell="1" allowOverlap="1" relativeHeight="164">
                <wp:simplePos x="0" y="0"/>
                <wp:positionH relativeFrom="column">
                  <wp:align>left</wp:align>
                </wp:positionH>
                <wp:positionV relativeFrom="line">
                  <wp:align>top</wp:align>
                </wp:positionV>
                <wp:extent cx="228600" cy="350520"/>
                <wp:effectExtent l="0" t="0" r="0" b="0"/>
                <wp:wrapSquare wrapText="right"/>
                <wp:docPr id="102" name="Frame3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pt;mso-wrap-distance-bottom:0pt;margin-top:1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39700" distB="0" distL="254000" distR="0" simplePos="0" locked="0" layoutInCell="1" allowOverlap="1" relativeHeight="165">
                <wp:simplePos x="0" y="0"/>
                <wp:positionH relativeFrom="column">
                  <wp:align>left</wp:align>
                </wp:positionH>
                <wp:positionV relativeFrom="line">
                  <wp:align>top</wp:align>
                </wp:positionV>
                <wp:extent cx="228600" cy="350520"/>
                <wp:effectExtent l="0" t="0" r="0" b="0"/>
                <wp:wrapSquare wrapText="right"/>
                <wp:docPr id="103" name="Frame3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pt;mso-wrap-distance-bottom:0pt;margin-top:1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39700" distB="0" distL="254000" distR="0" simplePos="0" locked="0" layoutInCell="1" allowOverlap="1" relativeHeight="166">
                <wp:simplePos x="0" y="0"/>
                <wp:positionH relativeFrom="column">
                  <wp:align>left</wp:align>
                </wp:positionH>
                <wp:positionV relativeFrom="line">
                  <wp:align>top</wp:align>
                </wp:positionV>
                <wp:extent cx="228600" cy="350520"/>
                <wp:effectExtent l="0" t="0" r="0" b="0"/>
                <wp:wrapSquare wrapText="right"/>
                <wp:docPr id="104" name="Frame3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pt;mso-wrap-distance-bottom:0pt;margin-top:1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39700" distB="0" distL="254000" distR="0" simplePos="0" locked="0" layoutInCell="1" allowOverlap="1" relativeHeight="167">
                <wp:simplePos x="0" y="0"/>
                <wp:positionH relativeFrom="column">
                  <wp:align>left</wp:align>
                </wp:positionH>
                <wp:positionV relativeFrom="line">
                  <wp:align>top</wp:align>
                </wp:positionV>
                <wp:extent cx="228600" cy="350520"/>
                <wp:effectExtent l="0" t="0" r="0" b="0"/>
                <wp:wrapSquare wrapText="right"/>
                <wp:docPr id="105" name="Frame3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pt;mso-wrap-distance-bottom:0pt;margin-top:1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39700" distB="0" distL="254000" distR="0" simplePos="0" locked="0" layoutInCell="1" allowOverlap="1" relativeHeight="168">
                <wp:simplePos x="0" y="0"/>
                <wp:positionH relativeFrom="column">
                  <wp:align>left</wp:align>
                </wp:positionH>
                <wp:positionV relativeFrom="line">
                  <wp:align>top</wp:align>
                </wp:positionV>
                <wp:extent cx="228600" cy="350520"/>
                <wp:effectExtent l="0" t="0" r="0" b="0"/>
                <wp:wrapSquare wrapText="right"/>
                <wp:docPr id="106" name="Frame3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pt;mso-wrap-distance-bottom:0pt;margin-top:1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39700" distB="0" distL="254000" distR="0" simplePos="0" locked="0" layoutInCell="1" allowOverlap="1" relativeHeight="169">
                <wp:simplePos x="0" y="0"/>
                <wp:positionH relativeFrom="column">
                  <wp:align>left</wp:align>
                </wp:positionH>
                <wp:positionV relativeFrom="line">
                  <wp:align>top</wp:align>
                </wp:positionV>
                <wp:extent cx="228600" cy="350520"/>
                <wp:effectExtent l="0" t="0" r="0" b="0"/>
                <wp:wrapSquare wrapText="right"/>
                <wp:docPr id="107" name="Frame3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pt;mso-wrap-distance-bottom:0pt;margin-top:1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39700" distB="0" distL="254000" distR="0" simplePos="0" locked="0" layoutInCell="1" allowOverlap="1" relativeHeight="171">
                <wp:simplePos x="0" y="0"/>
                <wp:positionH relativeFrom="column">
                  <wp:align>left</wp:align>
                </wp:positionH>
                <wp:positionV relativeFrom="line">
                  <wp:align>top</wp:align>
                </wp:positionV>
                <wp:extent cx="228600" cy="350520"/>
                <wp:effectExtent l="0" t="0" r="0" b="0"/>
                <wp:wrapSquare wrapText="right"/>
                <wp:docPr id="108" name="Frame3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pt;mso-wrap-distance-bottom:0pt;margin-top:1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39700" distB="0" distL="254000" distR="0" simplePos="0" locked="0" layoutInCell="1" allowOverlap="1" relativeHeight="172">
                <wp:simplePos x="0" y="0"/>
                <wp:positionH relativeFrom="column">
                  <wp:align>left</wp:align>
                </wp:positionH>
                <wp:positionV relativeFrom="line">
                  <wp:align>top</wp:align>
                </wp:positionV>
                <wp:extent cx="228600" cy="350520"/>
                <wp:effectExtent l="0" t="0" r="0" b="0"/>
                <wp:wrapSquare wrapText="right"/>
                <wp:docPr id="109" name="Frame3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pt;mso-wrap-distance-bottom:0pt;margin-top:1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39700" distB="0" distL="254000" distR="0" simplePos="0" locked="0" layoutInCell="1" allowOverlap="1" relativeHeight="173">
                <wp:simplePos x="0" y="0"/>
                <wp:positionH relativeFrom="column">
                  <wp:align>left</wp:align>
                </wp:positionH>
                <wp:positionV relativeFrom="line">
                  <wp:align>top</wp:align>
                </wp:positionV>
                <wp:extent cx="228600" cy="350520"/>
                <wp:effectExtent l="0" t="0" r="0" b="0"/>
                <wp:wrapSquare wrapText="right"/>
                <wp:docPr id="110" name="Frame3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pt;mso-wrap-distance-bottom:0pt;margin-top:1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39700" distB="0" distL="254000" distR="0" simplePos="0" locked="0" layoutInCell="1" allowOverlap="1" relativeHeight="174">
                <wp:simplePos x="0" y="0"/>
                <wp:positionH relativeFrom="column">
                  <wp:align>left</wp:align>
                </wp:positionH>
                <wp:positionV relativeFrom="line">
                  <wp:align>top</wp:align>
                </wp:positionV>
                <wp:extent cx="228600" cy="350520"/>
                <wp:effectExtent l="0" t="0" r="0" b="0"/>
                <wp:wrapSquare wrapText="right"/>
                <wp:docPr id="111" name="Frame4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pt;mso-wrap-distance-bottom:0pt;margin-top:1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39700" distB="0" distL="254000" distR="0" simplePos="0" locked="0" layoutInCell="1" allowOverlap="1" relativeHeight="175">
                <wp:simplePos x="0" y="0"/>
                <wp:positionH relativeFrom="column">
                  <wp:align>left</wp:align>
                </wp:positionH>
                <wp:positionV relativeFrom="line">
                  <wp:align>top</wp:align>
                </wp:positionV>
                <wp:extent cx="228600" cy="350520"/>
                <wp:effectExtent l="0" t="0" r="0" b="0"/>
                <wp:wrapSquare wrapText="right"/>
                <wp:docPr id="112" name="Frame4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pt;mso-wrap-distance-bottom:0pt;margin-top:1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39700" distB="0" distL="254000" distR="0" simplePos="0" locked="0" layoutInCell="1" allowOverlap="1" relativeHeight="176">
                <wp:simplePos x="0" y="0"/>
                <wp:positionH relativeFrom="column">
                  <wp:align>left</wp:align>
                </wp:positionH>
                <wp:positionV relativeFrom="line">
                  <wp:align>top</wp:align>
                </wp:positionV>
                <wp:extent cx="228600" cy="350520"/>
                <wp:effectExtent l="0" t="0" r="0" b="0"/>
                <wp:wrapSquare wrapText="right"/>
                <wp:docPr id="113" name="Frame4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pt;mso-wrap-distance-bottom:0pt;margin-top:1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39700" distB="0" distL="254000" distR="0" simplePos="0" locked="0" layoutInCell="1" allowOverlap="1" relativeHeight="177">
                <wp:simplePos x="0" y="0"/>
                <wp:positionH relativeFrom="column">
                  <wp:align>left</wp:align>
                </wp:positionH>
                <wp:positionV relativeFrom="line">
                  <wp:align>top</wp:align>
                </wp:positionV>
                <wp:extent cx="228600" cy="350520"/>
                <wp:effectExtent l="0" t="0" r="0" b="0"/>
                <wp:wrapSquare wrapText="right"/>
                <wp:docPr id="114" name="Frame4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pt;mso-wrap-distance-bottom:0pt;margin-top:1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/ 11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DIIN"/>
      <w:bookmarkEnd w:id="15"/>
      <w:r>
        <w:rPr>
          <w:rFonts w:ascii="calibri;arial;sans-serif" w:hAnsi="calibri;arial;sans-serif"/>
          <w:b w:val="false"/>
          <w:i w:val="false"/>
          <w:caps w:val="false"/>
          <w:smallCaps w:val="false"/>
          <w:color w:val="000000"/>
          <w:sz w:val="16"/>
        </w:rPr>
        <w:t>​</w:t>
      </w:r>
      <w:bookmarkStart w:id="16" w:name="tDINO1"/>
      <w:bookmarkEnd w:id="16"/>
      <w:r>
        <w:rPr>
          <w:rFonts w:ascii="calibri;arial;sans-serif" w:hAnsi="calibri;arial;sans-serif"/>
          <w:b w:val="false"/>
          <w:i w:val="false"/>
          <w:caps w:val="false"/>
          <w:smallCaps w:val="false"/>
          <w:color w:val="000000"/>
          <w:sz w:val="16"/>
        </w:rPr>
        <w:t>​</w:t>
      </w:r>
      <w:bookmarkStart w:id="17" w:name="tQUA"/>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 xml:space="preserve">Matters Related to Corporate Governance, Board Structure, Director </w:t>
        <w:br/>
        <w:t>Compensation and Stock Ownership</w:t>
      </w:r>
      <w:r>
        <w:rPr>
          <w:rFonts w:ascii="Arial;Helvetica;sans-serif" w:hAnsi="Arial;Helvetica;sans-serif"/>
          <w:b/>
          <w:i w:val="false"/>
          <w:caps w:val="false"/>
          <w:smallCaps w:val="false"/>
          <w:color w:val="7F7F7F"/>
          <w:spacing w:val="-3"/>
          <w:sz w:val="22"/>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178">
                <wp:simplePos x="0" y="0"/>
                <wp:positionH relativeFrom="column">
                  <wp:align>left</wp:align>
                </wp:positionH>
                <wp:positionV relativeFrom="line">
                  <wp:posOffset>635</wp:posOffset>
                </wp:positionV>
                <wp:extent cx="3055620" cy="2382520"/>
                <wp:effectExtent l="0" t="0" r="0" b="0"/>
                <wp:wrapSquare wrapText="right"/>
                <wp:docPr id="115" name="Frame44"/>
                <a:graphic xmlns:a="http://schemas.openxmlformats.org/drawingml/2006/main">
                  <a:graphicData uri="http://schemas.microsoft.com/office/word/2010/wordprocessingShape">
                    <wps:wsp>
                      <wps:cNvSpPr txBox="1"/>
                      <wps:spPr>
                        <a:xfrm>
                          <a:off x="0" y="0"/>
                          <a:ext cx="3055620" cy="2382520"/>
                        </a:xfrm>
                        <a:prstGeom prst="rect"/>
                        <a:solidFill>
                          <a:srgbClr val="FFFFFF"/>
                        </a:solidFill>
                      </wps:spPr>
                      <wps:txbx>
                        <w:txbxContent>
                          <w:p>
                            <w:pPr>
                              <w:pStyle w:val="TextBody"/>
                              <w:bidi w:val="0"/>
                              <w:spacing w:lineRule="atLeast" w:line="240" w:before="0" w:after="0"/>
                              <w:jc w:val="left"/>
                              <w:rPr>
                                <w:b/>
                                <w:color w:val="2E2925"/>
                              </w:rPr>
                            </w:pPr>
                            <w:r>
                              <w:rPr>
                                <w:b/>
                                <w:caps/>
                                <w:color w:val="2E2925"/>
                                <w:spacing w:val="-3"/>
                              </w:rPr>
                              <w:t>INSURANCE COMMITTEE RISK MANAGEMENT OVERSIGHT INCLUDES:</w:t>
                            </w:r>
                            <w:r>
                              <w:rPr>
                                <w:b/>
                                <w:color w:val="000000"/>
                                <w:spacing w:val="4"/>
                              </w:rPr>
                              <w:t xml:space="preserve"> </w:t>
                            </w:r>
                          </w:p>
                          <w:p>
                            <w:pPr>
                              <w:pStyle w:val="TextBody"/>
                              <w:bidi w:val="0"/>
                              <w:spacing w:lineRule="atLeast" w:line="240" w:before="220" w:after="0"/>
                              <w:ind w:left="760" w:right="0" w:hanging="0"/>
                              <w:jc w:val="both"/>
                              <w:rPr/>
                            </w:pPr>
                            <w:r>
                              <w:rPr>
                                <w:spacing w:val="-2"/>
                              </w:rPr>
                              <w:t>Oversight of the strategy, risk profile, capital allocation, and operating performance of the Company’s insurance and reinsurance businesses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both"/>
                              <w:rPr/>
                            </w:pPr>
                            <w:r>
                              <w:rPr>
                                <w:spacing w:val="-2"/>
                              </w:rPr>
                              <w:t>Review of material underwriting, reinsurance, investment, and regulatory risks relating to the Company’s insurance subsidiaries</w:t>
                            </w:r>
                            <w:r>
                              <w:rPr>
                                <w:spacing w:val="4"/>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0.6pt;height:187.6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jc w:val="left"/>
                        <w:rPr>
                          <w:b/>
                          <w:color w:val="2E2925"/>
                        </w:rPr>
                      </w:pPr>
                      <w:r>
                        <w:rPr>
                          <w:b/>
                          <w:caps/>
                          <w:color w:val="2E2925"/>
                          <w:spacing w:val="-3"/>
                        </w:rPr>
                        <w:t>INSURANCE COMMITTEE RISK MANAGEMENT OVERSIGHT INCLUDES:</w:t>
                      </w:r>
                      <w:r>
                        <w:rPr>
                          <w:b/>
                          <w:color w:val="000000"/>
                          <w:spacing w:val="4"/>
                        </w:rPr>
                        <w:t xml:space="preserve"> </w:t>
                      </w:r>
                    </w:p>
                    <w:p>
                      <w:pPr>
                        <w:pStyle w:val="TextBody"/>
                        <w:bidi w:val="0"/>
                        <w:spacing w:lineRule="atLeast" w:line="240" w:before="220" w:after="0"/>
                        <w:ind w:left="760" w:right="0" w:hanging="0"/>
                        <w:jc w:val="both"/>
                        <w:rPr/>
                      </w:pPr>
                      <w:r>
                        <w:rPr>
                          <w:spacing w:val="-2"/>
                        </w:rPr>
                        <w:t>Oversight of the strategy, risk profile, capital allocation, and operating performance of the Company’s insurance and reinsurance businesses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both"/>
                        <w:rPr/>
                      </w:pPr>
                      <w:r>
                        <w:rPr>
                          <w:spacing w:val="-2"/>
                        </w:rPr>
                        <w:t>Review of material underwriting, reinsurance, investment, and regulatory risks relating to the Company’s insurance subsidiaries</w:t>
                      </w:r>
                      <w:r>
                        <w:rPr>
                          <w:spacing w:val="4"/>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304800" distR="0" simplePos="0" locked="0" layoutInCell="1" allowOverlap="1" relativeHeight="181">
                <wp:simplePos x="0" y="0"/>
                <wp:positionH relativeFrom="column">
                  <wp:align>left</wp:align>
                </wp:positionH>
                <wp:positionV relativeFrom="line">
                  <wp:posOffset>635</wp:posOffset>
                </wp:positionV>
                <wp:extent cx="3055620" cy="1330960"/>
                <wp:effectExtent l="0" t="0" r="0" b="0"/>
                <wp:wrapSquare wrapText="right"/>
                <wp:docPr id="116" name="Frame47"/>
                <a:graphic xmlns:a="http://schemas.openxmlformats.org/drawingml/2006/main">
                  <a:graphicData uri="http://schemas.microsoft.com/office/word/2010/wordprocessingShape">
                    <wps:wsp>
                      <wps:cNvSpPr txBox="1"/>
                      <wps:spPr>
                        <a:xfrm>
                          <a:off x="0" y="0"/>
                          <a:ext cx="3055620" cy="1330960"/>
                        </a:xfrm>
                        <a:prstGeom prst="rect"/>
                        <a:solidFill>
                          <a:srgbClr val="FFFFFF"/>
                        </a:solidFill>
                      </wps:spPr>
                      <wps:txbx>
                        <w:txbxContent>
                          <w:p>
                            <w:pPr>
                              <w:pStyle w:val="TextBody"/>
                              <w:bidi w:val="0"/>
                              <w:spacing w:lineRule="atLeast" w:line="240" w:before="0" w:after="0"/>
                              <w:ind w:left="760" w:right="0" w:hanging="0"/>
                              <w:jc w:val="both"/>
                              <w:rPr/>
                            </w:pPr>
                            <w:r>
                              <w:rPr>
                                <w:spacing w:val="-2"/>
                              </w:rPr>
                              <w:t>Oversight of integration risks arising from the acquisition of Vantage Group Holdings, Ltd.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both"/>
                              <w:rPr/>
                            </w:pPr>
                            <w:r>
                              <w:rPr>
                                <w:spacing w:val="-2"/>
                              </w:rPr>
                              <w:t>Review of insurance regulatory compliance matters</w:t>
                            </w:r>
                            <w:r>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0.6pt;height:104.8pt;mso-wrap-distance-left:24pt;mso-wrap-distance-right:0pt;mso-wrap-distance-top:0pt;mso-wrap-distance-bottom:0pt;margin-top:0pt;mso-position-vertical:top;mso-position-vertical-relative:text;margin-left:288.6pt;mso-position-horizontal:left;mso-position-horizontal-relative:text">
                <v:textbox>
                  <w:txbxContent>
                    <w:p>
                      <w:pPr>
                        <w:pStyle w:val="TextBody"/>
                        <w:bidi w:val="0"/>
                        <w:spacing w:lineRule="atLeast" w:line="240" w:before="0" w:after="0"/>
                        <w:ind w:left="760" w:right="0" w:hanging="0"/>
                        <w:jc w:val="both"/>
                        <w:rPr/>
                      </w:pPr>
                      <w:r>
                        <w:rPr>
                          <w:spacing w:val="-2"/>
                        </w:rPr>
                        <w:t>Oversight of integration risks arising from the acquisition of Vantage Group Holdings, Ltd.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20" w:after="0"/>
                        <w:ind w:left="760" w:right="0" w:hanging="0"/>
                        <w:jc w:val="both"/>
                        <w:rPr/>
                      </w:pPr>
                      <w:r>
                        <w:rPr>
                          <w:spacing w:val="-2"/>
                        </w:rPr>
                        <w:t>Review of insurance regulatory compliance matters</w:t>
                      </w:r>
                      <w:r>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139700" distB="0" distL="254000" distR="0" simplePos="0" locked="0" layoutInCell="1" allowOverlap="1" relativeHeight="179">
                <wp:simplePos x="0" y="0"/>
                <wp:positionH relativeFrom="column">
                  <wp:align>left</wp:align>
                </wp:positionH>
                <wp:positionV relativeFrom="line">
                  <wp:align>top</wp:align>
                </wp:positionV>
                <wp:extent cx="228600" cy="350520"/>
                <wp:effectExtent l="0" t="0" r="0" b="0"/>
                <wp:wrapSquare wrapText="right"/>
                <wp:docPr id="117" name="Frame4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pt;mso-wrap-distance-bottom:0pt;margin-top:1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39700" distB="0" distL="254000" distR="0" simplePos="0" locked="0" layoutInCell="1" allowOverlap="1" relativeHeight="180">
                <wp:simplePos x="0" y="0"/>
                <wp:positionH relativeFrom="column">
                  <wp:align>left</wp:align>
                </wp:positionH>
                <wp:positionV relativeFrom="line">
                  <wp:align>top</wp:align>
                </wp:positionV>
                <wp:extent cx="228600" cy="350520"/>
                <wp:effectExtent l="0" t="0" r="0" b="0"/>
                <wp:wrapSquare wrapText="right"/>
                <wp:docPr id="118" name="Frame4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pt;mso-wrap-distance-bottom:0pt;margin-top:1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182">
                <wp:simplePos x="0" y="0"/>
                <wp:positionH relativeFrom="column">
                  <wp:align>left</wp:align>
                </wp:positionH>
                <wp:positionV relativeFrom="line">
                  <wp:posOffset>635</wp:posOffset>
                </wp:positionV>
                <wp:extent cx="228600" cy="350520"/>
                <wp:effectExtent l="0" t="0" r="0" b="0"/>
                <wp:wrapSquare wrapText="right"/>
                <wp:docPr id="119" name="Frame4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39700" distB="0" distL="254000" distR="0" simplePos="0" locked="0" layoutInCell="1" allowOverlap="1" relativeHeight="183">
                <wp:simplePos x="0" y="0"/>
                <wp:positionH relativeFrom="column">
                  <wp:align>left</wp:align>
                </wp:positionH>
                <wp:positionV relativeFrom="line">
                  <wp:align>top</wp:align>
                </wp:positionV>
                <wp:extent cx="228600" cy="350520"/>
                <wp:effectExtent l="0" t="0" r="0" b="0"/>
                <wp:wrapSquare wrapText="right"/>
                <wp:docPr id="120" name="Frame4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pt;mso-wrap-distance-bottom:0pt;margin-top:1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lineRule="atLeast" w:line="340" w:before="180" w:after="283"/>
        <w:ind w:left="901"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DIRECTOR INDEPENDENCE</w:t>
      </w:r>
      <w:r>
        <w:rPr>
          <w:rFonts w:ascii="Arial;Helvetica;sans-serif" w:hAnsi="Arial;Helvetica;sans-serif"/>
          <w:b/>
          <w:i w:val="false"/>
          <w:caps w:val="false"/>
          <w:smallCaps w:val="false"/>
          <w:color w:val="000000"/>
          <w:spacing w:val="6"/>
          <w:sz w:val="3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184">
                <wp:simplePos x="0" y="0"/>
                <wp:positionH relativeFrom="column">
                  <wp:align>left</wp:align>
                </wp:positionH>
                <wp:positionV relativeFrom="line">
                  <wp:posOffset>635</wp:posOffset>
                </wp:positionV>
                <wp:extent cx="3055620" cy="1927860"/>
                <wp:effectExtent l="0" t="0" r="0" b="0"/>
                <wp:wrapSquare wrapText="right"/>
                <wp:docPr id="121" name="Frame50"/>
                <a:graphic xmlns:a="http://schemas.openxmlformats.org/drawingml/2006/main">
                  <a:graphicData uri="http://schemas.microsoft.com/office/word/2010/wordprocessingShape">
                    <wps:wsp>
                      <wps:cNvSpPr txBox="1"/>
                      <wps:spPr>
                        <a:xfrm>
                          <a:off x="0" y="0"/>
                          <a:ext cx="3055620" cy="1927860"/>
                        </a:xfrm>
                        <a:prstGeom prst="rect"/>
                        <a:solidFill>
                          <a:srgbClr val="FFFFFF"/>
                        </a:solidFill>
                      </wps:spPr>
                      <wps:txbx>
                        <w:txbxContent>
                          <w:p>
                            <w:pPr>
                              <w:pStyle w:val="TextBody"/>
                              <w:bidi w:val="0"/>
                              <w:spacing w:lineRule="atLeast" w:line="240" w:before="0" w:after="0"/>
                              <w:jc w:val="both"/>
                              <w:rPr>
                                <w:spacing w:val="-2"/>
                              </w:rPr>
                            </w:pPr>
                            <w:r>
                              <w:rPr>
                                <w:spacing w:val="-2"/>
                              </w:rPr>
                              <w:t xml:space="preserve">NYSE corporate governance guidelines require that at least a majority of the members of the Board meet the NYSE criteria for independence. The Board has determined that each of the following non-management directors is independent under the NYSE independence standards: Mr. Eun, Mr. Lachman, Ms. Panuccio, Mr. Sellers, Ms. Tighe, Mr. Wautier, and Mr. Williams. Mr. Steven Shepsman, who served as a director until September 2025, was also determined by the Board to </w:t>
                            </w:r>
                          </w:p>
                        </w:txbxContent>
                      </wps:txbx>
                      <wps:bodyPr anchor="t" lIns="0" tIns="0" rIns="0" bIns="0">
                        <a:noAutofit/>
                      </wps:bodyPr>
                    </wps:wsp>
                  </a:graphicData>
                </a:graphic>
              </wp:anchor>
            </w:drawing>
          </mc:Choice>
          <mc:Fallback>
            <w:pict>
              <v:rect style="position:absolute;rotation:-0;width:240.6pt;height:151.8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jc w:val="both"/>
                        <w:rPr>
                          <w:spacing w:val="-2"/>
                        </w:rPr>
                      </w:pPr>
                      <w:r>
                        <w:rPr>
                          <w:spacing w:val="-2"/>
                        </w:rPr>
                        <w:t xml:space="preserve">NYSE corporate governance guidelines require that at least a majority of the members of the Board meet the NYSE criteria for independence. The Board has determined that each of the following non-management directors is independent under the NYSE independence standards: Mr. Eun, Mr. Lachman, Ms. Panuccio, Mr. Sellers, Ms. Tighe, Mr. Wautier, and Mr. Williams. Mr. Steven Shepsman, who served as a director until September 2025, was also determined by the Board to </w:t>
                      </w:r>
                    </w:p>
                  </w:txbxContent>
                </v:textbox>
                <w10:wrap type="square" side="right"/>
              </v:rect>
            </w:pict>
          </mc:Fallback>
        </mc:AlternateContent>
      </w:r>
      <w:r>
        <mc:AlternateContent>
          <mc:Choice Requires="wps">
            <w:drawing>
              <wp:anchor behindDoc="0" distT="0" distB="0" distL="304800" distR="0" simplePos="0" locked="0" layoutInCell="1" allowOverlap="1" relativeHeight="185">
                <wp:simplePos x="0" y="0"/>
                <wp:positionH relativeFrom="column">
                  <wp:align>left</wp:align>
                </wp:positionH>
                <wp:positionV relativeFrom="line">
                  <wp:posOffset>635</wp:posOffset>
                </wp:positionV>
                <wp:extent cx="3055620" cy="1752600"/>
                <wp:effectExtent l="0" t="0" r="0" b="0"/>
                <wp:wrapSquare wrapText="right"/>
                <wp:docPr id="122" name="Frame51"/>
                <a:graphic xmlns:a="http://schemas.openxmlformats.org/drawingml/2006/main">
                  <a:graphicData uri="http://schemas.microsoft.com/office/word/2010/wordprocessingShape">
                    <wps:wsp>
                      <wps:cNvSpPr txBox="1"/>
                      <wps:spPr>
                        <a:xfrm>
                          <a:off x="0" y="0"/>
                          <a:ext cx="3055620" cy="1752600"/>
                        </a:xfrm>
                        <a:prstGeom prst="rect"/>
                        <a:solidFill>
                          <a:srgbClr val="FFFFFF"/>
                        </a:solidFill>
                      </wps:spPr>
                      <wps:txbx>
                        <w:txbxContent>
                          <w:p>
                            <w:pPr>
                              <w:pStyle w:val="TextBody"/>
                              <w:bidi w:val="0"/>
                              <w:spacing w:lineRule="atLeast" w:line="240" w:before="0" w:after="0"/>
                              <w:jc w:val="both"/>
                              <w:rPr/>
                            </w:pPr>
                            <w:r>
                              <w:rPr>
                                <w:spacing w:val="-2"/>
                              </w:rPr>
                              <w:t>be independent under the NYSE independence standards during his period of service. Mr. O’Reilly is not independent because he is the Chief Executive Officer of the Company. Messrs. Ackman, Grandisson and Israel are not independent due to the agreements between Pershing Square and the Company as summarized elsewhere in this Proxy Statement, as well as, in the cases of Messrs. Ackman and Israel, because they are executive officers of the Company.</w:t>
                            </w:r>
                            <w:r>
                              <w:rPr/>
                              <w:t xml:space="preserve"> </w:t>
                            </w:r>
                          </w:p>
                        </w:txbxContent>
                      </wps:txbx>
                      <wps:bodyPr anchor="t" lIns="0" tIns="0" rIns="0" bIns="0">
                        <a:noAutofit/>
                      </wps:bodyPr>
                    </wps:wsp>
                  </a:graphicData>
                </a:graphic>
              </wp:anchor>
            </w:drawing>
          </mc:Choice>
          <mc:Fallback>
            <w:pict>
              <v:rect style="position:absolute;rotation:-0;width:240.6pt;height:138pt;mso-wrap-distance-left:24pt;mso-wrap-distance-right:0pt;mso-wrap-distance-top:0pt;mso-wrap-distance-bottom:0pt;margin-top:0pt;mso-position-vertical:top;mso-position-vertical-relative:text;margin-left:288.6pt;mso-position-horizontal:left;mso-position-horizontal-relative:text">
                <v:textbox>
                  <w:txbxContent>
                    <w:p>
                      <w:pPr>
                        <w:pStyle w:val="TextBody"/>
                        <w:bidi w:val="0"/>
                        <w:spacing w:lineRule="atLeast" w:line="240" w:before="0" w:after="0"/>
                        <w:jc w:val="both"/>
                        <w:rPr/>
                      </w:pPr>
                      <w:r>
                        <w:rPr>
                          <w:spacing w:val="-2"/>
                        </w:rPr>
                        <w:t>be independent under the NYSE independence standards during his period of service. Mr. O’Reilly is not independent because he is the Chief Executive Officer of the Company. Messrs. Ackman, Grandisson and Israel are not independent due to the agreements between Pershing Square and the Company as summarized elsewhere in this Proxy Statement, as well as, in the cases of Messrs. Ackman and Israel, because they are executive officers of the Company.</w:t>
                      </w:r>
                      <w:r>
                        <w:rPr/>
                        <w:t xml:space="preserve"> </w:t>
                      </w:r>
                    </w:p>
                  </w:txbxContent>
                </v:textbox>
                <w10:wrap type="square" side="right"/>
              </v:rect>
            </w:pict>
          </mc:Fallback>
        </mc:AlternateContent>
      </w:r>
    </w:p>
    <w:p>
      <w:pPr>
        <w:pStyle w:val="TextBody"/>
        <w:bidi w:val="0"/>
        <w:spacing w:lineRule="atLeast" w:line="340" w:before="300" w:after="283"/>
        <w:ind w:left="901"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DIRECTOR NOMINATIONS</w:t>
      </w:r>
      <w:r>
        <w:rPr>
          <w:rFonts w:ascii="Arial;Helvetica;sans-serif" w:hAnsi="Arial;Helvetica;sans-serif"/>
          <w:b/>
          <w:i w:val="false"/>
          <w:caps w:val="false"/>
          <w:smallCaps w:val="false"/>
          <w:color w:val="000000"/>
          <w:spacing w:val="6"/>
          <w:sz w:val="3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186">
                <wp:simplePos x="0" y="0"/>
                <wp:positionH relativeFrom="column">
                  <wp:align>left</wp:align>
                </wp:positionH>
                <wp:positionV relativeFrom="line">
                  <wp:posOffset>635</wp:posOffset>
                </wp:positionV>
                <wp:extent cx="3055620" cy="5735320"/>
                <wp:effectExtent l="0" t="0" r="0" b="0"/>
                <wp:wrapSquare wrapText="right"/>
                <wp:docPr id="123" name="Frame52"/>
                <a:graphic xmlns:a="http://schemas.openxmlformats.org/drawingml/2006/main">
                  <a:graphicData uri="http://schemas.microsoft.com/office/word/2010/wordprocessingShape">
                    <wps:wsp>
                      <wps:cNvSpPr txBox="1"/>
                      <wps:spPr>
                        <a:xfrm>
                          <a:off x="0" y="0"/>
                          <a:ext cx="3055620" cy="5735320"/>
                        </a:xfrm>
                        <a:prstGeom prst="rect"/>
                        <a:solidFill>
                          <a:srgbClr val="FFFFFF"/>
                        </a:solidFill>
                      </wps:spPr>
                      <wps:txbx>
                        <w:txbxContent>
                          <w:p>
                            <w:pPr>
                              <w:pStyle w:val="TextBody"/>
                              <w:bidi w:val="0"/>
                              <w:spacing w:lineRule="atLeast" w:line="340" w:before="0" w:after="0"/>
                              <w:jc w:val="left"/>
                              <w:rPr>
                                <w:b/>
                                <w:color w:val="7F7F7F"/>
                                <w:sz w:val="30"/>
                              </w:rPr>
                            </w:pPr>
                            <w:r>
                              <w:rPr>
                                <w:b/>
                                <w:color w:val="7F7F7F"/>
                                <w:spacing w:val="-1"/>
                                <w:sz w:val="30"/>
                              </w:rPr>
                              <w:t>Qualifications</w:t>
                            </w:r>
                            <w:r>
                              <w:rPr>
                                <w:b/>
                                <w:color w:val="000000"/>
                                <w:spacing w:val="6"/>
                                <w:sz w:val="30"/>
                              </w:rPr>
                              <w:t xml:space="preserve"> </w:t>
                            </w:r>
                          </w:p>
                          <w:p>
                            <w:pPr>
                              <w:pStyle w:val="TextBody"/>
                              <w:bidi w:val="0"/>
                              <w:spacing w:lineRule="atLeast" w:line="240" w:before="240" w:after="283"/>
                              <w:jc w:val="both"/>
                              <w:rPr/>
                            </w:pPr>
                            <w:r>
                              <w:rPr>
                                <w:spacing w:val="-2"/>
                              </w:rPr>
                              <w:t>Subject to the rights set forth in the Shareholder Agreement (summarized below), the N&amp;CG seeks skilled, experienced, and knowledgeable candidates with relevant and diverse backgrounds. The N&amp;CG considers a number of factors in its evaluation of director candidates, including their specific experience, qualifications, attributes, and skills in light of the Company’s business and structure. The N&amp;CG is responsible for recommending the nomination of those incumbent directors it deems appropriate for reelection to the Board and, if applicable, recommending the reappointment to any committees of the Board on which such director serves. The N&amp;CG is also responsible for evaluating potential successors to the Chairman of the Board and each Board committee.</w:t>
                            </w:r>
                            <w:r>
                              <w:rPr>
                                <w:spacing w:val="4"/>
                              </w:rPr>
                              <w:t xml:space="preserve"> </w:t>
                            </w:r>
                          </w:p>
                          <w:p>
                            <w:pPr>
                              <w:pStyle w:val="TextBody"/>
                              <w:bidi w:val="0"/>
                              <w:spacing w:lineRule="atLeast" w:line="240" w:before="160" w:after="283"/>
                              <w:jc w:val="both"/>
                              <w:rPr>
                                <w:spacing w:val="-2"/>
                              </w:rPr>
                            </w:pPr>
                            <w:r>
                              <w:rPr>
                                <w:spacing w:val="-2"/>
                              </w:rPr>
                              <w:t xml:space="preserve">While the N&amp;CG has not established specific criteria relating to a candidate’s age, education, experience level or skills, qualified candidates are expected to have strong business expertise and, in particular, experiences and expertise with regard to one or more of the following: operations, real estate development and management, marketing, capital markets, financial expertise and reporting, risk management, insurance, and/or technology. The independence of the nominee, availability for service to the Company (including any potential conflicts of interest), age of the incumbent </w:t>
                            </w:r>
                          </w:p>
                        </w:txbxContent>
                      </wps:txbx>
                      <wps:bodyPr anchor="t" lIns="0" tIns="0" rIns="0" bIns="0">
                        <a:noAutofit/>
                      </wps:bodyPr>
                    </wps:wsp>
                  </a:graphicData>
                </a:graphic>
              </wp:anchor>
            </w:drawing>
          </mc:Choice>
          <mc:Fallback>
            <w:pict>
              <v:rect style="position:absolute;rotation:-0;width:240.6pt;height:451.6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340" w:before="0" w:after="0"/>
                        <w:jc w:val="left"/>
                        <w:rPr>
                          <w:b/>
                          <w:color w:val="7F7F7F"/>
                          <w:sz w:val="30"/>
                        </w:rPr>
                      </w:pPr>
                      <w:r>
                        <w:rPr>
                          <w:b/>
                          <w:color w:val="7F7F7F"/>
                          <w:spacing w:val="-1"/>
                          <w:sz w:val="30"/>
                        </w:rPr>
                        <w:t>Qualifications</w:t>
                      </w:r>
                      <w:r>
                        <w:rPr>
                          <w:b/>
                          <w:color w:val="000000"/>
                          <w:spacing w:val="6"/>
                          <w:sz w:val="30"/>
                        </w:rPr>
                        <w:t xml:space="preserve"> </w:t>
                      </w:r>
                    </w:p>
                    <w:p>
                      <w:pPr>
                        <w:pStyle w:val="TextBody"/>
                        <w:bidi w:val="0"/>
                        <w:spacing w:lineRule="atLeast" w:line="240" w:before="240" w:after="283"/>
                        <w:jc w:val="both"/>
                        <w:rPr/>
                      </w:pPr>
                      <w:r>
                        <w:rPr>
                          <w:spacing w:val="-2"/>
                        </w:rPr>
                        <w:t>Subject to the rights set forth in the Shareholder Agreement (summarized below), the N&amp;CG seeks skilled, experienced, and knowledgeable candidates with relevant and diverse backgrounds. The N&amp;CG considers a number of factors in its evaluation of director candidates, including their specific experience, qualifications, attributes, and skills in light of the Company’s business and structure. The N&amp;CG is responsible for recommending the nomination of those incumbent directors it deems appropriate for reelection to the Board and, if applicable, recommending the reappointment to any committees of the Board on which such director serves. The N&amp;CG is also responsible for evaluating potential successors to the Chairman of the Board and each Board committee.</w:t>
                      </w:r>
                      <w:r>
                        <w:rPr>
                          <w:spacing w:val="4"/>
                        </w:rPr>
                        <w:t xml:space="preserve"> </w:t>
                      </w:r>
                    </w:p>
                    <w:p>
                      <w:pPr>
                        <w:pStyle w:val="TextBody"/>
                        <w:bidi w:val="0"/>
                        <w:spacing w:lineRule="atLeast" w:line="240" w:before="160" w:after="283"/>
                        <w:jc w:val="both"/>
                        <w:rPr>
                          <w:spacing w:val="-2"/>
                        </w:rPr>
                      </w:pPr>
                      <w:r>
                        <w:rPr>
                          <w:spacing w:val="-2"/>
                        </w:rPr>
                        <w:t xml:space="preserve">While the N&amp;CG has not established specific criteria relating to a candidate’s age, education, experience level or skills, qualified candidates are expected to have strong business expertise and, in particular, experiences and expertise with regard to one or more of the following: operations, real estate development and management, marketing, capital markets, financial expertise and reporting, risk management, insurance, and/or technology. The independence of the nominee, availability for service to the Company (including any potential conflicts of interest), age of the incumbent </w:t>
                      </w:r>
                    </w:p>
                  </w:txbxContent>
                </v:textbox>
                <w10:wrap type="square" side="right"/>
              </v:rect>
            </w:pict>
          </mc:Fallback>
        </mc:AlternateContent>
      </w:r>
      <w:r>
        <mc:AlternateContent>
          <mc:Choice Requires="wps">
            <w:drawing>
              <wp:anchor behindDoc="0" distT="0" distB="0" distL="304800" distR="0" simplePos="0" locked="0" layoutInCell="1" allowOverlap="1" relativeHeight="187">
                <wp:simplePos x="0" y="0"/>
                <wp:positionH relativeFrom="column">
                  <wp:align>left</wp:align>
                </wp:positionH>
                <wp:positionV relativeFrom="line">
                  <wp:posOffset>635</wp:posOffset>
                </wp:positionV>
                <wp:extent cx="3055620" cy="5534660"/>
                <wp:effectExtent l="0" t="0" r="0" b="0"/>
                <wp:wrapSquare wrapText="right"/>
                <wp:docPr id="124" name="Frame53"/>
                <a:graphic xmlns:a="http://schemas.openxmlformats.org/drawingml/2006/main">
                  <a:graphicData uri="http://schemas.microsoft.com/office/word/2010/wordprocessingShape">
                    <wps:wsp>
                      <wps:cNvSpPr txBox="1"/>
                      <wps:spPr>
                        <a:xfrm>
                          <a:off x="0" y="0"/>
                          <a:ext cx="3055620" cy="5534660"/>
                        </a:xfrm>
                        <a:prstGeom prst="rect"/>
                        <a:solidFill>
                          <a:srgbClr val="FFFFFF"/>
                        </a:solidFill>
                      </wps:spPr>
                      <wps:txbx>
                        <w:txbxContent>
                          <w:p>
                            <w:pPr>
                              <w:pStyle w:val="TextBody"/>
                              <w:bidi w:val="0"/>
                              <w:spacing w:lineRule="atLeast" w:line="240" w:before="0" w:after="0"/>
                              <w:jc w:val="both"/>
                              <w:rPr/>
                            </w:pPr>
                            <w:r>
                              <w:rPr>
                                <w:spacing w:val="-2"/>
                              </w:rPr>
                              <w:t>directors on the Board, and the Board’s anticipated needs with regard to director expertise. The N&amp;CG strongly believes that diversity of background, skills, and experience is critical to the long-term success of the Company and recognizes the importance of maintaining a Board with a broad scope of backgrounds that will expand the views and experiences available to the Board in its deliberations. Accordingly, the N&amp;CG is committed to considering diverse candidates with diverse backgrounds for the Board, in all director candidate searches. As such, the N&amp;CG strives to identify and interview such individual candidates in its evaluation of director candidates. We believe that our N&amp;CG has been successful in these efforts.</w:t>
                            </w:r>
                            <w:r>
                              <w:rPr/>
                              <w:t xml:space="preserve"> </w:t>
                            </w:r>
                          </w:p>
                          <w:p>
                            <w:pPr>
                              <w:pStyle w:val="TextBody"/>
                              <w:bidi w:val="0"/>
                              <w:spacing w:lineRule="atLeast" w:line="240" w:before="160" w:after="283"/>
                              <w:jc w:val="both"/>
                              <w:rPr/>
                            </w:pPr>
                            <w:r>
                              <w:rPr>
                                <w:spacing w:val="-2"/>
                              </w:rPr>
                              <w:t>Pursuant to the Shareholder Agreement, dated May 5, 2025, by and between the Company, PS Inc. (f/k/</w:t>
                            </w:r>
                            <w:r>
                              <w:rPr/>
                              <w:t>​</w:t>
                            </w:r>
                            <w:r>
                              <w:rPr>
                                <w:spacing w:val="-2"/>
                              </w:rPr>
                              <w:t xml:space="preserve">a Pershing Square Holdco, L.P.) and Pershing Square, so long as PS Inc., Pershing Square and their respective affiliates beneficially own at least 17.5% of the outstanding shares of Company common stock on a fully diluted basis, PS Inc. may nominate for election a number of directors equal to 25% of the total number of members of the Board, rounded up. If such ownership is less than 17.5% but at least 10% of the outstanding shares, the number of Board members subject to this nomination right would be reduced to 10% of the total number of members of the Board, rounded up. For </w:t>
                            </w:r>
                          </w:p>
                        </w:txbxContent>
                      </wps:txbx>
                      <wps:bodyPr anchor="t" lIns="0" tIns="0" rIns="0" bIns="0">
                        <a:noAutofit/>
                      </wps:bodyPr>
                    </wps:wsp>
                  </a:graphicData>
                </a:graphic>
              </wp:anchor>
            </w:drawing>
          </mc:Choice>
          <mc:Fallback>
            <w:pict>
              <v:rect style="position:absolute;rotation:-0;width:240.6pt;height:435.8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jc w:val="both"/>
                        <w:rPr/>
                      </w:pPr>
                      <w:r>
                        <w:rPr>
                          <w:spacing w:val="-2"/>
                        </w:rPr>
                        <w:t>directors on the Board, and the Board’s anticipated needs with regard to director expertise. The N&amp;CG strongly believes that diversity of background, skills, and experience is critical to the long-term success of the Company and recognizes the importance of maintaining a Board with a broad scope of backgrounds that will expand the views and experiences available to the Board in its deliberations. Accordingly, the N&amp;CG is committed to considering diverse candidates with diverse backgrounds for the Board, in all director candidate searches. As such, the N&amp;CG strives to identify and interview such individual candidates in its evaluation of director candidates. We believe that our N&amp;CG has been successful in these efforts.</w:t>
                      </w:r>
                      <w:r>
                        <w:rPr/>
                        <w:t xml:space="preserve"> </w:t>
                      </w:r>
                    </w:p>
                    <w:p>
                      <w:pPr>
                        <w:pStyle w:val="TextBody"/>
                        <w:bidi w:val="0"/>
                        <w:spacing w:lineRule="atLeast" w:line="240" w:before="160" w:after="283"/>
                        <w:jc w:val="both"/>
                        <w:rPr/>
                      </w:pPr>
                      <w:r>
                        <w:rPr>
                          <w:spacing w:val="-2"/>
                        </w:rPr>
                        <w:t>Pursuant to the Shareholder Agreement, dated May 5, 2025, by and between the Company, PS Inc. (f/k/</w:t>
                      </w:r>
                      <w:r>
                        <w:rPr/>
                        <w:t>​</w:t>
                      </w:r>
                      <w:r>
                        <w:rPr>
                          <w:spacing w:val="-2"/>
                        </w:rPr>
                        <w:t xml:space="preserve">a Pershing Square Holdco, L.P.) and Pershing Square, so long as PS Inc., Pershing Square and their respective affiliates beneficially own at least 17.5% of the outstanding shares of Company common stock on a fully diluted basis, PS Inc. may nominate for election a number of directors equal to 25% of the total number of members of the Board, rounded up. If such ownership is less than 17.5% but at least 10% of the outstanding shares, the number of Board members subject to this nomination right would be reduced to 10% of the total number of members of the Board, rounded up. For </w:t>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12 \ 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STRE"/>
      <w:bookmarkEnd w:id="18"/>
      <w:r>
        <w:rPr>
          <w:rFonts w:ascii="calibri;arial;sans-serif" w:hAnsi="calibri;arial;sans-serif"/>
          <w:b w:val="false"/>
          <w:i w:val="false"/>
          <w:caps w:val="false"/>
          <w:smallCaps w:val="false"/>
          <w:color w:val="2E2925"/>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 xml:space="preserve">Matters Related to Corporate Governance, Board Structure, Director </w:t>
        <w:br/>
        <w:t>Compensation and Stock Ownership</w:t>
      </w:r>
      <w:r>
        <w:rPr>
          <w:rFonts w:ascii="Arial;Helvetica;sans-serif" w:hAnsi="Arial;Helvetica;sans-serif"/>
          <w:b/>
          <w:i w:val="false"/>
          <w:caps w:val="false"/>
          <w:smallCaps w:val="false"/>
          <w:color w:val="7F7F7F"/>
          <w:sz w:val="22"/>
        </w:rPr>
        <w:t>​</w:t>
      </w:r>
    </w:p>
    <w:p>
      <w:pPr>
        <w:pStyle w:val="TextBody"/>
        <w:bidi w:val="0"/>
        <w:spacing w:before="0" w:after="0"/>
        <w:jc w:val="left"/>
        <w:rPr>
          <w:caps w:val="false"/>
          <w:smallCaps w:val="false"/>
          <w:color w:val="2E2925"/>
        </w:rPr>
      </w:pPr>
      <w:r>
        <w:rPr>
          <w:caps w:val="false"/>
          <w:smallCaps w:val="false"/>
          <w:color w:val="2E2925"/>
        </w:rPr>
        <w:t>​</w:t>
      </w:r>
      <w:r>
        <mc:AlternateContent>
          <mc:Choice Requires="wps">
            <w:drawing>
              <wp:anchor behindDoc="0" distT="0" distB="0" distL="572135" distR="0" simplePos="0" locked="0" layoutInCell="1" allowOverlap="1" relativeHeight="188">
                <wp:simplePos x="0" y="0"/>
                <wp:positionH relativeFrom="column">
                  <wp:align>left</wp:align>
                </wp:positionH>
                <wp:positionV relativeFrom="line">
                  <wp:posOffset>635</wp:posOffset>
                </wp:positionV>
                <wp:extent cx="3055620" cy="457200"/>
                <wp:effectExtent l="0" t="0" r="0" b="0"/>
                <wp:wrapSquare wrapText="right"/>
                <wp:docPr id="125" name="Frame54"/>
                <a:graphic xmlns:a="http://schemas.openxmlformats.org/drawingml/2006/main">
                  <a:graphicData uri="http://schemas.microsoft.com/office/word/2010/wordprocessingShape">
                    <wps:wsp>
                      <wps:cNvSpPr txBox="1"/>
                      <wps:spPr>
                        <a:xfrm>
                          <a:off x="0" y="0"/>
                          <a:ext cx="3055620" cy="457200"/>
                        </a:xfrm>
                        <a:prstGeom prst="rect"/>
                        <a:solidFill>
                          <a:srgbClr val="FFFFFF"/>
                        </a:solidFill>
                      </wps:spPr>
                      <wps:txbx>
                        <w:txbxContent>
                          <w:p>
                            <w:pPr>
                              <w:pStyle w:val="TextBody"/>
                              <w:bidi w:val="0"/>
                              <w:spacing w:lineRule="atLeast" w:line="240" w:before="0" w:after="0"/>
                              <w:jc w:val="both"/>
                              <w:rPr>
                                <w:color w:val="000000"/>
                                <w:spacing w:val="-2"/>
                                <w:sz w:val="20"/>
                              </w:rPr>
                            </w:pPr>
                            <w:r>
                              <w:rPr>
                                <w:color w:val="000000"/>
                                <w:spacing w:val="-2"/>
                                <w:sz w:val="20"/>
                              </w:rPr>
                              <w:t xml:space="preserve">additional information, see the section entitled “Related-Party Transactions and Certain Relationships – Pershing Square Agreements – Shareholder </w:t>
                            </w:r>
                          </w:p>
                        </w:txbxContent>
                      </wps:txbx>
                      <wps:bodyPr anchor="t" lIns="0" tIns="0" rIns="0" bIns="0">
                        <a:noAutofit/>
                      </wps:bodyPr>
                    </wps:wsp>
                  </a:graphicData>
                </a:graphic>
              </wp:anchor>
            </w:drawing>
          </mc:Choice>
          <mc:Fallback>
            <w:pict>
              <v:rect style="position:absolute;rotation:-0;width:240.6pt;height:36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jc w:val="both"/>
                        <w:rPr>
                          <w:color w:val="000000"/>
                          <w:spacing w:val="-2"/>
                          <w:sz w:val="20"/>
                        </w:rPr>
                      </w:pPr>
                      <w:r>
                        <w:rPr>
                          <w:color w:val="000000"/>
                          <w:spacing w:val="-2"/>
                          <w:sz w:val="20"/>
                        </w:rPr>
                        <w:t xml:space="preserve">additional information, see the section entitled “Related-Party Transactions and Certain Relationships – Pershing Square Agreements – Shareholder </w:t>
                      </w:r>
                    </w:p>
                  </w:txbxContent>
                </v:textbox>
                <w10:wrap type="square" side="right"/>
              </v:rect>
            </w:pict>
          </mc:Fallback>
        </mc:AlternateContent>
      </w:r>
      <w:r>
        <mc:AlternateContent>
          <mc:Choice Requires="wps">
            <w:drawing>
              <wp:anchor behindDoc="0" distT="0" distB="0" distL="304800" distR="0" simplePos="0" locked="0" layoutInCell="1" allowOverlap="1" relativeHeight="189">
                <wp:simplePos x="0" y="0"/>
                <wp:positionH relativeFrom="column">
                  <wp:align>left</wp:align>
                </wp:positionH>
                <wp:positionV relativeFrom="line">
                  <wp:posOffset>635</wp:posOffset>
                </wp:positionV>
                <wp:extent cx="3055620" cy="304800"/>
                <wp:effectExtent l="0" t="0" r="0" b="0"/>
                <wp:wrapSquare wrapText="right"/>
                <wp:docPr id="126" name="Frame55"/>
                <a:graphic xmlns:a="http://schemas.openxmlformats.org/drawingml/2006/main">
                  <a:graphicData uri="http://schemas.microsoft.com/office/word/2010/wordprocessingShape">
                    <wps:wsp>
                      <wps:cNvSpPr txBox="1"/>
                      <wps:spPr>
                        <a:xfrm>
                          <a:off x="0" y="0"/>
                          <a:ext cx="3055620" cy="304800"/>
                        </a:xfrm>
                        <a:prstGeom prst="rect"/>
                        <a:solidFill>
                          <a:srgbClr val="FFFFFF"/>
                        </a:solidFill>
                      </wps:spPr>
                      <wps:txbx>
                        <w:txbxContent>
                          <w:p>
                            <w:pPr>
                              <w:pStyle w:val="TextBody"/>
                              <w:bidi w:val="0"/>
                              <w:spacing w:lineRule="atLeast" w:line="240" w:before="0" w:after="0"/>
                              <w:jc w:val="both"/>
                              <w:rPr>
                                <w:color w:val="000000"/>
                                <w:sz w:val="20"/>
                              </w:rPr>
                            </w:pPr>
                            <w:r>
                              <w:rPr>
                                <w:color w:val="000000"/>
                                <w:spacing w:val="-2"/>
                                <w:sz w:val="20"/>
                              </w:rPr>
                              <w:t>Agreement” in this Proxy Statement. Messrs. Ackman, Israel and Grandisson were nominated pursuant to these rights.</w:t>
                            </w:r>
                            <w:r>
                              <w:rPr>
                                <w:color w:val="000000"/>
                                <w:sz w:val="20"/>
                              </w:rPr>
                              <w:t xml:space="preserve"> </w:t>
                            </w:r>
                          </w:p>
                        </w:txbxContent>
                      </wps:txbx>
                      <wps:bodyPr anchor="t" lIns="0" tIns="0" rIns="0" bIns="0">
                        <a:noAutofit/>
                      </wps:bodyPr>
                    </wps:wsp>
                  </a:graphicData>
                </a:graphic>
              </wp:anchor>
            </w:drawing>
          </mc:Choice>
          <mc:Fallback>
            <w:pict>
              <v:rect style="position:absolute;rotation:-0;width:240.6pt;height:24pt;mso-wrap-distance-left:24pt;mso-wrap-distance-right:0pt;mso-wrap-distance-top:0pt;mso-wrap-distance-bottom:0pt;margin-top:0pt;mso-position-vertical:top;mso-position-vertical-relative:text;margin-left:288.6pt;mso-position-horizontal:left;mso-position-horizontal-relative:text">
                <v:textbox>
                  <w:txbxContent>
                    <w:p>
                      <w:pPr>
                        <w:pStyle w:val="TextBody"/>
                        <w:bidi w:val="0"/>
                        <w:spacing w:lineRule="atLeast" w:line="240" w:before="0" w:after="0"/>
                        <w:jc w:val="both"/>
                        <w:rPr>
                          <w:color w:val="000000"/>
                          <w:sz w:val="20"/>
                        </w:rPr>
                      </w:pPr>
                      <w:r>
                        <w:rPr>
                          <w:color w:val="000000"/>
                          <w:spacing w:val="-2"/>
                          <w:sz w:val="20"/>
                        </w:rPr>
                        <w:t>Agreement” in this Proxy Statement. Messrs. Ackman, Israel and Grandisson were nominated pursuant to these rights.</w:t>
                      </w:r>
                      <w:r>
                        <w:rPr>
                          <w:color w:val="000000"/>
                          <w:sz w:val="20"/>
                        </w:rPr>
                        <w:t xml:space="preserve"> </w:t>
                      </w:r>
                    </w:p>
                  </w:txbxContent>
                </v:textbox>
                <w10:wrap type="square" side="right"/>
              </v:rect>
            </w:pict>
          </mc:Fallback>
        </mc:AlternateContent>
      </w:r>
    </w:p>
    <w:p>
      <w:pPr>
        <w:pStyle w:val="TextBody"/>
        <w:bidi w:val="0"/>
        <w:spacing w:lineRule="atLeast" w:line="240" w:before="180" w:after="283"/>
        <w:ind w:left="9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believe our director nominees are highly qualified and have a wide range of diverse skills and relevant experiences and qualifications, as summarized in the following table:</w:t>
      </w:r>
      <w:r>
        <w:rPr>
          <w:rFonts w:ascii="Arial;Helvetica;sans-serif" w:hAnsi="Arial;Helvetica;sans-serif"/>
          <w:b w:val="false"/>
          <w:i w:val="false"/>
          <w:caps w:val="false"/>
          <w:smallCaps w:val="false"/>
          <w:color w:val="000000"/>
          <w:spacing w:val="4"/>
          <w:sz w:val="20"/>
        </w:rPr>
        <w:t xml:space="preserve"> </w:t>
      </w:r>
    </w:p>
    <w:tbl>
      <w:tblPr>
        <w:tblW w:w="12516" w:type="dxa"/>
        <w:jc w:val="left"/>
        <w:tblInd w:w="901" w:type="dxa"/>
        <w:tblLayout w:type="fixed"/>
        <w:tblCellMar>
          <w:top w:w="0" w:type="dxa"/>
          <w:left w:w="0" w:type="dxa"/>
          <w:bottom w:w="0" w:type="dxa"/>
          <w:right w:w="0" w:type="dxa"/>
        </w:tblCellMar>
      </w:tblPr>
      <w:tblGrid>
        <w:gridCol w:w="124"/>
        <w:gridCol w:w="1486"/>
        <w:gridCol w:w="109"/>
        <w:gridCol w:w="109"/>
        <w:gridCol w:w="1141"/>
        <w:gridCol w:w="109"/>
        <w:gridCol w:w="109"/>
        <w:gridCol w:w="1381"/>
        <w:gridCol w:w="109"/>
        <w:gridCol w:w="109"/>
        <w:gridCol w:w="871"/>
        <w:gridCol w:w="109"/>
        <w:gridCol w:w="109"/>
        <w:gridCol w:w="1081"/>
        <w:gridCol w:w="109"/>
        <w:gridCol w:w="109"/>
        <w:gridCol w:w="1246"/>
        <w:gridCol w:w="109"/>
        <w:gridCol w:w="109"/>
        <w:gridCol w:w="1276"/>
        <w:gridCol w:w="109"/>
        <w:gridCol w:w="109"/>
        <w:gridCol w:w="991"/>
        <w:gridCol w:w="109"/>
        <w:gridCol w:w="109"/>
        <w:gridCol w:w="1021"/>
        <w:gridCol w:w="154"/>
      </w:tblGrid>
      <w:tr>
        <w:trPr/>
        <w:tc>
          <w:tcPr>
            <w:tcW w:w="124" w:type="dxa"/>
            <w:tcBorders/>
            <w:shd w:fill="BAD8EA" w:val="clear"/>
            <w:vAlign w:val="center"/>
          </w:tcPr>
          <w:p>
            <w:pPr>
              <w:pStyle w:val="TableContents"/>
              <w:bidi w:val="0"/>
              <w:spacing w:before="0" w:after="283"/>
              <w:jc w:val="left"/>
              <w:rPr/>
            </w:pPr>
            <w:r>
              <w:rPr/>
              <w:t>​</w:t>
            </w:r>
          </w:p>
        </w:tc>
        <w:tc>
          <w:tcPr>
            <w:tcW w:w="1486"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141" w:type="dxa"/>
            <w:tcBorders/>
            <w:shd w:fill="BAD8EA" w:val="clear"/>
            <w:vAlign w:val="center"/>
          </w:tcPr>
          <w:p>
            <w:pPr>
              <w:pStyle w:val="TableContents"/>
              <w:bidi w:val="0"/>
              <w:spacing w:before="0" w:after="0"/>
              <w:jc w:val="center"/>
              <w:rPr>
                <w:spacing w:val="0"/>
              </w:rPr>
            </w:pPr>
            <w:r>
              <w:rPr>
                <w:spacing w:val="0"/>
              </w:rPr>
              <w:t xml:space="preserve">Operations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381" w:type="dxa"/>
            <w:tcBorders/>
            <w:shd w:fill="BAD8EA" w:val="clear"/>
            <w:vAlign w:val="center"/>
          </w:tcPr>
          <w:p>
            <w:pPr>
              <w:pStyle w:val="TableContents"/>
              <w:bidi w:val="0"/>
              <w:spacing w:before="0" w:after="0"/>
              <w:jc w:val="center"/>
              <w:rPr>
                <w:spacing w:val="0"/>
              </w:rPr>
            </w:pPr>
            <w:r>
              <w:rPr>
                <w:spacing w:val="0"/>
              </w:rPr>
              <w:t xml:space="preserve">Real Estate </w:t>
              <w:br/>
              <w:t xml:space="preserve">Development </w:t>
              <w:br/>
              <w:t xml:space="preserve">and </w:t>
              <w:br/>
              <w:t xml:space="preserve">Management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871" w:type="dxa"/>
            <w:tcBorders/>
            <w:shd w:fill="BAD8EA" w:val="clear"/>
            <w:vAlign w:val="center"/>
          </w:tcPr>
          <w:p>
            <w:pPr>
              <w:pStyle w:val="TableContents"/>
              <w:bidi w:val="0"/>
              <w:spacing w:before="0" w:after="0"/>
              <w:jc w:val="center"/>
              <w:rPr>
                <w:spacing w:val="0"/>
              </w:rPr>
            </w:pPr>
            <w:r>
              <w:rPr>
                <w:spacing w:val="0"/>
              </w:rPr>
              <w:t xml:space="preserve">Capital </w:t>
              <w:br/>
              <w:t xml:space="preserve">Markets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81" w:type="dxa"/>
            <w:tcBorders/>
            <w:shd w:fill="BAD8EA" w:val="clear"/>
            <w:vAlign w:val="center"/>
          </w:tcPr>
          <w:p>
            <w:pPr>
              <w:pStyle w:val="TableContents"/>
              <w:bidi w:val="0"/>
              <w:spacing w:before="0" w:after="0"/>
              <w:jc w:val="center"/>
              <w:rPr>
                <w:spacing w:val="0"/>
              </w:rPr>
            </w:pPr>
            <w:r>
              <w:rPr>
                <w:spacing w:val="0"/>
              </w:rPr>
              <w:t xml:space="preserve">Marketing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246" w:type="dxa"/>
            <w:tcBorders/>
            <w:shd w:fill="BAD8EA" w:val="clear"/>
            <w:vAlign w:val="center"/>
          </w:tcPr>
          <w:p>
            <w:pPr>
              <w:pStyle w:val="TableContents"/>
              <w:bidi w:val="0"/>
              <w:spacing w:before="0" w:after="0"/>
              <w:jc w:val="center"/>
              <w:rPr>
                <w:spacing w:val="0"/>
              </w:rPr>
            </w:pPr>
            <w:r>
              <w:rPr>
                <w:spacing w:val="0"/>
              </w:rPr>
              <w:t xml:space="preserve">Technology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276" w:type="dxa"/>
            <w:tcBorders/>
            <w:shd w:fill="BAD8EA" w:val="clear"/>
            <w:vAlign w:val="center"/>
          </w:tcPr>
          <w:p>
            <w:pPr>
              <w:pStyle w:val="TableContents"/>
              <w:bidi w:val="0"/>
              <w:spacing w:before="0" w:after="0"/>
              <w:jc w:val="center"/>
              <w:rPr>
                <w:spacing w:val="0"/>
              </w:rPr>
            </w:pPr>
            <w:r>
              <w:rPr>
                <w:spacing w:val="0"/>
              </w:rPr>
              <w:t xml:space="preserve">Audit, Tax, </w:t>
              <w:br/>
              <w:t xml:space="preserve">Accounting, </w:t>
              <w:br/>
              <w:t xml:space="preserve">Financial </w:t>
              <w:br/>
              <w:t xml:space="preserve">Statements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991" w:type="dxa"/>
            <w:tcBorders/>
            <w:shd w:fill="BAD8EA" w:val="clear"/>
            <w:vAlign w:val="center"/>
          </w:tcPr>
          <w:p>
            <w:pPr>
              <w:pStyle w:val="TableContents"/>
              <w:bidi w:val="0"/>
              <w:spacing w:before="0" w:after="0"/>
              <w:jc w:val="center"/>
              <w:rPr>
                <w:spacing w:val="0"/>
              </w:rPr>
            </w:pPr>
            <w:r>
              <w:rPr>
                <w:spacing w:val="0"/>
              </w:rPr>
              <w:t xml:space="preserve">Financial </w:t>
              <w:br/>
              <w:t xml:space="preserve">Expertise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21" w:type="dxa"/>
            <w:tcBorders/>
            <w:shd w:fill="BAD8EA" w:val="clear"/>
            <w:vAlign w:val="center"/>
          </w:tcPr>
          <w:p>
            <w:pPr>
              <w:pStyle w:val="TableContents"/>
              <w:bidi w:val="0"/>
              <w:spacing w:before="0" w:after="0"/>
              <w:jc w:val="center"/>
              <w:rPr>
                <w:spacing w:val="0"/>
              </w:rPr>
            </w:pPr>
            <w:r>
              <w:rPr>
                <w:spacing w:val="0"/>
              </w:rPr>
              <w:t xml:space="preserve">Insurance </w:t>
            </w:r>
          </w:p>
        </w:tc>
        <w:tc>
          <w:tcPr>
            <w:tcW w:w="154" w:type="dxa"/>
            <w:tcBorders/>
            <w:shd w:fill="BAD8EA"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86" w:type="dxa"/>
            <w:tcBorders/>
            <w:shd w:fill="E5E5E5" w:val="clear"/>
            <w:vAlign w:val="center"/>
          </w:tcPr>
          <w:p>
            <w:pPr>
              <w:pStyle w:val="TableContents"/>
              <w:bidi w:val="0"/>
              <w:spacing w:before="0" w:after="0"/>
              <w:jc w:val="left"/>
              <w:rPr>
                <w:b/>
              </w:rPr>
            </w:pPr>
            <w:r>
              <w:rPr>
                <w:b/>
                <w:spacing w:val="0"/>
              </w:rPr>
              <w:t>William Ackman</w:t>
            </w:r>
            <w:r>
              <w:rPr>
                <w:b/>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41"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1"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71"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81"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46"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76"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991"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21" w:type="dxa"/>
            <w:tcBorders/>
            <w:shd w:fill="E5E5E5" w:val="clear"/>
            <w:vAlign w:val="center"/>
          </w:tcPr>
          <w:p>
            <w:pPr>
              <w:pStyle w:val="TableContents"/>
              <w:bidi w:val="0"/>
              <w:spacing w:before="0" w:after="0"/>
              <w:jc w:val="center"/>
              <w:rPr/>
            </w:pPr>
            <w:r>
              <w:rPr>
                <w:spacing w:val="-2"/>
              </w:rPr>
              <w:t>✓</w:t>
            </w:r>
            <w:r>
              <w:rPr/>
              <w:t xml:space="preserve">​ </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86" w:type="dxa"/>
            <w:tcBorders/>
            <w:vAlign w:val="center"/>
          </w:tcPr>
          <w:p>
            <w:pPr>
              <w:pStyle w:val="TableContents"/>
              <w:bidi w:val="0"/>
              <w:spacing w:before="0" w:after="0"/>
              <w:jc w:val="left"/>
              <w:rPr>
                <w:b/>
              </w:rPr>
            </w:pPr>
            <w:r>
              <w:rPr>
                <w:b/>
                <w:spacing w:val="0"/>
              </w:rPr>
              <w:t>David Eun</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1"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6"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21"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86" w:type="dxa"/>
            <w:tcBorders/>
            <w:shd w:fill="E5E5E5" w:val="clear"/>
            <w:vAlign w:val="center"/>
          </w:tcPr>
          <w:p>
            <w:pPr>
              <w:pStyle w:val="TableContents"/>
              <w:bidi w:val="0"/>
              <w:spacing w:before="0" w:after="0"/>
              <w:jc w:val="left"/>
              <w:rPr>
                <w:b/>
              </w:rPr>
            </w:pPr>
            <w:r>
              <w:rPr>
                <w:b/>
                <w:spacing w:val="0"/>
              </w:rPr>
              <w:t>Marc Grandisson</w:t>
            </w:r>
            <w:r>
              <w:rPr>
                <w:b/>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41"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71"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8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46"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76"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991"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21" w:type="dxa"/>
            <w:tcBorders/>
            <w:shd w:fill="E5E5E5" w:val="clear"/>
            <w:vAlign w:val="center"/>
          </w:tcPr>
          <w:p>
            <w:pPr>
              <w:pStyle w:val="TableContents"/>
              <w:bidi w:val="0"/>
              <w:spacing w:before="0" w:after="0"/>
              <w:jc w:val="center"/>
              <w:rPr/>
            </w:pPr>
            <w:r>
              <w:rPr>
                <w:spacing w:val="-2"/>
              </w:rPr>
              <w:t>✓</w:t>
            </w:r>
            <w:r>
              <w:rPr/>
              <w:t xml:space="preserve">​ </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86" w:type="dxa"/>
            <w:tcBorders/>
            <w:vAlign w:val="center"/>
          </w:tcPr>
          <w:p>
            <w:pPr>
              <w:pStyle w:val="TableContents"/>
              <w:bidi w:val="0"/>
              <w:spacing w:before="0" w:after="0"/>
              <w:jc w:val="left"/>
              <w:rPr>
                <w:b/>
              </w:rPr>
            </w:pPr>
            <w:r>
              <w:rPr>
                <w:b/>
                <w:spacing w:val="0"/>
              </w:rPr>
              <w:t>Ryan Israel</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6"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21" w:type="dxa"/>
            <w:tcBorders/>
            <w:vAlign w:val="center"/>
          </w:tcPr>
          <w:p>
            <w:pPr>
              <w:pStyle w:val="TableContents"/>
              <w:bidi w:val="0"/>
              <w:spacing w:before="0" w:after="0"/>
              <w:jc w:val="center"/>
              <w:rPr/>
            </w:pPr>
            <w:r>
              <w:rPr>
                <w:spacing w:val="-2"/>
              </w:rPr>
              <w:t>✓</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86" w:type="dxa"/>
            <w:tcBorders/>
            <w:shd w:fill="E5E5E5" w:val="clear"/>
            <w:vAlign w:val="center"/>
          </w:tcPr>
          <w:p>
            <w:pPr>
              <w:pStyle w:val="TableContents"/>
              <w:bidi w:val="0"/>
              <w:spacing w:before="0" w:after="0"/>
              <w:jc w:val="left"/>
              <w:rPr>
                <w:b/>
              </w:rPr>
            </w:pPr>
            <w:r>
              <w:rPr>
                <w:b/>
                <w:spacing w:val="0"/>
              </w:rPr>
              <w:t>Thom Lachman</w:t>
            </w:r>
            <w:r>
              <w:rPr>
                <w:b/>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41"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71"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81"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46"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76"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991"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21"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86" w:type="dxa"/>
            <w:tcBorders/>
            <w:vAlign w:val="center"/>
          </w:tcPr>
          <w:p>
            <w:pPr>
              <w:pStyle w:val="TableContents"/>
              <w:bidi w:val="0"/>
              <w:spacing w:before="0" w:after="0"/>
              <w:jc w:val="left"/>
              <w:rPr>
                <w:b/>
              </w:rPr>
            </w:pPr>
            <w:r>
              <w:rPr>
                <w:b/>
                <w:spacing w:val="0"/>
              </w:rPr>
              <w:t>David O’Reilly</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1"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6"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21"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86" w:type="dxa"/>
            <w:tcBorders/>
            <w:shd w:fill="E5E5E5" w:val="clear"/>
            <w:vAlign w:val="center"/>
          </w:tcPr>
          <w:p>
            <w:pPr>
              <w:pStyle w:val="TableContents"/>
              <w:bidi w:val="0"/>
              <w:spacing w:before="0" w:after="0"/>
              <w:jc w:val="left"/>
              <w:rPr>
                <w:b/>
              </w:rPr>
            </w:pPr>
            <w:r>
              <w:rPr>
                <w:b/>
                <w:spacing w:val="0"/>
              </w:rPr>
              <w:t>Susan Panuccio</w:t>
            </w:r>
            <w:r>
              <w:rPr>
                <w:b/>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41"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71"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81"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46"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76"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991"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21" w:type="dxa"/>
            <w:tcBorders/>
            <w:shd w:fill="E5E5E5" w:val="clear"/>
            <w:vAlign w:val="center"/>
          </w:tcPr>
          <w:p>
            <w:pPr>
              <w:pStyle w:val="TableContents"/>
              <w:bidi w:val="0"/>
              <w:spacing w:before="0" w:after="0"/>
              <w:jc w:val="center"/>
              <w:rPr/>
            </w:pPr>
            <w:r>
              <w:rPr>
                <w:spacing w:val="-2"/>
              </w:rPr>
              <w:t>✓</w:t>
            </w:r>
            <w:r>
              <w:rPr/>
              <w:t xml:space="preserve">​ </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86" w:type="dxa"/>
            <w:tcBorders/>
            <w:vAlign w:val="center"/>
          </w:tcPr>
          <w:p>
            <w:pPr>
              <w:pStyle w:val="TableContents"/>
              <w:bidi w:val="0"/>
              <w:spacing w:before="0" w:after="0"/>
              <w:jc w:val="left"/>
              <w:rPr>
                <w:b/>
              </w:rPr>
            </w:pPr>
            <w:r>
              <w:rPr>
                <w:b/>
                <w:spacing w:val="0"/>
              </w:rPr>
              <w:t>Scot Sellers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1"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21"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86" w:type="dxa"/>
            <w:tcBorders/>
            <w:shd w:fill="E5E5E5" w:val="clear"/>
            <w:vAlign w:val="center"/>
          </w:tcPr>
          <w:p>
            <w:pPr>
              <w:pStyle w:val="TableContents"/>
              <w:bidi w:val="0"/>
              <w:spacing w:before="0" w:after="0"/>
              <w:jc w:val="left"/>
              <w:rPr>
                <w:b/>
              </w:rPr>
            </w:pPr>
            <w:r>
              <w:rPr>
                <w:b/>
                <w:spacing w:val="0"/>
              </w:rPr>
              <w:t>Mary Ann Tighe</w:t>
            </w:r>
            <w:r>
              <w:rPr>
                <w:b/>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41"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1"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7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81"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46"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76"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991" w:type="dxa"/>
            <w:tcBorders/>
            <w:shd w:fill="E5E5E5" w:val="clear"/>
            <w:vAlign w:val="center"/>
          </w:tcPr>
          <w:p>
            <w:pPr>
              <w:pStyle w:val="TableContents"/>
              <w:bidi w:val="0"/>
              <w:spacing w:before="0" w:after="0"/>
              <w:jc w:val="center"/>
              <w:rPr/>
            </w:pPr>
            <w:r>
              <w:rPr>
                <w:spacing w:val="-2"/>
              </w:rPr>
              <w: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21"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86" w:type="dxa"/>
            <w:tcBorders/>
            <w:vAlign w:val="center"/>
          </w:tcPr>
          <w:p>
            <w:pPr>
              <w:pStyle w:val="TableContents"/>
              <w:bidi w:val="0"/>
              <w:spacing w:lineRule="atLeast" w:line="216" w:before="0" w:after="0"/>
              <w:jc w:val="both"/>
              <w:rPr>
                <w:b/>
              </w:rPr>
            </w:pPr>
            <w:r>
              <w:rPr>
                <w:b/>
                <w:spacing w:val="0"/>
              </w:rPr>
              <w:t>Jean-Baptiste Wautier</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1"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6"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center"/>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21" w:type="dxa"/>
            <w:tcBorders/>
            <w:vAlign w:val="center"/>
          </w:tcPr>
          <w:p>
            <w:pPr>
              <w:pStyle w:val="TableContents"/>
              <w:bidi w:val="0"/>
              <w:spacing w:before="0" w:after="0"/>
              <w:jc w:val="center"/>
              <w:rPr/>
            </w:pPr>
            <w:r>
              <w:rPr>
                <w:spacing w:val="-2"/>
              </w:rPr>
              <w:t>✓</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486" w:type="dxa"/>
            <w:tcBorders>
              <w:bottom w:val="single" w:sz="8" w:space="0" w:color="7F7F7F"/>
            </w:tcBorders>
            <w:shd w:fill="E5E5E5" w:val="clear"/>
            <w:tcMar>
              <w:bottom w:w="160" w:type="dxa"/>
            </w:tcMar>
            <w:vAlign w:val="center"/>
          </w:tcPr>
          <w:p>
            <w:pPr>
              <w:pStyle w:val="TableContents"/>
              <w:bidi w:val="0"/>
              <w:spacing w:before="0" w:after="0"/>
              <w:jc w:val="left"/>
              <w:rPr>
                <w:b/>
              </w:rPr>
            </w:pPr>
            <w:r>
              <w:rPr>
                <w:b/>
                <w:spacing w:val="0"/>
              </w:rPr>
              <w:t>Anthony Williams</w:t>
            </w:r>
            <w:r>
              <w:rPr>
                <w:b/>
              </w:rPr>
              <w:t xml:space="preserve"> </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141" w:type="dxa"/>
            <w:tcBorders>
              <w:bottom w:val="single" w:sz="8" w:space="0" w:color="7F7F7F"/>
            </w:tcBorders>
            <w:shd w:fill="E5E5E5" w:val="clear"/>
            <w:tcMar>
              <w:bottom w:w="16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381" w:type="dxa"/>
            <w:tcBorders>
              <w:bottom w:val="single" w:sz="8" w:space="0" w:color="7F7F7F"/>
            </w:tcBorders>
            <w:shd w:fill="E5E5E5" w:val="clear"/>
            <w:tcMar>
              <w:bottom w:w="16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871" w:type="dxa"/>
            <w:tcBorders>
              <w:bottom w:val="single" w:sz="8" w:space="0" w:color="7F7F7F"/>
            </w:tcBorders>
            <w:shd w:fill="E5E5E5" w:val="clear"/>
            <w:tcMar>
              <w:bottom w:w="16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081" w:type="dxa"/>
            <w:tcBorders>
              <w:bottom w:val="single" w:sz="8" w:space="0" w:color="7F7F7F"/>
            </w:tcBorders>
            <w:shd w:fill="E5E5E5" w:val="clear"/>
            <w:tcMar>
              <w:bottom w:w="160" w:type="dxa"/>
            </w:tcMar>
            <w:vAlign w:val="center"/>
          </w:tcPr>
          <w:p>
            <w:pPr>
              <w:pStyle w:val="TableContents"/>
              <w:bidi w:val="0"/>
              <w:spacing w:before="0" w:after="283"/>
              <w:jc w:val="left"/>
              <w:rPr/>
            </w:pPr>
            <w:r>
              <w:rPr/>
              <w:t>​</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246" w:type="dxa"/>
            <w:tcBorders>
              <w:bottom w:val="single" w:sz="8" w:space="0" w:color="7F7F7F"/>
            </w:tcBorders>
            <w:shd w:fill="E5E5E5" w:val="clear"/>
            <w:tcMar>
              <w:bottom w:w="16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276" w:type="dxa"/>
            <w:tcBorders>
              <w:bottom w:val="single" w:sz="8" w:space="0" w:color="7F7F7F"/>
            </w:tcBorders>
            <w:shd w:fill="E5E5E5" w:val="clear"/>
            <w:tcMar>
              <w:bottom w:w="16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991" w:type="dxa"/>
            <w:tcBorders>
              <w:bottom w:val="single" w:sz="8" w:space="0" w:color="7F7F7F"/>
            </w:tcBorders>
            <w:shd w:fill="E5E5E5" w:val="clear"/>
            <w:tcMar>
              <w:bottom w:w="16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021" w:type="dxa"/>
            <w:tcBorders>
              <w:bottom w:val="single" w:sz="8" w:space="0" w:color="7F7F7F"/>
            </w:tcBorders>
            <w:shd w:fill="E5E5E5" w:val="clear"/>
            <w:tcMar>
              <w:bottom w:w="160" w:type="dxa"/>
            </w:tcMar>
            <w:vAlign w:val="center"/>
          </w:tcPr>
          <w:p>
            <w:pPr>
              <w:pStyle w:val="TableContents"/>
              <w:bidi w:val="0"/>
              <w:spacing w:before="0" w:after="283"/>
              <w:jc w:val="left"/>
              <w:rPr/>
            </w:pPr>
            <w:r>
              <w:rPr/>
              <w:t>​</w:t>
            </w:r>
          </w:p>
        </w:tc>
        <w:tc>
          <w:tcPr>
            <w:tcW w:w="154"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r>
    </w:tbl>
    <w:p>
      <w:pPr>
        <w:pStyle w:val="TextBody"/>
        <w:bidi w:val="0"/>
        <w:spacing w:lineRule="atLeast" w:line="340" w:before="220" w:after="283"/>
        <w:ind w:left="901" w:right="0" w:hanging="0"/>
        <w:jc w:val="left"/>
        <w:rPr>
          <w:rFonts w:ascii="Arial;Helvetica;sans-serif" w:hAnsi="Arial;Helvetica;sans-serif"/>
          <w:b/>
          <w:i w:val="false"/>
          <w:caps w:val="false"/>
          <w:smallCaps w:val="false"/>
          <w:color w:val="7F7F7F"/>
          <w:sz w:val="30"/>
        </w:rPr>
      </w:pPr>
      <w:r>
        <w:rPr>
          <w:rFonts w:ascii="Arial;Helvetica;sans-serif" w:hAnsi="Arial;Helvetica;sans-serif"/>
          <w:b/>
          <w:i w:val="false"/>
          <w:caps w:val="false"/>
          <w:smallCaps w:val="false"/>
          <w:color w:val="7F7F7F"/>
          <w:spacing w:val="-1"/>
          <w:sz w:val="30"/>
        </w:rPr>
        <w:t>Stockholder Recommendations</w:t>
      </w:r>
      <w:r>
        <w:rPr>
          <w:rFonts w:ascii="Arial;Helvetica;sans-serif" w:hAnsi="Arial;Helvetica;sans-serif"/>
          <w:b/>
          <w:i w:val="false"/>
          <w:caps w:val="false"/>
          <w:smallCaps w:val="false"/>
          <w:color w:val="000000"/>
          <w:spacing w:val="6"/>
          <w:sz w:val="30"/>
        </w:rPr>
        <w:t xml:space="preserve"> </w:t>
      </w:r>
    </w:p>
    <w:p>
      <w:pPr>
        <w:pStyle w:val="TextBody"/>
        <w:bidi w:val="0"/>
        <w:spacing w:before="0" w:after="0"/>
        <w:jc w:val="left"/>
        <w:rPr>
          <w:caps w:val="false"/>
          <w:smallCaps w:val="false"/>
          <w:color w:val="2E2925"/>
        </w:rPr>
      </w:pPr>
      <w:r>
        <w:rPr>
          <w:caps w:val="false"/>
          <w:smallCaps w:val="false"/>
          <w:color w:val="2E2925"/>
        </w:rPr>
        <w:t>​</w:t>
      </w:r>
      <w:r>
        <mc:AlternateContent>
          <mc:Choice Requires="wps">
            <w:drawing>
              <wp:anchor behindDoc="0" distT="0" distB="0" distL="304800" distR="0" simplePos="0" locked="0" layoutInCell="1" allowOverlap="1" relativeHeight="34">
                <wp:simplePos x="0" y="0"/>
                <wp:positionH relativeFrom="column">
                  <wp:align>left</wp:align>
                </wp:positionH>
                <wp:positionV relativeFrom="line">
                  <wp:posOffset>635</wp:posOffset>
                </wp:positionV>
                <wp:extent cx="3055620" cy="2404745"/>
                <wp:effectExtent l="0" t="0" r="0" b="0"/>
                <wp:wrapSquare wrapText="right"/>
                <wp:docPr id="127" name="Frame59"/>
                <a:graphic xmlns:a="http://schemas.openxmlformats.org/drawingml/2006/main">
                  <a:graphicData uri="http://schemas.microsoft.com/office/word/2010/wordprocessingShape">
                    <wps:wsp>
                      <wps:cNvSpPr txBox="1"/>
                      <wps:spPr>
                        <a:xfrm>
                          <a:off x="0" y="0"/>
                          <a:ext cx="3055620" cy="2404745"/>
                        </a:xfrm>
                        <a:prstGeom prst="rect"/>
                        <a:solidFill>
                          <a:srgbClr val="FFFFFF"/>
                        </a:solidFill>
                      </wps:spPr>
                      <wps:txbx>
                        <w:txbxContent>
                          <w:p>
                            <w:pPr>
                              <w:pStyle w:val="TextBody"/>
                              <w:bidi w:val="0"/>
                              <w:spacing w:lineRule="atLeast" w:line="240" w:before="0" w:after="0"/>
                              <w:ind w:left="760" w:right="0" w:hanging="0"/>
                              <w:jc w:val="both"/>
                              <w:rPr>
                                <w:color w:val="000000"/>
                                <w:sz w:val="20"/>
                              </w:rPr>
                            </w:pPr>
                            <w:r>
                              <w:rPr>
                                <w:color w:val="000000"/>
                                <w:spacing w:val="-2"/>
                                <w:sz w:val="20"/>
                              </w:rPr>
                              <w:t>a description of all direct and indirect compensation and other material monetary agreements, arrangements and understandings during the past three years, and any other material relationships between or among such stockholder and, if applicable, the beneficial owner of the shares held by such stockholder; and</w:t>
                            </w:r>
                            <w:r>
                              <w:rPr>
                                <w:color w:val="000000"/>
                                <w:spacing w:val="4"/>
                                <w:sz w:val="20"/>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color w:val="000000"/>
                                <w:sz w:val="20"/>
                              </w:rPr>
                            </w:pPr>
                            <w:r>
                              <w:rPr>
                                <w:color w:val="000000"/>
                                <w:spacing w:val="-2"/>
                                <w:sz w:val="20"/>
                              </w:rPr>
                              <w:t>any other information required by the Company’s amended and restated bylaws.</w:t>
                            </w:r>
                            <w:r>
                              <w:rPr>
                                <w:color w:val="000000"/>
                                <w:spacing w:val="4"/>
                                <w:sz w:val="20"/>
                              </w:rPr>
                              <w:t xml:space="preserve">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421"/>
                              <w:gridCol w:w="109"/>
                              <w:gridCol w:w="109"/>
                              <w:gridCol w:w="9287"/>
                              <w:gridCol w:w="155"/>
                            </w:tblGrid>
                            <w:tr>
                              <w:trPr/>
                              <w:tc>
                                <w:tcPr>
                                  <w:tcW w:w="124" w:type="dxa"/>
                                  <w:tcBorders/>
                                  <w:vAlign w:val="center"/>
                                </w:tcPr>
                                <w:p>
                                  <w:pPr>
                                    <w:pStyle w:val="TableContents"/>
                                    <w:bidi w:val="0"/>
                                    <w:spacing w:before="0" w:after="283"/>
                                    <w:jc w:val="left"/>
                                    <w:rPr/>
                                  </w:pPr>
                                  <w:r>
                                    <w:rPr/>
                                    <w:t>​</w:t>
                                  </w:r>
                                </w:p>
                              </w:tc>
                              <w:tc>
                                <w:tcPr>
                                  <w:tcW w:w="421" w:type="dxa"/>
                                  <w:tcBorders/>
                                  <w:vAlign w:val="center"/>
                                </w:tcPr>
                                <w:p>
                                  <w:pPr>
                                    <w:pStyle w:val="TableContents"/>
                                    <w:bidi w:val="0"/>
                                    <w:spacing w:before="0" w:after="0"/>
                                    <w:jc w:val="left"/>
                                    <w:rPr/>
                                  </w:pPr>
                                  <w:r>
                                    <w:rPr/>
                                    <w:drawing>
                                      <wp:inline distT="0" distB="0" distL="0" distR="0">
                                        <wp:extent cx="190500" cy="190500"/>
                                        <wp:effectExtent l="0" t="0" r="0" b="0"/>
                                        <wp:docPr id="12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72" descr=""/>
                                                <pic:cNvPicPr>
                                                  <a:picLocks noChangeAspect="1" noChangeArrowheads="1"/>
                                                </pic:cNvPicPr>
                                              </pic:nvPicPr>
                                              <pic:blipFill>
                                                <a:blip r:embed="rId73"/>
                                                <a:stretch>
                                                  <a:fillRect/>
                                                </a:stretch>
                                              </pic:blipFill>
                                              <pic:spPr bwMode="auto">
                                                <a:xfrm>
                                                  <a:off x="0" y="0"/>
                                                  <a:ext cx="190500" cy="190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87" w:type="dxa"/>
                                  <w:tcBorders/>
                                  <w:vAlign w:val="center"/>
                                </w:tcPr>
                                <w:p>
                                  <w:pPr>
                                    <w:pStyle w:val="TableContents"/>
                                    <w:bidi w:val="0"/>
                                    <w:spacing w:lineRule="atLeast" w:line="240" w:before="0" w:after="0"/>
                                    <w:jc w:val="both"/>
                                    <w:rPr/>
                                  </w:pPr>
                                  <w:r>
                                    <w:rPr>
                                      <w:i w:val="false"/>
                                      <w:caps w:val="false"/>
                                      <w:smallCaps w:val="false"/>
                                      <w:spacing w:val="-2"/>
                                    </w:rPr>
                                    <w:t>For information regarding when notice must be received to be considered timely, see “</w:t>
                                  </w:r>
                                  <w:r>
                                    <w:rPr/>
                                    <w:t>Stockholder Proposals for the 2027 Annual Meeting of Stockholders.”</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0.6pt;height:189.3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ind w:left="760" w:right="0" w:hanging="0"/>
                        <w:jc w:val="both"/>
                        <w:rPr>
                          <w:color w:val="000000"/>
                          <w:sz w:val="20"/>
                        </w:rPr>
                      </w:pPr>
                      <w:r>
                        <w:rPr>
                          <w:color w:val="000000"/>
                          <w:spacing w:val="-2"/>
                          <w:sz w:val="20"/>
                        </w:rPr>
                        <w:t>a description of all direct and indirect compensation and other material monetary agreements, arrangements and understandings during the past three years, and any other material relationships between or among such stockholder and, if applicable, the beneficial owner of the shares held by such stockholder; and</w:t>
                      </w:r>
                      <w:r>
                        <w:rPr>
                          <w:color w:val="000000"/>
                          <w:spacing w:val="4"/>
                          <w:sz w:val="20"/>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color w:val="000000"/>
                          <w:sz w:val="20"/>
                        </w:rPr>
                      </w:pPr>
                      <w:r>
                        <w:rPr>
                          <w:color w:val="000000"/>
                          <w:spacing w:val="-2"/>
                          <w:sz w:val="20"/>
                        </w:rPr>
                        <w:t>any other information required by the Company’s amended and restated bylaws.</w:t>
                      </w:r>
                      <w:r>
                        <w:rPr>
                          <w:color w:val="000000"/>
                          <w:spacing w:val="4"/>
                          <w:sz w:val="20"/>
                        </w:rPr>
                        <w:t xml:space="preserve">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421"/>
                        <w:gridCol w:w="109"/>
                        <w:gridCol w:w="109"/>
                        <w:gridCol w:w="9287"/>
                        <w:gridCol w:w="155"/>
                      </w:tblGrid>
                      <w:tr>
                        <w:trPr/>
                        <w:tc>
                          <w:tcPr>
                            <w:tcW w:w="124" w:type="dxa"/>
                            <w:tcBorders/>
                            <w:vAlign w:val="center"/>
                          </w:tcPr>
                          <w:p>
                            <w:pPr>
                              <w:pStyle w:val="TableContents"/>
                              <w:bidi w:val="0"/>
                              <w:spacing w:before="0" w:after="283"/>
                              <w:jc w:val="left"/>
                              <w:rPr/>
                            </w:pPr>
                            <w:r>
                              <w:rPr/>
                              <w:t>​</w:t>
                            </w:r>
                          </w:p>
                        </w:tc>
                        <w:tc>
                          <w:tcPr>
                            <w:tcW w:w="421" w:type="dxa"/>
                            <w:tcBorders/>
                            <w:vAlign w:val="center"/>
                          </w:tcPr>
                          <w:p>
                            <w:pPr>
                              <w:pStyle w:val="TableContents"/>
                              <w:bidi w:val="0"/>
                              <w:spacing w:before="0" w:after="0"/>
                              <w:jc w:val="left"/>
                              <w:rPr/>
                            </w:pPr>
                            <w:r>
                              <w:rPr/>
                              <w:drawing>
                                <wp:inline distT="0" distB="0" distL="0" distR="0">
                                  <wp:extent cx="190500" cy="190500"/>
                                  <wp:effectExtent l="0" t="0" r="0" b="0"/>
                                  <wp:docPr id="12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72" descr=""/>
                                          <pic:cNvPicPr>
                                            <a:picLocks noChangeAspect="1" noChangeArrowheads="1"/>
                                          </pic:cNvPicPr>
                                        </pic:nvPicPr>
                                        <pic:blipFill>
                                          <a:blip r:embed="rId74"/>
                                          <a:stretch>
                                            <a:fillRect/>
                                          </a:stretch>
                                        </pic:blipFill>
                                        <pic:spPr bwMode="auto">
                                          <a:xfrm>
                                            <a:off x="0" y="0"/>
                                            <a:ext cx="190500" cy="190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87" w:type="dxa"/>
                            <w:tcBorders/>
                            <w:vAlign w:val="center"/>
                          </w:tcPr>
                          <w:p>
                            <w:pPr>
                              <w:pStyle w:val="TableContents"/>
                              <w:bidi w:val="0"/>
                              <w:spacing w:lineRule="atLeast" w:line="240" w:before="0" w:after="0"/>
                              <w:jc w:val="both"/>
                              <w:rPr/>
                            </w:pPr>
                            <w:r>
                              <w:rPr>
                                <w:i w:val="false"/>
                                <w:caps w:val="false"/>
                                <w:smallCaps w:val="false"/>
                                <w:spacing w:val="-2"/>
                              </w:rPr>
                              <w:t>For information regarding when notice must be received to be considered timely, see “</w:t>
                            </w:r>
                            <w:r>
                              <w:rPr/>
                              <w:t>Stockholder Proposals for the 2027 Annual Meeting of Stockholders.”</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572135" distR="0" simplePos="0" locked="0" layoutInCell="1" allowOverlap="1" relativeHeight="190">
                <wp:simplePos x="0" y="0"/>
                <wp:positionH relativeFrom="column">
                  <wp:align>left</wp:align>
                </wp:positionH>
                <wp:positionV relativeFrom="line">
                  <wp:posOffset>635</wp:posOffset>
                </wp:positionV>
                <wp:extent cx="3055620" cy="3679825"/>
                <wp:effectExtent l="0" t="0" r="0" b="0"/>
                <wp:wrapSquare wrapText="right"/>
                <wp:docPr id="130" name="Frame56"/>
                <a:graphic xmlns:a="http://schemas.openxmlformats.org/drawingml/2006/main">
                  <a:graphicData uri="http://schemas.microsoft.com/office/word/2010/wordprocessingShape">
                    <wps:wsp>
                      <wps:cNvSpPr txBox="1"/>
                      <wps:spPr>
                        <a:xfrm>
                          <a:off x="0" y="0"/>
                          <a:ext cx="3055620" cy="3679825"/>
                        </a:xfrm>
                        <a:prstGeom prst="rect"/>
                        <a:solidFill>
                          <a:srgbClr val="FFFFFF"/>
                        </a:solidFill>
                      </wps:spPr>
                      <wps:txbx>
                        <w:txbxContent>
                          <w:p>
                            <w:pPr>
                              <w:pStyle w:val="TextBody"/>
                              <w:bidi w:val="0"/>
                              <w:spacing w:lineRule="atLeast" w:line="240" w:before="0" w:after="0"/>
                              <w:jc w:val="both"/>
                              <w:rPr>
                                <w:color w:val="000000"/>
                                <w:sz w:val="20"/>
                              </w:rPr>
                            </w:pPr>
                            <w:r>
                              <w:rPr>
                                <w:color w:val="000000"/>
                                <w:spacing w:val="-2"/>
                                <w:sz w:val="20"/>
                              </w:rPr>
                              <w:t>The N&amp;CG will consider recommendations of potential candidates from stockholders based on the same criteria as a candidate identified by the N&amp;CG.</w:t>
                            </w:r>
                            <w:r>
                              <w:rPr>
                                <w:color w:val="000000"/>
                                <w:spacing w:val="4"/>
                                <w:sz w:val="20"/>
                              </w:rPr>
                              <w:t xml:space="preserve"> </w:t>
                            </w:r>
                          </w:p>
                          <w:p>
                            <w:pPr>
                              <w:pStyle w:val="TextBody"/>
                              <w:bidi w:val="0"/>
                              <w:spacing w:lineRule="atLeast" w:line="240" w:before="160" w:after="283"/>
                              <w:jc w:val="both"/>
                              <w:rPr>
                                <w:color w:val="000000"/>
                                <w:sz w:val="20"/>
                              </w:rPr>
                            </w:pPr>
                            <w:r>
                              <w:rPr>
                                <w:color w:val="000000"/>
                                <w:spacing w:val="-2"/>
                                <w:sz w:val="20"/>
                              </w:rPr>
                              <w:t>To recommend a candidate, a stockholder must provide notice to the Company. The notice must include the following:</w:t>
                            </w:r>
                            <w:r>
                              <w:rPr>
                                <w:color w:val="000000"/>
                                <w:spacing w:val="4"/>
                                <w:sz w:val="20"/>
                              </w:rPr>
                              <w:t xml:space="preserve"> </w:t>
                            </w:r>
                          </w:p>
                          <w:p>
                            <w:pPr>
                              <w:pStyle w:val="TextBody"/>
                              <w:bidi w:val="0"/>
                              <w:spacing w:lineRule="atLeast" w:line="240" w:before="240" w:after="0"/>
                              <w:ind w:left="760" w:right="0" w:hanging="0"/>
                              <w:jc w:val="both"/>
                              <w:rPr>
                                <w:color w:val="000000"/>
                                <w:sz w:val="20"/>
                              </w:rPr>
                            </w:pPr>
                            <w:r>
                              <w:rPr>
                                <w:color w:val="000000"/>
                                <w:spacing w:val="-2"/>
                                <w:sz w:val="20"/>
                              </w:rPr>
                              <w:t>monetary agreements, arrangements and understandings during the past three years as to each person being recommended, and all information relating to such person that would be required to be disclosed in a proxy statement or other filings required to be made in connection with solicitations of proxies for election of directors in contested elections;</w:t>
                            </w:r>
                            <w:r>
                              <w:rPr>
                                <w:color w:val="000000"/>
                                <w:spacing w:val="4"/>
                                <w:sz w:val="20"/>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color w:val="000000"/>
                                <w:sz w:val="20"/>
                              </w:rPr>
                            </w:pPr>
                            <w:r>
                              <w:rPr>
                                <w:color w:val="000000"/>
                                <w:spacing w:val="-2"/>
                                <w:sz w:val="20"/>
                              </w:rPr>
                              <w:t>such person’s written consent to being named in a proxy statement for the Company’s next annual meeting of stockholders as a nominee and to serving as a director if elected;</w:t>
                            </w:r>
                            <w:r>
                              <w:rPr>
                                <w:color w:val="000000"/>
                                <w:spacing w:val="4"/>
                                <w:sz w:val="20"/>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0.6pt;height:289.75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jc w:val="both"/>
                        <w:rPr>
                          <w:color w:val="000000"/>
                          <w:sz w:val="20"/>
                        </w:rPr>
                      </w:pPr>
                      <w:r>
                        <w:rPr>
                          <w:color w:val="000000"/>
                          <w:spacing w:val="-2"/>
                          <w:sz w:val="20"/>
                        </w:rPr>
                        <w:t>The N&amp;CG will consider recommendations of potential candidates from stockholders based on the same criteria as a candidate identified by the N&amp;CG.</w:t>
                      </w:r>
                      <w:r>
                        <w:rPr>
                          <w:color w:val="000000"/>
                          <w:spacing w:val="4"/>
                          <w:sz w:val="20"/>
                        </w:rPr>
                        <w:t xml:space="preserve"> </w:t>
                      </w:r>
                    </w:p>
                    <w:p>
                      <w:pPr>
                        <w:pStyle w:val="TextBody"/>
                        <w:bidi w:val="0"/>
                        <w:spacing w:lineRule="atLeast" w:line="240" w:before="160" w:after="283"/>
                        <w:jc w:val="both"/>
                        <w:rPr>
                          <w:color w:val="000000"/>
                          <w:sz w:val="20"/>
                        </w:rPr>
                      </w:pPr>
                      <w:r>
                        <w:rPr>
                          <w:color w:val="000000"/>
                          <w:spacing w:val="-2"/>
                          <w:sz w:val="20"/>
                        </w:rPr>
                        <w:t>To recommend a candidate, a stockholder must provide notice to the Company. The notice must include the following:</w:t>
                      </w:r>
                      <w:r>
                        <w:rPr>
                          <w:color w:val="000000"/>
                          <w:spacing w:val="4"/>
                          <w:sz w:val="20"/>
                        </w:rPr>
                        <w:t xml:space="preserve"> </w:t>
                      </w:r>
                    </w:p>
                    <w:p>
                      <w:pPr>
                        <w:pStyle w:val="TextBody"/>
                        <w:bidi w:val="0"/>
                        <w:spacing w:lineRule="atLeast" w:line="240" w:before="240" w:after="0"/>
                        <w:ind w:left="760" w:right="0" w:hanging="0"/>
                        <w:jc w:val="both"/>
                        <w:rPr>
                          <w:color w:val="000000"/>
                          <w:sz w:val="20"/>
                        </w:rPr>
                      </w:pPr>
                      <w:r>
                        <w:rPr>
                          <w:color w:val="000000"/>
                          <w:spacing w:val="-2"/>
                          <w:sz w:val="20"/>
                        </w:rPr>
                        <w:t>monetary agreements, arrangements and understandings during the past three years as to each person being recommended, and all information relating to such person that would be required to be disclosed in a proxy statement or other filings required to be made in connection with solicitations of proxies for election of directors in contested elections;</w:t>
                      </w:r>
                      <w:r>
                        <w:rPr>
                          <w:color w:val="000000"/>
                          <w:spacing w:val="4"/>
                          <w:sz w:val="20"/>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color w:val="000000"/>
                          <w:sz w:val="20"/>
                        </w:rPr>
                      </w:pPr>
                      <w:r>
                        <w:rPr>
                          <w:color w:val="000000"/>
                          <w:spacing w:val="-2"/>
                          <w:sz w:val="20"/>
                        </w:rPr>
                        <w:t>such person’s written consent to being named in a proxy statement for the Company’s next annual meeting of stockholders as a nominee and to serving as a director if elected;</w:t>
                      </w:r>
                      <w:r>
                        <w:rPr>
                          <w:color w:val="000000"/>
                          <w:spacing w:val="4"/>
                          <w:sz w:val="20"/>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254000" distR="0" simplePos="0" locked="0" layoutInCell="1" allowOverlap="1" relativeHeight="193">
                <wp:simplePos x="0" y="0"/>
                <wp:positionH relativeFrom="column">
                  <wp:align>left</wp:align>
                </wp:positionH>
                <wp:positionV relativeFrom="line">
                  <wp:posOffset>635</wp:posOffset>
                </wp:positionV>
                <wp:extent cx="228600" cy="350520"/>
                <wp:effectExtent l="0" t="0" r="0" b="0"/>
                <wp:wrapSquare wrapText="right"/>
                <wp:docPr id="131" name="Frame6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color w:val="000000"/>
                              </w:rPr>
                            </w:pPr>
                            <w:r>
                              <w:rPr>
                                <w:color w:val="000000"/>
                                <w:spacing w:val="-2"/>
                              </w:rPr>
                              <w:t>■</w:t>
                            </w:r>
                            <w:r>
                              <w:rPr>
                                <w:color w:val="000000"/>
                              </w:rPr>
                              <w:t xml:space="preserve"> </w:t>
                            </w:r>
                            <w:r>
                              <w:rPr>
                                <w:color w:val="000000"/>
                                <w:sz w:val="20"/>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color w:val="000000"/>
                        </w:rPr>
                      </w:pPr>
                      <w:r>
                        <w:rPr>
                          <w:color w:val="000000"/>
                          <w:spacing w:val="-2"/>
                        </w:rPr>
                        <w:t>■</w:t>
                      </w:r>
                      <w:r>
                        <w:rPr>
                          <w:color w:val="000000"/>
                        </w:rPr>
                        <w:t xml:space="preserve"> </w:t>
                      </w:r>
                      <w:r>
                        <w:rPr>
                          <w:color w:val="000000"/>
                          <w:sz w:val="20"/>
                        </w:rPr>
                        <w:br/>
                      </w:r>
                    </w:p>
                  </w:txbxContent>
                </v:textbox>
                <w10:wrap type="square" side="right"/>
              </v:rect>
            </w:pict>
          </mc:Fallback>
        </mc:AlternateContent>
      </w:r>
      <w:r>
        <mc:AlternateContent>
          <mc:Choice Requires="wps">
            <w:drawing>
              <wp:anchor behindDoc="0" distT="152400" distB="0" distL="254000" distR="0" simplePos="0" locked="0" layoutInCell="1" allowOverlap="1" relativeHeight="194">
                <wp:simplePos x="0" y="0"/>
                <wp:positionH relativeFrom="column">
                  <wp:align>left</wp:align>
                </wp:positionH>
                <wp:positionV relativeFrom="line">
                  <wp:align>top</wp:align>
                </wp:positionV>
                <wp:extent cx="228600" cy="350520"/>
                <wp:effectExtent l="0" t="0" r="0" b="0"/>
                <wp:wrapSquare wrapText="right"/>
                <wp:docPr id="132" name="Frame6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color w:val="000000"/>
                              </w:rPr>
                            </w:pPr>
                            <w:r>
                              <w:rPr>
                                <w:color w:val="000000"/>
                                <w:spacing w:val="-2"/>
                              </w:rPr>
                              <w:t>■</w:t>
                            </w:r>
                            <w:r>
                              <w:rPr>
                                <w:color w:val="000000"/>
                              </w:rPr>
                              <w:t xml:space="preserve"> </w:t>
                            </w:r>
                            <w:r>
                              <w:rPr>
                                <w:color w:val="000000"/>
                                <w:sz w:val="20"/>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color w:val="000000"/>
                        </w:rPr>
                      </w:pPr>
                      <w:r>
                        <w:rPr>
                          <w:color w:val="000000"/>
                          <w:spacing w:val="-2"/>
                        </w:rPr>
                        <w:t>■</w:t>
                      </w:r>
                      <w:r>
                        <w:rPr>
                          <w:color w:val="000000"/>
                        </w:rPr>
                        <w:t xml:space="preserve"> </w:t>
                      </w:r>
                      <w:r>
                        <w:rPr>
                          <w:color w:val="000000"/>
                          <w:sz w:val="20"/>
                        </w:rPr>
                        <w:br/>
                      </w:r>
                    </w:p>
                  </w:txbxContent>
                </v:textbox>
                <w10:wrap type="square" side="right"/>
              </v:rect>
            </w:pict>
          </mc:Fallback>
        </mc:AlternateContent>
      </w:r>
      <w:r>
        <mc:AlternateContent>
          <mc:Choice Requires="wps">
            <w:drawing>
              <wp:anchor behindDoc="0" distT="152400" distB="0" distL="254000" distR="0" simplePos="0" locked="0" layoutInCell="1" allowOverlap="1" relativeHeight="191">
                <wp:simplePos x="0" y="0"/>
                <wp:positionH relativeFrom="column">
                  <wp:align>left</wp:align>
                </wp:positionH>
                <wp:positionV relativeFrom="line">
                  <wp:align>top</wp:align>
                </wp:positionV>
                <wp:extent cx="228600" cy="350520"/>
                <wp:effectExtent l="0" t="0" r="0" b="0"/>
                <wp:wrapSquare wrapText="right"/>
                <wp:docPr id="133" name="Frame5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color w:val="000000"/>
                              </w:rPr>
                            </w:pPr>
                            <w:r>
                              <w:rPr>
                                <w:color w:val="000000"/>
                                <w:spacing w:val="-2"/>
                              </w:rPr>
                              <w:t>■</w:t>
                            </w:r>
                            <w:r>
                              <w:rPr>
                                <w:color w:val="000000"/>
                              </w:rPr>
                              <w:t xml:space="preserve"> </w:t>
                            </w:r>
                            <w:r>
                              <w:rPr>
                                <w:color w:val="000000"/>
                                <w:sz w:val="20"/>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color w:val="000000"/>
                        </w:rPr>
                      </w:pPr>
                      <w:r>
                        <w:rPr>
                          <w:color w:val="000000"/>
                          <w:spacing w:val="-2"/>
                        </w:rPr>
                        <w:t>■</w:t>
                      </w:r>
                      <w:r>
                        <w:rPr>
                          <w:color w:val="000000"/>
                        </w:rPr>
                        <w:t xml:space="preserve"> </w:t>
                      </w:r>
                      <w:r>
                        <w:rPr>
                          <w:color w:val="000000"/>
                          <w:sz w:val="20"/>
                        </w:rPr>
                        <w:br/>
                      </w:r>
                    </w:p>
                  </w:txbxContent>
                </v:textbox>
                <w10:wrap type="square" side="right"/>
              </v:rect>
            </w:pict>
          </mc:Fallback>
        </mc:AlternateContent>
      </w:r>
      <w:r>
        <mc:AlternateContent>
          <mc:Choice Requires="wps">
            <w:drawing>
              <wp:anchor behindDoc="0" distT="152400" distB="0" distL="254000" distR="0" simplePos="0" locked="0" layoutInCell="1" allowOverlap="1" relativeHeight="192">
                <wp:simplePos x="0" y="0"/>
                <wp:positionH relativeFrom="column">
                  <wp:align>left</wp:align>
                </wp:positionH>
                <wp:positionV relativeFrom="line">
                  <wp:align>top</wp:align>
                </wp:positionV>
                <wp:extent cx="228600" cy="350520"/>
                <wp:effectExtent l="0" t="0" r="0" b="0"/>
                <wp:wrapSquare wrapText="right"/>
                <wp:docPr id="134" name="Frame5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color w:val="000000"/>
                              </w:rPr>
                            </w:pPr>
                            <w:r>
                              <w:rPr>
                                <w:color w:val="000000"/>
                                <w:spacing w:val="-2"/>
                              </w:rPr>
                              <w:t>■</w:t>
                            </w:r>
                            <w:r>
                              <w:rPr>
                                <w:color w:val="000000"/>
                              </w:rPr>
                              <w:t xml:space="preserve"> </w:t>
                            </w:r>
                            <w:r>
                              <w:rPr>
                                <w:color w:val="000000"/>
                                <w:sz w:val="20"/>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color w:val="000000"/>
                        </w:rPr>
                      </w:pPr>
                      <w:r>
                        <w:rPr>
                          <w:color w:val="000000"/>
                          <w:spacing w:val="-2"/>
                        </w:rPr>
                        <w:t>■</w:t>
                      </w:r>
                      <w:r>
                        <w:rPr>
                          <w:color w:val="000000"/>
                        </w:rPr>
                        <w:t xml:space="preserve"> </w:t>
                      </w:r>
                      <w:r>
                        <w:rPr>
                          <w:color w:val="000000"/>
                          <w:sz w:val="20"/>
                        </w:rPr>
                        <w:br/>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/ 13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STEN"/>
      <w:bookmarkEnd w:id="19"/>
      <w:r>
        <w:rPr>
          <w:rFonts w:ascii="calibri;arial;sans-serif" w:hAnsi="calibri;arial;sans-serif"/>
          <w:b w:val="false"/>
          <w:i w:val="false"/>
          <w:caps w:val="false"/>
          <w:smallCaps w:val="false"/>
          <w:color w:val="000000"/>
          <w:sz w:val="16"/>
        </w:rPr>
        <w:t>​</w:t>
      </w:r>
      <w:bookmarkStart w:id="20" w:name="tCWTB"/>
      <w:bookmarkEnd w:id="20"/>
      <w:r>
        <w:rPr>
          <w:rFonts w:ascii="calibri;arial;sans-serif" w:hAnsi="calibri;arial;sans-serif"/>
          <w:b w:val="false"/>
          <w:i w:val="false"/>
          <w:caps w:val="false"/>
          <w:smallCaps w:val="false"/>
          <w:color w:val="000000"/>
          <w:sz w:val="16"/>
        </w:rPr>
        <w:t>​</w:t>
      </w:r>
      <w:bookmarkStart w:id="21" w:name="tCOBC"/>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 xml:space="preserve">Matters Related to Corporate Governance, Board Structure, Director </w:t>
        <w:br/>
        <w:t>Compensation and Stock Ownership</w:t>
      </w:r>
      <w:r>
        <w:rPr>
          <w:rFonts w:ascii="Arial;Helvetica;sans-serif" w:hAnsi="Arial;Helvetica;sans-serif"/>
          <w:b/>
          <w:i w:val="false"/>
          <w:caps w:val="false"/>
          <w:smallCaps w:val="false"/>
          <w:color w:val="7F7F7F"/>
          <w:spacing w:val="-3"/>
          <w:sz w:val="22"/>
        </w:rPr>
        <w:t xml:space="preserve"> </w:t>
      </w:r>
    </w:p>
    <w:p>
      <w:pPr>
        <w:pStyle w:val="TextBody"/>
        <w:bidi w:val="0"/>
        <w:spacing w:lineRule="atLeast" w:line="340" w:before="120" w:after="283"/>
        <w:ind w:left="901"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STOCKHOLDER ENGAGEMENT</w:t>
      </w:r>
      <w:r>
        <w:rPr>
          <w:rFonts w:ascii="Arial;Helvetica;sans-serif" w:hAnsi="Arial;Helvetica;sans-serif"/>
          <w:b/>
          <w:i w:val="false"/>
          <w:caps w:val="false"/>
          <w:smallCaps w:val="false"/>
          <w:color w:val="000000"/>
          <w:spacing w:val="6"/>
          <w:sz w:val="3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195">
                <wp:simplePos x="0" y="0"/>
                <wp:positionH relativeFrom="column">
                  <wp:align>left</wp:align>
                </wp:positionH>
                <wp:positionV relativeFrom="line">
                  <wp:posOffset>635</wp:posOffset>
                </wp:positionV>
                <wp:extent cx="3055620" cy="876300"/>
                <wp:effectExtent l="0" t="0" r="0" b="0"/>
                <wp:wrapSquare wrapText="right"/>
                <wp:docPr id="135" name="Frame62"/>
                <a:graphic xmlns:a="http://schemas.openxmlformats.org/drawingml/2006/main">
                  <a:graphicData uri="http://schemas.microsoft.com/office/word/2010/wordprocessingShape">
                    <wps:wsp>
                      <wps:cNvSpPr txBox="1"/>
                      <wps:spPr>
                        <a:xfrm>
                          <a:off x="0" y="0"/>
                          <a:ext cx="3055620" cy="876300"/>
                        </a:xfrm>
                        <a:prstGeom prst="rect"/>
                        <a:solidFill>
                          <a:srgbClr val="FFFFFF"/>
                        </a:solidFill>
                      </wps:spPr>
                      <wps:txbx>
                        <w:txbxContent>
                          <w:p>
                            <w:pPr>
                              <w:pStyle w:val="TextBody"/>
                              <w:bidi w:val="0"/>
                              <w:spacing w:lineRule="atLeast" w:line="240" w:before="0" w:after="0"/>
                              <w:jc w:val="both"/>
                              <w:rPr>
                                <w:spacing w:val="-2"/>
                              </w:rPr>
                            </w:pPr>
                            <w:r>
                              <w:rPr>
                                <w:spacing w:val="-2"/>
                              </w:rPr>
                              <w:t xml:space="preserve">We believe that strong corporate governance should include year-round engagement with our stockholders. Through our investor outreach program, we solicit feedback on our executive compensation program, </w:t>
                            </w:r>
                          </w:p>
                        </w:txbxContent>
                      </wps:txbx>
                      <wps:bodyPr anchor="t" lIns="0" tIns="0" rIns="0" bIns="0">
                        <a:noAutofit/>
                      </wps:bodyPr>
                    </wps:wsp>
                  </a:graphicData>
                </a:graphic>
              </wp:anchor>
            </w:drawing>
          </mc:Choice>
          <mc:Fallback>
            <w:pict>
              <v:rect style="position:absolute;rotation:-0;width:240.6pt;height:69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jc w:val="both"/>
                        <w:rPr>
                          <w:spacing w:val="-2"/>
                        </w:rPr>
                      </w:pPr>
                      <w:r>
                        <w:rPr>
                          <w:spacing w:val="-2"/>
                        </w:rPr>
                        <w:t xml:space="preserve">We believe that strong corporate governance should include year-round engagement with our stockholders. Through our investor outreach program, we solicit feedback on our executive compensation program, </w:t>
                      </w:r>
                    </w:p>
                  </w:txbxContent>
                </v:textbox>
                <w10:wrap type="square" side="right"/>
              </v:rect>
            </w:pict>
          </mc:Fallback>
        </mc:AlternateContent>
      </w:r>
      <w:r>
        <mc:AlternateContent>
          <mc:Choice Requires="wps">
            <w:drawing>
              <wp:anchor behindDoc="0" distT="0" distB="0" distL="304800" distR="0" simplePos="0" locked="0" layoutInCell="1" allowOverlap="1" relativeHeight="196">
                <wp:simplePos x="0" y="0"/>
                <wp:positionH relativeFrom="column">
                  <wp:align>left</wp:align>
                </wp:positionH>
                <wp:positionV relativeFrom="line">
                  <wp:posOffset>635</wp:posOffset>
                </wp:positionV>
                <wp:extent cx="3055620" cy="876300"/>
                <wp:effectExtent l="0" t="0" r="0" b="0"/>
                <wp:wrapSquare wrapText="right"/>
                <wp:docPr id="136" name="Frame63"/>
                <a:graphic xmlns:a="http://schemas.openxmlformats.org/drawingml/2006/main">
                  <a:graphicData uri="http://schemas.microsoft.com/office/word/2010/wordprocessingShape">
                    <wps:wsp>
                      <wps:cNvSpPr txBox="1"/>
                      <wps:spPr>
                        <a:xfrm>
                          <a:off x="0" y="0"/>
                          <a:ext cx="3055620" cy="876300"/>
                        </a:xfrm>
                        <a:prstGeom prst="rect"/>
                        <a:solidFill>
                          <a:srgbClr val="FFFFFF"/>
                        </a:solidFill>
                      </wps:spPr>
                      <wps:txbx>
                        <w:txbxContent>
                          <w:p>
                            <w:pPr>
                              <w:pStyle w:val="TextBody"/>
                              <w:bidi w:val="0"/>
                              <w:spacing w:lineRule="atLeast" w:line="240" w:before="0" w:after="0"/>
                              <w:jc w:val="both"/>
                              <w:rPr/>
                            </w:pPr>
                            <w:r>
                              <w:rPr>
                                <w:spacing w:val="-2"/>
                              </w:rPr>
                              <w:t>corporate governance and disclosure practices, and we respond to questions regarding our programs, policies and goals. We share the feedback we receive with our Board of Directors and applicable Board committees.</w:t>
                            </w:r>
                            <w:r>
                              <w:rPr/>
                              <w:t xml:space="preserve"> </w:t>
                            </w:r>
                          </w:p>
                        </w:txbxContent>
                      </wps:txbx>
                      <wps:bodyPr anchor="t" lIns="0" tIns="0" rIns="0" bIns="0">
                        <a:noAutofit/>
                      </wps:bodyPr>
                    </wps:wsp>
                  </a:graphicData>
                </a:graphic>
              </wp:anchor>
            </w:drawing>
          </mc:Choice>
          <mc:Fallback>
            <w:pict>
              <v:rect style="position:absolute;rotation:-0;width:240.6pt;height:69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jc w:val="both"/>
                        <w:rPr/>
                      </w:pPr>
                      <w:r>
                        <w:rPr>
                          <w:spacing w:val="-2"/>
                        </w:rPr>
                        <w:t>corporate governance and disclosure practices, and we respond to questions regarding our programs, policies and goals. We share the feedback we receive with our Board of Directors and applicable Board committees.</w:t>
                      </w:r>
                      <w:r>
                        <w:rPr/>
                        <w:t xml:space="preserve"> </w:t>
                      </w:r>
                    </w:p>
                  </w:txbxContent>
                </v:textbox>
                <w10:wrap type="square" side="right"/>
              </v:rect>
            </w:pict>
          </mc:Fallback>
        </mc:AlternateContent>
      </w:r>
    </w:p>
    <w:p>
      <w:pPr>
        <w:pStyle w:val="TextBody"/>
        <w:bidi w:val="0"/>
        <w:spacing w:lineRule="atLeast" w:line="340" w:before="300" w:after="283"/>
        <w:ind w:left="901"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COMMUNICATIONS WITH THE BOARD</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stockholder or other interested party may communicate with the Board, any Board committee, the non-management directors or any individual director. All written communications must identify the recipient and the author and be sent by certified mail to the Company’s principal executive offices at: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Howard Hughes Holdings Inc. </w:t>
        <w:br/>
        <w:t xml:space="preserve">9950 Woodloch Forest Drive, Suite 1100 </w:t>
        <w:br/>
        <w:t xml:space="preserve">The Woodlands, Texas 77380 </w:t>
        <w:br/>
        <w:t>Attention: Corporate Secretary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Corporate Secretary will act as agent for the directors in facilitating these communications.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40" w:before="320" w:after="283"/>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CODES OF BUSINESS CONDUCT AND ETHICS</w:t>
      </w:r>
      <w:r>
        <w:rPr>
          <w:rFonts w:ascii="Arial;Helvetica;sans-serif" w:hAnsi="Arial;Helvetica;sans-serif"/>
          <w:b/>
          <w:i w:val="false"/>
          <w:caps w:val="false"/>
          <w:smallCaps w:val="false"/>
          <w:color w:val="000000"/>
          <w:spacing w:val="6"/>
          <w:sz w:val="3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197">
                <wp:simplePos x="0" y="0"/>
                <wp:positionH relativeFrom="column">
                  <wp:align>left</wp:align>
                </wp:positionH>
                <wp:positionV relativeFrom="line">
                  <wp:posOffset>635</wp:posOffset>
                </wp:positionV>
                <wp:extent cx="3055620" cy="1927860"/>
                <wp:effectExtent l="0" t="0" r="0" b="0"/>
                <wp:wrapSquare wrapText="right"/>
                <wp:docPr id="137" name="Frame64"/>
                <a:graphic xmlns:a="http://schemas.openxmlformats.org/drawingml/2006/main">
                  <a:graphicData uri="http://schemas.microsoft.com/office/word/2010/wordprocessingShape">
                    <wps:wsp>
                      <wps:cNvSpPr txBox="1"/>
                      <wps:spPr>
                        <a:xfrm>
                          <a:off x="0" y="0"/>
                          <a:ext cx="3055620" cy="1927860"/>
                        </a:xfrm>
                        <a:prstGeom prst="rect"/>
                        <a:solidFill>
                          <a:srgbClr val="FFFFFF"/>
                        </a:solidFill>
                      </wps:spPr>
                      <wps:txbx>
                        <w:txbxContent>
                          <w:p>
                            <w:pPr>
                              <w:pStyle w:val="TextBody"/>
                              <w:bidi w:val="0"/>
                              <w:spacing w:lineRule="atLeast" w:line="240" w:before="0" w:after="0"/>
                              <w:jc w:val="both"/>
                              <w:rPr>
                                <w:spacing w:val="-2"/>
                              </w:rPr>
                            </w:pPr>
                            <w:r>
                              <w:rPr>
                                <w:spacing w:val="-2"/>
                              </w:rPr>
                              <w:t xml:space="preserve">The Company has adopted a code of business conduct and ethics applicable to the Company’s directors and a code of business conduct and ethics applicable to the Company’s officers and other employees, each of which can be found on the Company’s website at investor.howardhughes.com/documents. The purpose of these codes is to, among other things, affirm the Company’s commitment to the highest standards of business conduct and ethics, integrity and attendant </w:t>
                            </w:r>
                          </w:p>
                        </w:txbxContent>
                      </wps:txbx>
                      <wps:bodyPr anchor="t" lIns="0" tIns="0" rIns="0" bIns="0">
                        <a:noAutofit/>
                      </wps:bodyPr>
                    </wps:wsp>
                  </a:graphicData>
                </a:graphic>
              </wp:anchor>
            </w:drawing>
          </mc:Choice>
          <mc:Fallback>
            <w:pict>
              <v:rect style="position:absolute;rotation:-0;width:240.6pt;height:151.8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jc w:val="both"/>
                        <w:rPr>
                          <w:spacing w:val="-2"/>
                        </w:rPr>
                      </w:pPr>
                      <w:r>
                        <w:rPr>
                          <w:spacing w:val="-2"/>
                        </w:rPr>
                        <w:t xml:space="preserve">The Company has adopted a code of business conduct and ethics applicable to the Company’s directors and a code of business conduct and ethics applicable to the Company’s officers and other employees, each of which can be found on the Company’s website at investor.howardhughes.com/documents. The purpose of these codes is to, among other things, affirm the Company’s commitment to the highest standards of business conduct and ethics, integrity and attendant </w:t>
                      </w:r>
                    </w:p>
                  </w:txbxContent>
                </v:textbox>
                <w10:wrap type="square" side="right"/>
              </v:rect>
            </w:pict>
          </mc:Fallback>
        </mc:AlternateContent>
      </w:r>
      <w:r>
        <mc:AlternateContent>
          <mc:Choice Requires="wps">
            <w:drawing>
              <wp:anchor behindDoc="0" distT="0" distB="0" distL="304800" distR="0" simplePos="0" locked="0" layoutInCell="1" allowOverlap="1" relativeHeight="198">
                <wp:simplePos x="0" y="0"/>
                <wp:positionH relativeFrom="column">
                  <wp:align>left</wp:align>
                </wp:positionH>
                <wp:positionV relativeFrom="line">
                  <wp:posOffset>635</wp:posOffset>
                </wp:positionV>
                <wp:extent cx="3055620" cy="1577340"/>
                <wp:effectExtent l="0" t="0" r="0" b="0"/>
                <wp:wrapSquare wrapText="right"/>
                <wp:docPr id="138" name="Frame65"/>
                <a:graphic xmlns:a="http://schemas.openxmlformats.org/drawingml/2006/main">
                  <a:graphicData uri="http://schemas.microsoft.com/office/word/2010/wordprocessingShape">
                    <wps:wsp>
                      <wps:cNvSpPr txBox="1"/>
                      <wps:spPr>
                        <a:xfrm>
                          <a:off x="0" y="0"/>
                          <a:ext cx="3055620" cy="1577340"/>
                        </a:xfrm>
                        <a:prstGeom prst="rect"/>
                        <a:solidFill>
                          <a:srgbClr val="FFFFFF"/>
                        </a:solidFill>
                      </wps:spPr>
                      <wps:txbx>
                        <w:txbxContent>
                          <w:p>
                            <w:pPr>
                              <w:pStyle w:val="TextBody"/>
                              <w:bidi w:val="0"/>
                              <w:spacing w:lineRule="atLeast" w:line="240" w:before="0" w:after="0"/>
                              <w:jc w:val="both"/>
                              <w:rPr/>
                            </w:pPr>
                            <w:r>
                              <w:rPr>
                                <w:spacing w:val="-2"/>
                              </w:rPr>
                              <w:t>compliance reporting in accordance with all applicable laws. The codes set forth a common set of values and standards to which all the Company’s directors, officers and employees are expected to adhere. The Company will post information regarding any amendment to, or waiver from, its codes of business conduct and ethics on its website under the “Investors” tab as required by applicable law.</w:t>
                            </w:r>
                            <w:r>
                              <w:rPr/>
                              <w:t xml:space="preserve"> </w:t>
                            </w:r>
                          </w:p>
                        </w:txbxContent>
                      </wps:txbx>
                      <wps:bodyPr anchor="t" lIns="0" tIns="0" rIns="0" bIns="0">
                        <a:noAutofit/>
                      </wps:bodyPr>
                    </wps:wsp>
                  </a:graphicData>
                </a:graphic>
              </wp:anchor>
            </w:drawing>
          </mc:Choice>
          <mc:Fallback>
            <w:pict>
              <v:rect style="position:absolute;rotation:-0;width:240.6pt;height:124.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jc w:val="both"/>
                        <w:rPr/>
                      </w:pPr>
                      <w:r>
                        <w:rPr>
                          <w:spacing w:val="-2"/>
                        </w:rPr>
                        <w:t>compliance reporting in accordance with all applicable laws. The codes set forth a common set of values and standards to which all the Company’s directors, officers and employees are expected to adhere. The Company will post information regarding any amendment to, or waiver from, its codes of business conduct and ethics on its website under the “Investors” tab as required by applicable law.</w:t>
                      </w:r>
                      <w:r>
                        <w:rPr/>
                        <w:t xml:space="preserve"> </w:t>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14 \ 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TBIC"/>
      <w:bookmarkEnd w:id="22"/>
      <w:r>
        <w:rPr>
          <w:rFonts w:ascii="calibri;arial;sans-serif" w:hAnsi="calibri;arial;sans-serif"/>
          <w:b w:val="false"/>
          <w:i w:val="false"/>
          <w:caps w:val="false"/>
          <w:smallCaps w:val="false"/>
          <w:color w:val="000000"/>
          <w:sz w:val="16"/>
        </w:rPr>
        <w:t>​</w:t>
      </w:r>
      <w:bookmarkStart w:id="23" w:name="tTHBO"/>
      <w:bookmarkEnd w:id="23"/>
      <w:r>
        <w:rPr>
          <w:rFonts w:ascii="calibri;arial;sans-serif" w:hAnsi="calibri;arial;sans-serif"/>
          <w:b w:val="false"/>
          <w:i w:val="false"/>
          <w:caps w:val="false"/>
          <w:smallCaps w:val="false"/>
          <w:color w:val="000000"/>
          <w:sz w:val="16"/>
        </w:rPr>
        <w:t>​</w:t>
      </w:r>
      <w:bookmarkStart w:id="24" w:name="tBOCO"/>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480" w:before="200" w:after="160"/>
        <w:ind w:left="800" w:right="0" w:hanging="0"/>
        <w:jc w:val="left"/>
        <w:rPr>
          <w:caps w:val="false"/>
          <w:smallCaps w:val="false"/>
          <w:color w:val="000000"/>
          <w:spacing w:val="-3"/>
        </w:rPr>
      </w:pPr>
      <w:r>
        <w:rPr>
          <w:caps w:val="false"/>
          <w:smallCaps w:val="false"/>
          <w:color w:val="000000"/>
          <w:spacing w:val="-3"/>
        </w:rPr>
        <w:t xml:space="preserve">  </w:t>
      </w:r>
    </w:p>
    <w:p>
      <w:pPr>
        <w:pStyle w:val="TextBody"/>
        <w:bidi w:val="0"/>
        <w:spacing w:lineRule="atLeast" w:line="480" w:before="360" w:after="283"/>
        <w:ind w:left="800" w:right="0" w:hanging="0"/>
        <w:jc w:val="left"/>
        <w:rPr>
          <w:rFonts w:ascii="Arial;Helvetica;sans-serif" w:hAnsi="Arial;Helvetica;sans-serif"/>
          <w:b/>
          <w:i w:val="false"/>
          <w:caps w:val="false"/>
          <w:smallCaps w:val="false"/>
          <w:color w:val="000000"/>
          <w:sz w:val="44"/>
        </w:rPr>
      </w:pPr>
      <w:r>
        <w:rPr>
          <w:rFonts w:ascii="Arial;Helvetica;sans-serif" w:hAnsi="Arial;Helvetica;sans-serif"/>
          <w:b/>
          <w:i w:val="false"/>
          <w:caps w:val="false"/>
          <w:smallCaps w:val="false"/>
          <w:color w:val="000000"/>
          <w:spacing w:val="-1"/>
          <w:sz w:val="44"/>
        </w:rPr>
        <w:t xml:space="preserve">The Board, Its Committees and Its </w:t>
        <w:br/>
        <w:t>Compensation</w:t>
      </w:r>
      <w:r>
        <w:rPr>
          <w:rFonts w:ascii="Arial;Helvetica;sans-serif" w:hAnsi="Arial;Helvetica;sans-serif"/>
          <w:b/>
          <w:i w:val="false"/>
          <w:caps w:val="false"/>
          <w:smallCaps w:val="false"/>
          <w:color w:val="000000"/>
          <w:spacing w:val="-3"/>
          <w:sz w:val="44"/>
        </w:rPr>
        <w:t xml:space="preserve"> </w:t>
      </w:r>
    </w:p>
    <w:p>
      <w:pPr>
        <w:pStyle w:val="TextBody"/>
        <w:bidi w:val="0"/>
        <w:spacing w:lineRule="atLeast" w:line="340" w:before="140" w:after="283"/>
        <w:ind w:left="900"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THE BOARD</w:t>
      </w:r>
      <w:r>
        <w:rPr>
          <w:rFonts w:ascii="Arial;Helvetica;sans-serif" w:hAnsi="Arial;Helvetica;sans-serif"/>
          <w:b/>
          <w:i w:val="false"/>
          <w:caps w:val="false"/>
          <w:smallCaps w:val="false"/>
          <w:color w:val="000000"/>
          <w:spacing w:val="6"/>
          <w:sz w:val="3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36">
                <wp:simplePos x="0" y="0"/>
                <wp:positionH relativeFrom="column">
                  <wp:align>left</wp:align>
                </wp:positionH>
                <wp:positionV relativeFrom="line">
                  <wp:posOffset>635</wp:posOffset>
                </wp:positionV>
                <wp:extent cx="3054350" cy="4758690"/>
                <wp:effectExtent l="0" t="0" r="0" b="0"/>
                <wp:wrapSquare wrapText="right"/>
                <wp:docPr id="139" name="Frame66"/>
                <a:graphic xmlns:a="http://schemas.openxmlformats.org/drawingml/2006/main">
                  <a:graphicData uri="http://schemas.microsoft.com/office/word/2010/wordprocessingShape">
                    <wps:wsp>
                      <wps:cNvSpPr txBox="1"/>
                      <wps:spPr>
                        <a:xfrm>
                          <a:off x="0" y="0"/>
                          <a:ext cx="3054350" cy="4758690"/>
                        </a:xfrm>
                        <a:prstGeom prst="rect"/>
                        <a:solidFill>
                          <a:srgbClr val="FFFFFF"/>
                        </a:solidFill>
                      </wps:spPr>
                      <wps:txbx>
                        <w:txbxContent>
                          <w:p>
                            <w:pPr>
                              <w:pStyle w:val="TextBody"/>
                              <w:bidi w:val="0"/>
                              <w:spacing w:lineRule="atLeast" w:line="240" w:before="0" w:after="0"/>
                              <w:jc w:val="both"/>
                              <w:rPr/>
                            </w:pPr>
                            <w:r>
                              <w:rPr>
                                <w:spacing w:val="-2"/>
                              </w:rPr>
                              <w:t>Eight of our current directors that are nominated for re-election at the Annual Meeting are non-management directors. Under the Company’s amended and restated bylaws, the Board may select one of its members to be Chairman of the Board. William Ackman is currently the Executive Chairman of the Board. R. Scot Sellers is currently the Presiding Director of the Board.</w:t>
                            </w:r>
                            <w:r>
                              <w:rPr>
                                <w:spacing w:val="4"/>
                              </w:rPr>
                              <w:t xml:space="preserve"> </w:t>
                            </w:r>
                          </w:p>
                          <w:p>
                            <w:pPr>
                              <w:pStyle w:val="TextBody"/>
                              <w:bidi w:val="0"/>
                              <w:spacing w:lineRule="atLeast" w:line="240" w:before="80" w:after="283"/>
                              <w:jc w:val="both"/>
                              <w:rPr/>
                            </w:pPr>
                            <w:r>
                              <w:rPr>
                                <w:spacing w:val="-2"/>
                              </w:rPr>
                              <w:t>We believe the diversity of skills and experience on our Board is a key driver of the Company’s success and that the strength of our Board is a competitive advantage.</w:t>
                            </w:r>
                            <w:r>
                              <w:rPr>
                                <w:spacing w:val="4"/>
                              </w:rPr>
                              <w:t xml:space="preserve"> </w:t>
                            </w:r>
                          </w:p>
                          <w:p>
                            <w:pPr>
                              <w:pStyle w:val="TextBody"/>
                              <w:bidi w:val="0"/>
                              <w:spacing w:lineRule="atLeast" w:line="240" w:before="80" w:after="283"/>
                              <w:jc w:val="both"/>
                              <w:rPr/>
                            </w:pPr>
                            <w:r>
                              <w:rPr>
                                <w:spacing w:val="-2"/>
                              </w:rPr>
                              <w:t>Our Board is knowledgeable, experienced, and diverse. Approximately 18% of our Board members self-identify as female and 36% self-identify as an ethnic minority:</w:t>
                            </w:r>
                            <w:r>
                              <w:rPr>
                                <w:spacing w:val="4"/>
                              </w:rPr>
                              <w:t xml:space="preserve"> </w:t>
                            </w:r>
                          </w:p>
                          <w:p>
                            <w:pPr>
                              <w:pStyle w:val="TextBody"/>
                              <w:bidi w:val="0"/>
                              <w:spacing w:before="200" w:after="283"/>
                              <w:jc w:val="left"/>
                              <w:rPr/>
                            </w:pPr>
                            <w:r>
                              <w:rPr/>
                              <w:drawing>
                                <wp:inline distT="0" distB="0" distL="0" distR="0">
                                  <wp:extent cx="3028950" cy="1333500"/>
                                  <wp:effectExtent l="0" t="0" r="0" b="0"/>
                                  <wp:docPr id="14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73" descr=""/>
                                          <pic:cNvPicPr>
                                            <a:picLocks noChangeAspect="1" noChangeArrowheads="1"/>
                                          </pic:cNvPicPr>
                                        </pic:nvPicPr>
                                        <pic:blipFill>
                                          <a:blip r:embed="rId75"/>
                                          <a:stretch>
                                            <a:fillRect/>
                                          </a:stretch>
                                        </pic:blipFill>
                                        <pic:spPr bwMode="auto">
                                          <a:xfrm>
                                            <a:off x="0" y="0"/>
                                            <a:ext cx="3028950" cy="13335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40.5pt;height:374.7pt;mso-wrap-distance-left:45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lineRule="atLeast" w:line="240" w:before="0" w:after="0"/>
                        <w:jc w:val="both"/>
                        <w:rPr/>
                      </w:pPr>
                      <w:r>
                        <w:rPr>
                          <w:spacing w:val="-2"/>
                        </w:rPr>
                        <w:t>Eight of our current directors that are nominated for re-election at the Annual Meeting are non-management directors. Under the Company’s amended and restated bylaws, the Board may select one of its members to be Chairman of the Board. William Ackman is currently the Executive Chairman of the Board. R. Scot Sellers is currently the Presiding Director of the Board.</w:t>
                      </w:r>
                      <w:r>
                        <w:rPr>
                          <w:spacing w:val="4"/>
                        </w:rPr>
                        <w:t xml:space="preserve"> </w:t>
                      </w:r>
                    </w:p>
                    <w:p>
                      <w:pPr>
                        <w:pStyle w:val="TextBody"/>
                        <w:bidi w:val="0"/>
                        <w:spacing w:lineRule="atLeast" w:line="240" w:before="80" w:after="283"/>
                        <w:jc w:val="both"/>
                        <w:rPr/>
                      </w:pPr>
                      <w:r>
                        <w:rPr>
                          <w:spacing w:val="-2"/>
                        </w:rPr>
                        <w:t>We believe the diversity of skills and experience on our Board is a key driver of the Company’s success and that the strength of our Board is a competitive advantage.</w:t>
                      </w:r>
                      <w:r>
                        <w:rPr>
                          <w:spacing w:val="4"/>
                        </w:rPr>
                        <w:t xml:space="preserve"> </w:t>
                      </w:r>
                    </w:p>
                    <w:p>
                      <w:pPr>
                        <w:pStyle w:val="TextBody"/>
                        <w:bidi w:val="0"/>
                        <w:spacing w:lineRule="atLeast" w:line="240" w:before="80" w:after="283"/>
                        <w:jc w:val="both"/>
                        <w:rPr/>
                      </w:pPr>
                      <w:r>
                        <w:rPr>
                          <w:spacing w:val="-2"/>
                        </w:rPr>
                        <w:t>Our Board is knowledgeable, experienced, and diverse. Approximately 18% of our Board members self-identify as female and 36% self-identify as an ethnic minority:</w:t>
                      </w:r>
                      <w:r>
                        <w:rPr>
                          <w:spacing w:val="4"/>
                        </w:rPr>
                        <w:t xml:space="preserve"> </w:t>
                      </w:r>
                    </w:p>
                    <w:p>
                      <w:pPr>
                        <w:pStyle w:val="TextBody"/>
                        <w:bidi w:val="0"/>
                        <w:spacing w:before="200" w:after="283"/>
                        <w:jc w:val="left"/>
                        <w:rPr/>
                      </w:pPr>
                      <w:r>
                        <w:rPr/>
                        <w:drawing>
                          <wp:inline distT="0" distB="0" distL="0" distR="0">
                            <wp:extent cx="3028950" cy="1333500"/>
                            <wp:effectExtent l="0" t="0" r="0" b="0"/>
                            <wp:docPr id="14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73" descr=""/>
                                    <pic:cNvPicPr>
                                      <a:picLocks noChangeAspect="1" noChangeArrowheads="1"/>
                                    </pic:cNvPicPr>
                                  </pic:nvPicPr>
                                  <pic:blipFill>
                                    <a:blip r:embed="rId76"/>
                                    <a:stretch>
                                      <a:fillRect/>
                                    </a:stretch>
                                  </pic:blipFill>
                                  <pic:spPr bwMode="auto">
                                    <a:xfrm>
                                      <a:off x="0" y="0"/>
                                      <a:ext cx="3028950" cy="133350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199">
                <wp:simplePos x="0" y="0"/>
                <wp:positionH relativeFrom="column">
                  <wp:align>left</wp:align>
                </wp:positionH>
                <wp:positionV relativeFrom="line">
                  <wp:posOffset>635</wp:posOffset>
                </wp:positionV>
                <wp:extent cx="3054350" cy="3782060"/>
                <wp:effectExtent l="0" t="0" r="0" b="0"/>
                <wp:wrapSquare wrapText="right"/>
                <wp:docPr id="142" name="Frame67"/>
                <a:graphic xmlns:a="http://schemas.openxmlformats.org/drawingml/2006/main">
                  <a:graphicData uri="http://schemas.microsoft.com/office/word/2010/wordprocessingShape">
                    <wps:wsp>
                      <wps:cNvSpPr txBox="1"/>
                      <wps:spPr>
                        <a:xfrm>
                          <a:off x="0" y="0"/>
                          <a:ext cx="3054350" cy="3782060"/>
                        </a:xfrm>
                        <a:prstGeom prst="rect"/>
                        <a:solidFill>
                          <a:srgbClr val="FFFFFF"/>
                        </a:solidFill>
                      </wps:spPr>
                      <wps:txbx>
                        <w:txbxContent>
                          <w:p>
                            <w:pPr>
                              <w:pStyle w:val="TextBody"/>
                              <w:bidi w:val="0"/>
                              <w:spacing w:lineRule="atLeast" w:line="240" w:before="0" w:after="0"/>
                              <w:jc w:val="both"/>
                              <w:rPr/>
                            </w:pPr>
                            <w:r>
                              <w:rPr>
                                <w:spacing w:val="-2"/>
                              </w:rPr>
                              <w:t>Under the Company’s corporate governance guidelines, Board members are expected to devote the time reasonably necessary to discharge their responsibilities and to prepare for and, to the extent reasonably practicable, attend and participate in all meetings of the Board and the committees on which they serve. The Board held a total of 12 meetings in 2025. All directors attended 75% or more of the meetings of the Board and of the committees on which they served during 2025 and attended our 2025 annual meeting of stockholders.</w:t>
                            </w:r>
                            <w:r>
                              <w:rPr>
                                <w:spacing w:val="4"/>
                              </w:rPr>
                              <w:t xml:space="preserve"> </w:t>
                            </w:r>
                          </w:p>
                          <w:p>
                            <w:pPr>
                              <w:pStyle w:val="TextBody"/>
                              <w:bidi w:val="0"/>
                              <w:spacing w:lineRule="atLeast" w:line="240" w:before="160" w:after="283"/>
                              <w:jc w:val="both"/>
                              <w:rPr/>
                            </w:pPr>
                            <w:r>
                              <w:rPr>
                                <w:spacing w:val="-2"/>
                              </w:rPr>
                              <w:t>Our individual Board members have varied expertise and bring extensive professional experience both within and outside the Company’s industry. We believe this provides our Board with a vast collective skill set that is advantageous to the Board’s oversight of our Company, and that these varied perspectives expand the Board’s ability to provide relevant guidance to our leadership team and overall business.</w:t>
                            </w:r>
                            <w:r>
                              <w:rPr/>
                              <w:t xml:space="preserve"> </w:t>
                            </w:r>
                          </w:p>
                        </w:txbxContent>
                      </wps:txbx>
                      <wps:bodyPr anchor="t" lIns="0" tIns="0" rIns="0" bIns="0">
                        <a:noAutofit/>
                      </wps:bodyPr>
                    </wps:wsp>
                  </a:graphicData>
                </a:graphic>
              </wp:anchor>
            </w:drawing>
          </mc:Choice>
          <mc:Fallback>
            <w:pict>
              <v:rect style="position:absolute;rotation:-0;width:240.5pt;height:297.8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jc w:val="both"/>
                        <w:rPr/>
                      </w:pPr>
                      <w:r>
                        <w:rPr>
                          <w:spacing w:val="-2"/>
                        </w:rPr>
                        <w:t>Under the Company’s corporate governance guidelines, Board members are expected to devote the time reasonably necessary to discharge their responsibilities and to prepare for and, to the extent reasonably practicable, attend and participate in all meetings of the Board and the committees on which they serve. The Board held a total of 12 meetings in 2025. All directors attended 75% or more of the meetings of the Board and of the committees on which they served during 2025 and attended our 2025 annual meeting of stockholders.</w:t>
                      </w:r>
                      <w:r>
                        <w:rPr>
                          <w:spacing w:val="4"/>
                        </w:rPr>
                        <w:t xml:space="preserve"> </w:t>
                      </w:r>
                    </w:p>
                    <w:p>
                      <w:pPr>
                        <w:pStyle w:val="TextBody"/>
                        <w:bidi w:val="0"/>
                        <w:spacing w:lineRule="atLeast" w:line="240" w:before="160" w:after="283"/>
                        <w:jc w:val="both"/>
                        <w:rPr/>
                      </w:pPr>
                      <w:r>
                        <w:rPr>
                          <w:spacing w:val="-2"/>
                        </w:rPr>
                        <w:t>Our individual Board members have varied expertise and bring extensive professional experience both within and outside the Company’s industry. We believe this provides our Board with a vast collective skill set that is advantageous to the Board’s oversight of our Company, and that these varied perspectives expand the Board’s ability to provide relevant guidance to our leadership team and overall business.</w:t>
                      </w:r>
                      <w:r>
                        <w:rPr/>
                        <w:t xml:space="preserve"> </w:t>
                      </w:r>
                    </w:p>
                  </w:txbxContent>
                </v:textbox>
                <w10:wrap type="square" side="right"/>
              </v:rect>
            </w:pict>
          </mc:Fallback>
        </mc:AlternateContent>
      </w:r>
    </w:p>
    <w:p>
      <w:pPr>
        <w:pStyle w:val="TextBody"/>
        <w:bidi w:val="0"/>
        <w:spacing w:lineRule="atLeast" w:line="340" w:before="0" w:after="283"/>
        <w:ind w:left="900"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BOARD COMMITTEES</w:t>
      </w:r>
      <w:r>
        <w:rPr>
          <w:rFonts w:ascii="Arial;Helvetica;sans-serif" w:hAnsi="Arial;Helvetica;sans-serif"/>
          <w:b/>
          <w:i w:val="false"/>
          <w:caps w:val="false"/>
          <w:smallCaps w:val="false"/>
          <w:color w:val="000000"/>
          <w:spacing w:val="6"/>
          <w:sz w:val="3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200">
                <wp:simplePos x="0" y="0"/>
                <wp:positionH relativeFrom="column">
                  <wp:align>left</wp:align>
                </wp:positionH>
                <wp:positionV relativeFrom="line">
                  <wp:posOffset>635</wp:posOffset>
                </wp:positionV>
                <wp:extent cx="3054350" cy="3425190"/>
                <wp:effectExtent l="0" t="0" r="0" b="0"/>
                <wp:wrapSquare wrapText="right"/>
                <wp:docPr id="143" name="Frame68"/>
                <a:graphic xmlns:a="http://schemas.openxmlformats.org/drawingml/2006/main">
                  <a:graphicData uri="http://schemas.microsoft.com/office/word/2010/wordprocessingShape">
                    <wps:wsp>
                      <wps:cNvSpPr txBox="1"/>
                      <wps:spPr>
                        <a:xfrm>
                          <a:off x="0" y="0"/>
                          <a:ext cx="3054350" cy="3425190"/>
                        </a:xfrm>
                        <a:prstGeom prst="rect"/>
                        <a:solidFill>
                          <a:srgbClr val="FFFFFF"/>
                        </a:solidFill>
                      </wps:spPr>
                      <wps:txbx>
                        <w:txbxContent>
                          <w:p>
                            <w:pPr>
                              <w:pStyle w:val="TextBody"/>
                              <w:bidi w:val="0"/>
                              <w:spacing w:lineRule="atLeast" w:line="230" w:before="0" w:after="0"/>
                              <w:jc w:val="both"/>
                              <w:rPr/>
                            </w:pPr>
                            <w:r>
                              <w:rPr>
                                <w:spacing w:val="-2"/>
                              </w:rPr>
                              <w:t>Our Board has five standing committees: Audit; Compensation; Nominating and Corporate Governance; Technology; and Insurance. The specific membership of each committee allows us to take advantage of our directors’ diverse skill sets, which enables deep focus on committee matters.</w:t>
                            </w:r>
                            <w:r>
                              <w:rPr>
                                <w:spacing w:val="4"/>
                              </w:rPr>
                              <w:t xml:space="preserve"> </w:t>
                            </w:r>
                          </w:p>
                          <w:p>
                            <w:pPr>
                              <w:pStyle w:val="TextBody"/>
                              <w:bidi w:val="0"/>
                              <w:spacing w:lineRule="atLeast" w:line="240" w:before="60" w:after="283"/>
                              <w:jc w:val="both"/>
                              <w:rPr/>
                            </w:pPr>
                            <w:r>
                              <w:rPr>
                                <w:spacing w:val="-2"/>
                              </w:rPr>
                              <w:t>Each of our committees</w:t>
                            </w:r>
                            <w:r>
                              <w:rPr>
                                <w:spacing w:val="-1"/>
                                <w:sz w:val="15"/>
                              </w:rPr>
                              <w:t>1</w:t>
                            </w:r>
                            <w:r>
                              <w:rPr>
                                <w:spacing w:val="-2"/>
                              </w:rPr>
                              <w:t>:</w:t>
                            </w:r>
                            <w:r>
                              <w:rPr>
                                <w:spacing w:val="4"/>
                              </w:rPr>
                              <w:t xml:space="preserve"> </w:t>
                            </w:r>
                          </w:p>
                          <w:p>
                            <w:pPr>
                              <w:pStyle w:val="TextBody"/>
                              <w:bidi w:val="0"/>
                              <w:spacing w:before="0" w:after="283"/>
                              <w:ind w:left="0" w:right="0" w:hanging="0"/>
                              <w:jc w:val="left"/>
                              <w:rPr>
                                <w:bdr w:val="single" w:sz="8" w:space="1" w:color="000000"/>
                              </w:rPr>
                            </w:pPr>
                            <w:r>
                              <w:rPr>
                                <w:bdr w:val="single" w:sz="8" w:space="1" w:color="000000"/>
                              </w:rPr>
                              <w:t>​</w:t>
                            </w:r>
                          </w:p>
                          <w:p>
                            <w:pPr>
                              <w:pStyle w:val="TextBody"/>
                              <w:bidi w:val="0"/>
                              <w:spacing w:lineRule="atLeast" w:line="220" w:before="200" w:after="0"/>
                              <w:ind w:left="400" w:right="0" w:hanging="0"/>
                              <w:jc w:val="both"/>
                              <w:rPr>
                                <w:sz w:val="18"/>
                              </w:rPr>
                            </w:pPr>
                            <w:r>
                              <w:rPr>
                                <w:spacing w:val="-1"/>
                                <w:sz w:val="18"/>
                              </w:rPr>
                              <w:t>The Insurance Committee was established by the Board effective June 4, 2026, following the consummation of the Company’s acquisition of Vantage Group Holdings, Ltd., and is operating pursuant to delegated authority pending Board approval of a formal written charter. The Insurance Committee’s written charter is currently under development and will be subject to annual review and self-evaluation following adoption.</w:t>
                            </w:r>
                            <w:r>
                              <w:rPr>
                                <w:spacing w:val="4"/>
                                <w:sz w:val="18"/>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0.5pt;height:269.7pt;mso-wrap-distance-left:45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lineRule="atLeast" w:line="230" w:before="0" w:after="0"/>
                        <w:jc w:val="both"/>
                        <w:rPr/>
                      </w:pPr>
                      <w:r>
                        <w:rPr>
                          <w:spacing w:val="-2"/>
                        </w:rPr>
                        <w:t>Our Board has five standing committees: Audit; Compensation; Nominating and Corporate Governance; Technology; and Insurance. The specific membership of each committee allows us to take advantage of our directors’ diverse skill sets, which enables deep focus on committee matters.</w:t>
                      </w:r>
                      <w:r>
                        <w:rPr>
                          <w:spacing w:val="4"/>
                        </w:rPr>
                        <w:t xml:space="preserve"> </w:t>
                      </w:r>
                    </w:p>
                    <w:p>
                      <w:pPr>
                        <w:pStyle w:val="TextBody"/>
                        <w:bidi w:val="0"/>
                        <w:spacing w:lineRule="atLeast" w:line="240" w:before="60" w:after="283"/>
                        <w:jc w:val="both"/>
                        <w:rPr/>
                      </w:pPr>
                      <w:r>
                        <w:rPr>
                          <w:spacing w:val="-2"/>
                        </w:rPr>
                        <w:t>Each of our committees</w:t>
                      </w:r>
                      <w:r>
                        <w:rPr>
                          <w:spacing w:val="-1"/>
                          <w:sz w:val="15"/>
                        </w:rPr>
                        <w:t>1</w:t>
                      </w:r>
                      <w:r>
                        <w:rPr>
                          <w:spacing w:val="-2"/>
                        </w:rPr>
                        <w:t>:</w:t>
                      </w:r>
                      <w:r>
                        <w:rPr>
                          <w:spacing w:val="4"/>
                        </w:rPr>
                        <w:t xml:space="preserve"> </w:t>
                      </w:r>
                    </w:p>
                    <w:p>
                      <w:pPr>
                        <w:pStyle w:val="TextBody"/>
                        <w:bidi w:val="0"/>
                        <w:spacing w:before="0" w:after="283"/>
                        <w:ind w:left="0" w:right="0" w:hanging="0"/>
                        <w:jc w:val="left"/>
                        <w:rPr>
                          <w:bdr w:val="single" w:sz="8" w:space="1" w:color="000000"/>
                        </w:rPr>
                      </w:pPr>
                      <w:r>
                        <w:rPr>
                          <w:bdr w:val="single" w:sz="8" w:space="1" w:color="000000"/>
                        </w:rPr>
                        <w:t>​</w:t>
                      </w:r>
                    </w:p>
                    <w:p>
                      <w:pPr>
                        <w:pStyle w:val="TextBody"/>
                        <w:bidi w:val="0"/>
                        <w:spacing w:lineRule="atLeast" w:line="220" w:before="200" w:after="0"/>
                        <w:ind w:left="400" w:right="0" w:hanging="0"/>
                        <w:jc w:val="both"/>
                        <w:rPr>
                          <w:sz w:val="18"/>
                        </w:rPr>
                      </w:pPr>
                      <w:r>
                        <w:rPr>
                          <w:spacing w:val="-1"/>
                          <w:sz w:val="18"/>
                        </w:rPr>
                        <w:t>The Insurance Committee was established by the Board effective June 4, 2026, following the consummation of the Company’s acquisition of Vantage Group Holdings, Ltd., and is operating pursuant to delegated authority pending Board approval of a formal written charter. The Insurance Committee’s written charter is currently under development and will be subject to annual review and self-evaluation following adoption.</w:t>
                      </w:r>
                      <w:r>
                        <w:rPr>
                          <w:spacing w:val="4"/>
                          <w:sz w:val="18"/>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304800" distR="0" simplePos="0" locked="0" layoutInCell="1" allowOverlap="1" relativeHeight="202">
                <wp:simplePos x="0" y="0"/>
                <wp:positionH relativeFrom="column">
                  <wp:align>left</wp:align>
                </wp:positionH>
                <wp:positionV relativeFrom="line">
                  <wp:posOffset>635</wp:posOffset>
                </wp:positionV>
                <wp:extent cx="3054350" cy="4017645"/>
                <wp:effectExtent l="0" t="0" r="0" b="0"/>
                <wp:wrapSquare wrapText="right"/>
                <wp:docPr id="144" name="Frame70"/>
                <a:graphic xmlns:a="http://schemas.openxmlformats.org/drawingml/2006/main">
                  <a:graphicData uri="http://schemas.microsoft.com/office/word/2010/wordprocessingShape">
                    <wps:wsp>
                      <wps:cNvSpPr txBox="1"/>
                      <wps:spPr>
                        <a:xfrm>
                          <a:off x="0" y="0"/>
                          <a:ext cx="3054350" cy="4017645"/>
                        </a:xfrm>
                        <a:prstGeom prst="rect"/>
                        <a:solidFill>
                          <a:srgbClr val="FFFFFF"/>
                        </a:solidFill>
                      </wps:spPr>
                      <wps:txbx>
                        <w:txbxContent>
                          <w:p>
                            <w:pPr>
                              <w:pStyle w:val="TextBody"/>
                              <w:bidi w:val="0"/>
                              <w:spacing w:lineRule="atLeast" w:line="240" w:before="0" w:after="0"/>
                              <w:ind w:left="760" w:right="0" w:hanging="0"/>
                              <w:jc w:val="both"/>
                              <w:rPr/>
                            </w:pPr>
                            <w:r>
                              <w:rPr>
                                <w:spacing w:val="-2"/>
                              </w:rPr>
                              <w:t>Operates pursuant to a written charter (available on our website at www.howardhughes.com under the “Investors” tab);</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left"/>
                              <w:rPr/>
                            </w:pPr>
                            <w:r>
                              <w:rPr>
                                <w:spacing w:val="-2"/>
                              </w:rPr>
                              <w:t>Reviews its charter annually; and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left"/>
                              <w:rPr/>
                            </w:pPr>
                            <w:r>
                              <w:rPr>
                                <w:spacing w:val="-2"/>
                              </w:rPr>
                              <w:t>Evaluates its performance annually.</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2"/>
                              </w:rPr>
                              <w:t>The Company’s reputation is of critical importance. In fulfilling their duties and responsibilities, each of our standing committees and our Board considers the potential effect of any matter on our reputation.</w:t>
                            </w:r>
                            <w:r>
                              <w:rPr>
                                <w:spacing w:val="4"/>
                              </w:rPr>
                              <w:t xml:space="preserve"> </w:t>
                            </w:r>
                          </w:p>
                          <w:p>
                            <w:pPr>
                              <w:pStyle w:val="TextBody"/>
                              <w:bidi w:val="0"/>
                              <w:spacing w:lineRule="atLeast" w:line="240" w:before="160" w:after="283"/>
                              <w:jc w:val="both"/>
                              <w:rPr>
                                <w:spacing w:val="-2"/>
                              </w:rPr>
                            </w:pPr>
                            <w:r>
                              <w:rPr>
                                <w:spacing w:val="-2"/>
                              </w:rPr>
                              <w:t xml:space="preserve">In June 2025, the Board of Directors appointed Ryan Israel as an observer to the Compensation Committee. While Mr. Israel does not serve as a member of the Compensation Committee and does not have voting </w:t>
                            </w:r>
                          </w:p>
                        </w:txbxContent>
                      </wps:txbx>
                      <wps:bodyPr anchor="t" lIns="0" tIns="0" rIns="0" bIns="0">
                        <a:noAutofit/>
                      </wps:bodyPr>
                    </wps:wsp>
                  </a:graphicData>
                </a:graphic>
              </wp:anchor>
            </w:drawing>
          </mc:Choice>
          <mc:Fallback>
            <w:pict>
              <v:rect style="position:absolute;rotation:-0;width:240.5pt;height:316.35pt;mso-wrap-distance-left:24pt;mso-wrap-distance-right:0pt;mso-wrap-distance-top:0pt;mso-wrap-distance-bottom:0pt;margin-top:0pt;mso-position-vertical:top;mso-position-vertical-relative:text;margin-left:288.5pt;mso-position-horizontal:left;mso-position-horizontal-relative:text">
                <v:textbox>
                  <w:txbxContent>
                    <w:p>
                      <w:pPr>
                        <w:pStyle w:val="TextBody"/>
                        <w:bidi w:val="0"/>
                        <w:spacing w:lineRule="atLeast" w:line="240" w:before="0" w:after="0"/>
                        <w:ind w:left="760" w:right="0" w:hanging="0"/>
                        <w:jc w:val="both"/>
                        <w:rPr/>
                      </w:pPr>
                      <w:r>
                        <w:rPr>
                          <w:spacing w:val="-2"/>
                        </w:rPr>
                        <w:t>Operates pursuant to a written charter (available on our website at www.howardhughes.com under the “Investors” tab);</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left"/>
                        <w:rPr/>
                      </w:pPr>
                      <w:r>
                        <w:rPr>
                          <w:spacing w:val="-2"/>
                        </w:rPr>
                        <w:t>Reviews its charter annually; and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left"/>
                        <w:rPr/>
                      </w:pPr>
                      <w:r>
                        <w:rPr>
                          <w:spacing w:val="-2"/>
                        </w:rPr>
                        <w:t>Evaluates its performance annually.</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2"/>
                        </w:rPr>
                        <w:t>The Company’s reputation is of critical importance. In fulfilling their duties and responsibilities, each of our standing committees and our Board considers the potential effect of any matter on our reputation.</w:t>
                      </w:r>
                      <w:r>
                        <w:rPr>
                          <w:spacing w:val="4"/>
                        </w:rPr>
                        <w:t xml:space="preserve"> </w:t>
                      </w:r>
                    </w:p>
                    <w:p>
                      <w:pPr>
                        <w:pStyle w:val="TextBody"/>
                        <w:bidi w:val="0"/>
                        <w:spacing w:lineRule="atLeast" w:line="240" w:before="160" w:after="283"/>
                        <w:jc w:val="both"/>
                        <w:rPr>
                          <w:spacing w:val="-2"/>
                        </w:rPr>
                      </w:pPr>
                      <w:r>
                        <w:rPr>
                          <w:spacing w:val="-2"/>
                        </w:rPr>
                        <w:t xml:space="preserve">In June 2025, the Board of Directors appointed Ryan Israel as an observer to the Compensation Committee. While Mr. Israel does not serve as a member of the Compensation Committee and does not have voting </w:t>
                      </w:r>
                    </w:p>
                  </w:txbxContent>
                </v:textbox>
                <w10:wrap type="square" side="right"/>
              </v:rect>
            </w:pict>
          </mc:Fallback>
        </mc:AlternateContent>
      </w:r>
      <w:r>
        <mc:AlternateContent>
          <mc:Choice Requires="wps">
            <w:drawing>
              <wp:anchor behindDoc="0" distT="139700" distB="0" distL="0" distR="0" simplePos="0" locked="0" layoutInCell="1" allowOverlap="1" relativeHeight="201">
                <wp:simplePos x="0" y="0"/>
                <wp:positionH relativeFrom="column">
                  <wp:align>left</wp:align>
                </wp:positionH>
                <wp:positionV relativeFrom="line">
                  <wp:align>top</wp:align>
                </wp:positionV>
                <wp:extent cx="254000" cy="262890"/>
                <wp:effectExtent l="0" t="0" r="0" b="0"/>
                <wp:wrapSquare wrapText="right"/>
                <wp:docPr id="145" name="Frame69"/>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before="0" w:after="283"/>
                              <w:jc w:val="both"/>
                              <w:rPr>
                                <w:sz w:val="18"/>
                              </w:rPr>
                            </w:pPr>
                            <w:r>
                              <w:rPr>
                                <w:spacing w:val="-1"/>
                                <w:sz w:val="14"/>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before="0" w:after="283"/>
                        <w:jc w:val="both"/>
                        <w:rPr>
                          <w:sz w:val="18"/>
                        </w:rPr>
                      </w:pPr>
                      <w:r>
                        <w:rPr>
                          <w:spacing w:val="-1"/>
                          <w:sz w:val="14"/>
                        </w:rPr>
                        <w:t>1</w:t>
                      </w:r>
                      <w:r>
                        <w:rPr>
                          <w:sz w:val="18"/>
                        </w:rPr>
                        <w:t xml:space="preserve"> </w:t>
                        <w:br/>
                      </w:r>
                    </w:p>
                  </w:txbxContent>
                </v:textbox>
                <w10:wrap type="square" side="right"/>
              </v:rect>
            </w:pict>
          </mc:Fallback>
        </mc:AlternateContent>
      </w:r>
      <w:r>
        <mc:AlternateContent>
          <mc:Choice Requires="wps">
            <w:drawing>
              <wp:anchor behindDoc="0" distT="0" distB="0" distL="254000" distR="0" simplePos="0" locked="0" layoutInCell="1" allowOverlap="1" relativeHeight="203">
                <wp:simplePos x="0" y="0"/>
                <wp:positionH relativeFrom="column">
                  <wp:align>left</wp:align>
                </wp:positionH>
                <wp:positionV relativeFrom="line">
                  <wp:posOffset>635</wp:posOffset>
                </wp:positionV>
                <wp:extent cx="228600" cy="350520"/>
                <wp:effectExtent l="0" t="0" r="0" b="0"/>
                <wp:wrapSquare wrapText="right"/>
                <wp:docPr id="146" name="Frame7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2400" distB="0" distL="254000" distR="0" simplePos="0" locked="0" layoutInCell="1" allowOverlap="1" relativeHeight="204">
                <wp:simplePos x="0" y="0"/>
                <wp:positionH relativeFrom="column">
                  <wp:align>left</wp:align>
                </wp:positionH>
                <wp:positionV relativeFrom="line">
                  <wp:align>top</wp:align>
                </wp:positionV>
                <wp:extent cx="228600" cy="350520"/>
                <wp:effectExtent l="0" t="0" r="0" b="0"/>
                <wp:wrapSquare wrapText="right"/>
                <wp:docPr id="147" name="Frame7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52400" distB="0" distL="254000" distR="0" simplePos="0" locked="0" layoutInCell="1" allowOverlap="1" relativeHeight="205">
                <wp:simplePos x="0" y="0"/>
                <wp:positionH relativeFrom="column">
                  <wp:align>left</wp:align>
                </wp:positionH>
                <wp:positionV relativeFrom="line">
                  <wp:align>top</wp:align>
                </wp:positionV>
                <wp:extent cx="228600" cy="350520"/>
                <wp:effectExtent l="0" t="0" r="0" b="0"/>
                <wp:wrapSquare wrapText="right"/>
                <wp:docPr id="148" name="Frame7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/ 15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The Board, Its Committees and Its Compensation</w:t>
      </w:r>
      <w:r>
        <w:rPr>
          <w:rFonts w:ascii="Arial;Helvetica;sans-serif" w:hAnsi="Arial;Helvetica;sans-serif"/>
          <w:b/>
          <w:i w:val="false"/>
          <w:caps w:val="false"/>
          <w:smallCaps w:val="false"/>
          <w:color w:val="7F7F7F"/>
          <w:spacing w:val="-3"/>
          <w:sz w:val="22"/>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206">
                <wp:simplePos x="0" y="0"/>
                <wp:positionH relativeFrom="column">
                  <wp:align>left</wp:align>
                </wp:positionH>
                <wp:positionV relativeFrom="line">
                  <wp:posOffset>635</wp:posOffset>
                </wp:positionV>
                <wp:extent cx="3055620" cy="5465445"/>
                <wp:effectExtent l="0" t="0" r="0" b="0"/>
                <wp:wrapSquare wrapText="right"/>
                <wp:docPr id="149" name="Frame74"/>
                <a:graphic xmlns:a="http://schemas.openxmlformats.org/drawingml/2006/main">
                  <a:graphicData uri="http://schemas.microsoft.com/office/word/2010/wordprocessingShape">
                    <wps:wsp>
                      <wps:cNvSpPr txBox="1"/>
                      <wps:spPr>
                        <a:xfrm>
                          <a:off x="0" y="0"/>
                          <a:ext cx="3055620" cy="5465445"/>
                        </a:xfrm>
                        <a:prstGeom prst="rect"/>
                        <a:solidFill>
                          <a:srgbClr val="FFFFFF"/>
                        </a:solidFill>
                      </wps:spPr>
                      <wps:txbx>
                        <w:txbxContent>
                          <w:p>
                            <w:pPr>
                              <w:pStyle w:val="TextBody"/>
                              <w:bidi w:val="0"/>
                              <w:spacing w:lineRule="atLeast" w:line="240" w:before="0" w:after="0"/>
                              <w:jc w:val="both"/>
                              <w:rPr/>
                            </w:pPr>
                            <w:r>
                              <w:rPr>
                                <w:spacing w:val="-2"/>
                              </w:rPr>
                              <w:t>authority, he is invited to attend meetings and participate in discussions in a non-voting capacity. The Board believes observer roles enhance director engagement and provide valuable opportunities for broader Board insight into committee matters, while preserving the independence requirements applicable to committee membership under NYSE rules.</w:t>
                            </w:r>
                            <w:r>
                              <w:rPr>
                                <w:spacing w:val="4"/>
                              </w:rPr>
                              <w:t xml:space="preserve"> </w:t>
                            </w:r>
                          </w:p>
                          <w:p>
                            <w:pPr>
                              <w:pStyle w:val="TextBody"/>
                              <w:bidi w:val="0"/>
                              <w:spacing w:lineRule="atLeast" w:line="240" w:before="160" w:after="283"/>
                              <w:jc w:val="both"/>
                              <w:rPr/>
                            </w:pPr>
                            <w:r>
                              <w:rPr>
                                <w:spacing w:val="-2"/>
                              </w:rPr>
                              <w:t>In June 2025, the Board of Directors approved the dissolution of the Risk Committee of the Board, following a review of the Company’s governance structure and oversight responsibilities. The Board determined that the responsibilities previously assigned to the Risk Committee, including oversight of management’s processes for identifying, assessing and mitigating significant enterprise risks and other significant operational and strategic risks, are more appropriately allocated among the other standing committees of the Board. As a result, the Board reallocated such responsibilities primarily to the Audit Committee, which assumed oversight of cybersecurity, data privacy, and technology risks, and to the full Board, which oversees strategic and enterprise-level risks as part of its regular responsibilities.</w:t>
                            </w:r>
                            <w:r>
                              <w:rPr>
                                <w:spacing w:val="4"/>
                              </w:rPr>
                              <w:t xml:space="preserve"> </w:t>
                            </w:r>
                          </w:p>
                          <w:p>
                            <w:pPr>
                              <w:pStyle w:val="TextBody"/>
                              <w:bidi w:val="0"/>
                              <w:spacing w:lineRule="atLeast" w:line="240" w:before="160" w:after="283"/>
                              <w:jc w:val="both"/>
                              <w:rPr/>
                            </w:pPr>
                            <w:r>
                              <w:rPr>
                                <w:spacing w:val="-2"/>
                              </w:rPr>
                              <w:t>The Board believes this change promotes more integrated and efficient oversight of risk management activities and is consistent with evolving governance practices.</w:t>
                            </w:r>
                            <w:r>
                              <w:rPr/>
                              <w:t xml:space="preserve"> </w:t>
                            </w:r>
                          </w:p>
                        </w:txbxContent>
                      </wps:txbx>
                      <wps:bodyPr anchor="t" lIns="0" tIns="0" rIns="0" bIns="0">
                        <a:noAutofit/>
                      </wps:bodyPr>
                    </wps:wsp>
                  </a:graphicData>
                </a:graphic>
              </wp:anchor>
            </w:drawing>
          </mc:Choice>
          <mc:Fallback>
            <w:pict>
              <v:rect style="position:absolute;rotation:-0;width:240.6pt;height:430.35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jc w:val="both"/>
                        <w:rPr/>
                      </w:pPr>
                      <w:r>
                        <w:rPr>
                          <w:spacing w:val="-2"/>
                        </w:rPr>
                        <w:t>authority, he is invited to attend meetings and participate in discussions in a non-voting capacity. The Board believes observer roles enhance director engagement and provide valuable opportunities for broader Board insight into committee matters, while preserving the independence requirements applicable to committee membership under NYSE rules.</w:t>
                      </w:r>
                      <w:r>
                        <w:rPr>
                          <w:spacing w:val="4"/>
                        </w:rPr>
                        <w:t xml:space="preserve"> </w:t>
                      </w:r>
                    </w:p>
                    <w:p>
                      <w:pPr>
                        <w:pStyle w:val="TextBody"/>
                        <w:bidi w:val="0"/>
                        <w:spacing w:lineRule="atLeast" w:line="240" w:before="160" w:after="283"/>
                        <w:jc w:val="both"/>
                        <w:rPr/>
                      </w:pPr>
                      <w:r>
                        <w:rPr>
                          <w:spacing w:val="-2"/>
                        </w:rPr>
                        <w:t>In June 2025, the Board of Directors approved the dissolution of the Risk Committee of the Board, following a review of the Company’s governance structure and oversight responsibilities. The Board determined that the responsibilities previously assigned to the Risk Committee, including oversight of management’s processes for identifying, assessing and mitigating significant enterprise risks and other significant operational and strategic risks, are more appropriately allocated among the other standing committees of the Board. As a result, the Board reallocated such responsibilities primarily to the Audit Committee, which assumed oversight of cybersecurity, data privacy, and technology risks, and to the full Board, which oversees strategic and enterprise-level risks as part of its regular responsibilities.</w:t>
                      </w:r>
                      <w:r>
                        <w:rPr>
                          <w:spacing w:val="4"/>
                        </w:rPr>
                        <w:t xml:space="preserve"> </w:t>
                      </w:r>
                    </w:p>
                    <w:p>
                      <w:pPr>
                        <w:pStyle w:val="TextBody"/>
                        <w:bidi w:val="0"/>
                        <w:spacing w:lineRule="atLeast" w:line="240" w:before="160" w:after="283"/>
                        <w:jc w:val="both"/>
                        <w:rPr/>
                      </w:pPr>
                      <w:r>
                        <w:rPr>
                          <w:spacing w:val="-2"/>
                        </w:rPr>
                        <w:t>The Board believes this change promotes more integrated and efficient oversight of risk management activities and is consistent with evolving governance practices.</w:t>
                      </w:r>
                      <w:r>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207">
                <wp:simplePos x="0" y="0"/>
                <wp:positionH relativeFrom="column">
                  <wp:align>left</wp:align>
                </wp:positionH>
                <wp:positionV relativeFrom="line">
                  <wp:posOffset>635</wp:posOffset>
                </wp:positionV>
                <wp:extent cx="3055620" cy="4381500"/>
                <wp:effectExtent l="0" t="0" r="0" b="0"/>
                <wp:wrapSquare wrapText="right"/>
                <wp:docPr id="150" name="Frame75"/>
                <a:graphic xmlns:a="http://schemas.openxmlformats.org/drawingml/2006/main">
                  <a:graphicData uri="http://schemas.microsoft.com/office/word/2010/wordprocessingShape">
                    <wps:wsp>
                      <wps:cNvSpPr txBox="1"/>
                      <wps:spPr>
                        <a:xfrm>
                          <a:off x="0" y="0"/>
                          <a:ext cx="3055620" cy="4381500"/>
                        </a:xfrm>
                        <a:prstGeom prst="rect"/>
                        <a:solidFill>
                          <a:srgbClr val="FFFFFF"/>
                        </a:solidFill>
                      </wps:spPr>
                      <wps:txbx>
                        <w:txbxContent>
                          <w:p>
                            <w:pPr>
                              <w:pStyle w:val="TextBody"/>
                              <w:bidi w:val="0"/>
                              <w:spacing w:lineRule="atLeast" w:line="240" w:before="0" w:after="0"/>
                              <w:jc w:val="both"/>
                              <w:rPr/>
                            </w:pPr>
                            <w:r>
                              <w:rPr>
                                <w:spacing w:val="-2"/>
                              </w:rPr>
                              <w:t>In June 2026, following the consummation of the Company’s acquisition of Vantage Group Holdings, Ltd., the Board established a new standing committee of the Board, designated as the Insurance Committee, effective June 4, 2026. The Insurance Committee was formed to provide focused Board-level oversight of the Company’s insurance-related activities, including the business, operations, strategy, and integration of Vantage and any future insurance-related subsidiaries and businesses. The formation of the Insurance Committee was recommended by the Nominating and Corporate Governance Committee at its June 3, 2026 meeting. The Board appointed William A. Ackman, Ryan Israel, and Marc Grandisson as the initial members of the Insurance Committee, with Mr. Grandisson serving as Chair. The Board believes the Insurance Committee’s focused oversight of the Company’s insurance platform is an important element of the Company’s governance structure as it executes its strategy as a diversified holding company. A formal written charter for the Insurance Committee is currently under development and will be submitted to the Board for approval.</w:t>
                            </w:r>
                            <w:r>
                              <w:rPr/>
                              <w:t xml:space="preserve"> </w:t>
                            </w:r>
                          </w:p>
                        </w:txbxContent>
                      </wps:txbx>
                      <wps:bodyPr anchor="t" lIns="0" tIns="0" rIns="0" bIns="0">
                        <a:noAutofit/>
                      </wps:bodyPr>
                    </wps:wsp>
                  </a:graphicData>
                </a:graphic>
              </wp:anchor>
            </w:drawing>
          </mc:Choice>
          <mc:Fallback>
            <w:pict>
              <v:rect style="position:absolute;rotation:-0;width:240.6pt;height:34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jc w:val="both"/>
                        <w:rPr/>
                      </w:pPr>
                      <w:r>
                        <w:rPr>
                          <w:spacing w:val="-2"/>
                        </w:rPr>
                        <w:t>In June 2026, following the consummation of the Company’s acquisition of Vantage Group Holdings, Ltd., the Board established a new standing committee of the Board, designated as the Insurance Committee, effective June 4, 2026. The Insurance Committee was formed to provide focused Board-level oversight of the Company’s insurance-related activities, including the business, operations, strategy, and integration of Vantage and any future insurance-related subsidiaries and businesses. The formation of the Insurance Committee was recommended by the Nominating and Corporate Governance Committee at its June 3, 2026 meeting. The Board appointed William A. Ackman, Ryan Israel, and Marc Grandisson as the initial members of the Insurance Committee, with Mr. Grandisson serving as Chair. The Board believes the Insurance Committee’s focused oversight of the Company’s insurance platform is an important element of the Company’s governance structure as it executes its strategy as a diversified holding company. A formal written charter for the Insurance Committee is currently under development and will be submitted to the Board for approval.</w:t>
                      </w:r>
                      <w:r>
                        <w:rPr/>
                        <w:t xml:space="preserve"> </w:t>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16 \ 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AUD"/>
      <w:bookmarkEnd w:id="25"/>
      <w:r>
        <w:rPr>
          <w:rFonts w:ascii="calibri;arial;sans-serif" w:hAnsi="calibri;arial;sans-serif"/>
          <w:b w:val="false"/>
          <w:i w:val="false"/>
          <w:caps w:val="false"/>
          <w:smallCaps w:val="false"/>
          <w:color w:val="000000"/>
          <w:sz w:val="16"/>
        </w:rPr>
        <w:t>​</w:t>
      </w:r>
      <w:bookmarkStart w:id="26" w:name="tCOM"/>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The Board, Its Committees and Its Compensation</w:t>
      </w:r>
      <w:r>
        <w:rPr>
          <w:rFonts w:ascii="Arial;Helvetica;sans-serif" w:hAnsi="Arial;Helvetica;sans-serif"/>
          <w:b/>
          <w:i w:val="false"/>
          <w:caps w:val="false"/>
          <w:smallCaps w:val="false"/>
          <w:color w:val="7F7F7F"/>
          <w:sz w:val="22"/>
        </w:rPr>
        <w:t>​</w:t>
      </w:r>
    </w:p>
    <w:tbl>
      <w:tblPr>
        <w:tblW w:w="9304" w:type="dxa"/>
        <w:jc w:val="left"/>
        <w:tblInd w:w="901" w:type="dxa"/>
        <w:tblLayout w:type="fixed"/>
        <w:tblCellMar>
          <w:top w:w="0" w:type="dxa"/>
          <w:left w:w="0" w:type="dxa"/>
          <w:bottom w:w="0" w:type="dxa"/>
          <w:right w:w="0" w:type="dxa"/>
        </w:tblCellMar>
      </w:tblPr>
      <w:tblGrid>
        <w:gridCol w:w="124"/>
        <w:gridCol w:w="2417"/>
        <w:gridCol w:w="109"/>
        <w:gridCol w:w="109"/>
        <w:gridCol w:w="6390"/>
        <w:gridCol w:w="155"/>
      </w:tblGrid>
      <w:tr>
        <w:trPr/>
        <w:tc>
          <w:tcPr>
            <w:tcW w:w="124" w:type="dxa"/>
            <w:tcBorders/>
            <w:shd w:fill="BAD8EA" w:val="clear"/>
            <w:vAlign w:val="center"/>
          </w:tcPr>
          <w:p>
            <w:pPr>
              <w:pStyle w:val="TableContents"/>
              <w:bidi w:val="0"/>
              <w:spacing w:before="0" w:after="283"/>
              <w:jc w:val="left"/>
              <w:rPr/>
            </w:pPr>
            <w:r>
              <w:rPr/>
              <w:t>​</w:t>
            </w:r>
          </w:p>
        </w:tc>
        <w:tc>
          <w:tcPr>
            <w:tcW w:w="2417" w:type="dxa"/>
            <w:tcBorders/>
            <w:shd w:fill="BAD8EA" w:val="clear"/>
            <w:vAlign w:val="center"/>
          </w:tcPr>
          <w:p>
            <w:pPr>
              <w:pStyle w:val="TableContents"/>
              <w:bidi w:val="0"/>
              <w:spacing w:before="0" w:after="0"/>
              <w:jc w:val="left"/>
              <w:rPr>
                <w:spacing w:val="-4"/>
              </w:rPr>
            </w:pPr>
            <w:r>
              <w:rPr>
                <w:spacing w:val="-4"/>
              </w:rPr>
              <w:t xml:space="preserve">AUDIT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6390" w:type="dxa"/>
            <w:tcBorders/>
            <w:shd w:fill="BAD8EA" w:val="clear"/>
            <w:vAlign w:val="center"/>
          </w:tcPr>
          <w:p>
            <w:pPr>
              <w:pStyle w:val="TableContents"/>
              <w:bidi w:val="0"/>
              <w:spacing w:before="0" w:after="0"/>
              <w:jc w:val="right"/>
              <w:rPr>
                <w:sz w:val="20"/>
              </w:rPr>
            </w:pPr>
            <w:r>
              <w:rPr>
                <w:spacing w:val="0"/>
                <w:sz w:val="20"/>
              </w:rPr>
              <w:t>Meetings in 2025: 5</w:t>
            </w:r>
            <w:r>
              <w:rPr>
                <w:sz w:val="20"/>
              </w:rPr>
              <w:t xml:space="preserve"> </w:t>
            </w:r>
          </w:p>
        </w:tc>
        <w:tc>
          <w:tcPr>
            <w:tcW w:w="155" w:type="dxa"/>
            <w:tcBorders/>
            <w:shd w:fill="BAD8EA" w:val="clear"/>
            <w:vAlign w:val="center"/>
          </w:tcPr>
          <w:p>
            <w:pPr>
              <w:pStyle w:val="TableContents"/>
              <w:bidi w:val="0"/>
              <w:spacing w:before="0" w:after="283"/>
              <w:jc w:val="left"/>
              <w:rPr/>
            </w:pPr>
            <w:r>
              <w:rPr/>
              <w:t>​</w:t>
            </w:r>
          </w:p>
        </w:tc>
      </w:tr>
      <w:tr>
        <w:trPr/>
        <w:tc>
          <w:tcPr>
            <w:tcW w:w="124" w:type="dxa"/>
            <w:tcBorders/>
            <w:shd w:fill="7F7F7F" w:val="clear"/>
            <w:vAlign w:val="center"/>
          </w:tcPr>
          <w:p>
            <w:pPr>
              <w:pStyle w:val="TableContents"/>
              <w:bidi w:val="0"/>
              <w:spacing w:before="0" w:after="283"/>
              <w:jc w:val="left"/>
              <w:rPr/>
            </w:pPr>
            <w:r>
              <w:rPr/>
              <w:t>​</w:t>
            </w:r>
          </w:p>
        </w:tc>
        <w:tc>
          <w:tcPr>
            <w:tcW w:w="2417" w:type="dxa"/>
            <w:tcBorders/>
            <w:shd w:fill="7F7F7F" w:val="clear"/>
            <w:vAlign w:val="center"/>
          </w:tcPr>
          <w:p>
            <w:pPr>
              <w:pStyle w:val="TableContents"/>
              <w:bidi w:val="0"/>
              <w:spacing w:before="0" w:after="0"/>
              <w:jc w:val="center"/>
              <w:rPr>
                <w:color w:val="FFFFFF"/>
              </w:rPr>
            </w:pPr>
            <w:r>
              <w:rPr>
                <w:color w:val="FFFFFF"/>
                <w:spacing w:val="0"/>
              </w:rPr>
              <w:t>All Independent</w:t>
            </w:r>
            <w:r>
              <w:rPr>
                <w:color w:val="FFFFFF"/>
              </w:rPr>
              <w:t xml:space="preserve"> </w:t>
            </w:r>
          </w:p>
        </w:tc>
        <w:tc>
          <w:tcPr>
            <w:tcW w:w="109" w:type="dxa"/>
            <w:tcBorders/>
            <w:shd w:fill="7F7F7F"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6390" w:type="dxa"/>
            <w:tcBorders/>
            <w:shd w:fill="E5E5E5" w:val="clear"/>
            <w:vAlign w:val="center"/>
          </w:tcPr>
          <w:p>
            <w:pPr>
              <w:pStyle w:val="TableContents"/>
              <w:bidi w:val="0"/>
              <w:spacing w:before="0" w:after="283"/>
              <w:jc w:val="left"/>
              <w:rPr>
                <w:spacing w:val="0"/>
              </w:rPr>
            </w:pPr>
            <w:r>
              <w:rPr>
                <w:spacing w:val="0"/>
              </w:rPr>
              <w:t xml:space="preserve">Key Responsibilities </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417" w:type="dxa"/>
            <w:tcBorders/>
            <w:vAlign w:val="center"/>
          </w:tcPr>
          <w:p>
            <w:pPr>
              <w:pStyle w:val="TableContents"/>
              <w:bidi w:val="0"/>
              <w:spacing w:lineRule="atLeast" w:line="240" w:before="0" w:after="0"/>
              <w:ind w:left="280" w:right="0" w:hanging="0"/>
              <w:jc w:val="left"/>
              <w:rPr/>
            </w:pPr>
            <w:r>
              <w:rPr>
                <w:spacing w:val="-2"/>
              </w:rPr>
              <w:t>•</w:t>
            </w:r>
            <w:r>
              <w:rPr>
                <w:spacing w:val="-2"/>
              </w:rPr>
              <w:t>Susan Panuccio </w:t>
            </w:r>
            <w:r>
              <w:rPr/>
              <w:t xml:space="preserve"> </w:t>
            </w:r>
            <w:r>
              <w:rPr/>
              <w:drawing>
                <wp:inline distT="0" distB="0" distL="0" distR="0">
                  <wp:extent cx="142875" cy="139700"/>
                  <wp:effectExtent l="0" t="0" r="0" b="0"/>
                  <wp:docPr id="15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74" descr=""/>
                          <pic:cNvPicPr>
                            <a:picLocks noChangeAspect="1" noChangeArrowheads="1"/>
                          </pic:cNvPicPr>
                        </pic:nvPicPr>
                        <pic:blipFill>
                          <a:blip r:embed="rId77"/>
                          <a:stretch>
                            <a:fillRect/>
                          </a:stretch>
                        </pic:blipFill>
                        <pic:spPr bwMode="auto">
                          <a:xfrm>
                            <a:off x="0" y="0"/>
                            <a:ext cx="142875" cy="139700"/>
                          </a:xfrm>
                          <a:prstGeom prst="rect">
                            <a:avLst/>
                          </a:prstGeom>
                        </pic:spPr>
                      </pic:pic>
                    </a:graphicData>
                  </a:graphic>
                </wp:inline>
              </w:drawing>
            </w:r>
            <w:r>
              <w:rPr>
                <w:spacing w:val="-2"/>
              </w:rPr>
              <w:t> </w:t>
            </w:r>
            <w:r>
              <w:rPr/>
              <w:t xml:space="preserve"> </w:t>
            </w:r>
          </w:p>
          <w:p>
            <w:pPr>
              <w:pStyle w:val="TableContents"/>
              <w:bidi w:val="0"/>
              <w:spacing w:lineRule="atLeast" w:line="200" w:before="160" w:after="0"/>
              <w:ind w:left="360" w:right="0" w:hanging="0"/>
              <w:jc w:val="left"/>
              <w:rPr/>
            </w:pPr>
            <w:r>
              <w:rPr>
                <w:spacing w:val="-2"/>
              </w:rPr>
              <w:t>David Eun</w:t>
            </w:r>
            <w:r>
              <w:rPr/>
              <w:t xml:space="preserve"> </w:t>
            </w:r>
            <w:r>
              <mc:AlternateContent>
                <mc:Choice Requires="wps">
                  <w:drawing>
                    <wp:anchor behindDoc="0" distT="101600" distB="0" distL="0" distR="0" simplePos="0" locked="0" layoutInCell="1" allowOverlap="1" relativeHeight="208">
                      <wp:simplePos x="0" y="0"/>
                      <wp:positionH relativeFrom="column">
                        <wp:align>left</wp:align>
                      </wp:positionH>
                      <wp:positionV relativeFrom="line">
                        <wp:align>top</wp:align>
                      </wp:positionV>
                      <wp:extent cx="228600" cy="350520"/>
                      <wp:effectExtent l="0" t="0" r="0" b="0"/>
                      <wp:wrapSquare wrapText="right"/>
                      <wp:docPr id="152" name="Frame7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left"/>
              <w:rPr/>
            </w:pPr>
            <w:r>
              <w:rPr>
                <w:spacing w:val="-2"/>
              </w:rPr>
              <w:t>Jean-Baptiste Wautier</w:t>
            </w:r>
            <w:r>
              <w:rPr/>
              <w:t xml:space="preserve"> </w:t>
            </w:r>
            <w:r>
              <mc:AlternateContent>
                <mc:Choice Requires="wps">
                  <w:drawing>
                    <wp:anchor behindDoc="0" distT="101600" distB="0" distL="0" distR="0" simplePos="0" locked="0" layoutInCell="1" allowOverlap="1" relativeHeight="209">
                      <wp:simplePos x="0" y="0"/>
                      <wp:positionH relativeFrom="column">
                        <wp:align>left</wp:align>
                      </wp:positionH>
                      <wp:positionV relativeFrom="line">
                        <wp:align>top</wp:align>
                      </wp:positionV>
                      <wp:extent cx="228600" cy="350520"/>
                      <wp:effectExtent l="0" t="0" r="0" b="0"/>
                      <wp:wrapSquare wrapText="right"/>
                      <wp:docPr id="153" name="Frame7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vMerge w:val="restart"/>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6390" w:type="dxa"/>
            <w:vMerge w:val="restart"/>
            <w:tcBorders>
              <w:bottom w:val="single" w:sz="8" w:space="0" w:color="7F7F7F"/>
            </w:tcBorders>
            <w:shd w:fill="E5E5E5" w:val="clear"/>
            <w:tcMar>
              <w:bottom w:w="28" w:type="dxa"/>
            </w:tcMar>
            <w:vAlign w:val="center"/>
          </w:tcPr>
          <w:p>
            <w:pPr>
              <w:pStyle w:val="TableContents"/>
              <w:bidi w:val="0"/>
              <w:spacing w:lineRule="atLeast" w:line="240" w:before="0" w:after="0"/>
              <w:ind w:left="360" w:right="0" w:hanging="0"/>
              <w:jc w:val="both"/>
              <w:rPr/>
            </w:pPr>
            <w:r>
              <w:rPr>
                <w:spacing w:val="-2"/>
              </w:rPr>
              <w:t>Pre-approving auditing services, internal control-related services and permitted non-audit services to be performed for the Company by the independent registered public accounting firm</w:t>
            </w:r>
            <w:r>
              <w:rPr/>
              <w:t xml:space="preserve"> </w: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228600" cy="350520"/>
                      <wp:effectExtent l="0" t="0" r="0" b="0"/>
                      <wp:wrapSquare wrapText="right"/>
                      <wp:docPr id="154" name="Frame7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both"/>
              <w:rPr/>
            </w:pPr>
            <w:r>
              <w:rPr>
                <w:spacing w:val="-2"/>
              </w:rPr>
              <w:t>Reviewing and discussing with management and the independent registered public accounting firm financial statement and disclosure matters</w:t>
            </w:r>
            <w:r>
              <w:rPr/>
              <w:t xml:space="preserve"> </w:t>
            </w:r>
            <w:r>
              <mc:AlternateContent>
                <mc:Choice Requires="wps">
                  <w:drawing>
                    <wp:anchor behindDoc="0" distT="101600" distB="0" distL="0" distR="0" simplePos="0" locked="0" layoutInCell="1" allowOverlap="1" relativeHeight="211">
                      <wp:simplePos x="0" y="0"/>
                      <wp:positionH relativeFrom="column">
                        <wp:align>left</wp:align>
                      </wp:positionH>
                      <wp:positionV relativeFrom="line">
                        <wp:align>top</wp:align>
                      </wp:positionV>
                      <wp:extent cx="228600" cy="350520"/>
                      <wp:effectExtent l="0" t="0" r="0" b="0"/>
                      <wp:wrapSquare wrapText="right"/>
                      <wp:docPr id="155" name="Frame7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both"/>
              <w:rPr/>
            </w:pPr>
            <w:r>
              <w:rPr>
                <w:spacing w:val="-2"/>
              </w:rPr>
              <w:t>Reviewing the findings and recommendations of the Company’s independent registered public accounting firm and management’s response to the recommendations of that firm</w:t>
            </w:r>
            <w:r>
              <w:rPr/>
              <w:t xml:space="preserve"> </w:t>
            </w:r>
            <w:r>
              <mc:AlternateContent>
                <mc:Choice Requires="wps">
                  <w:drawing>
                    <wp:anchor behindDoc="0" distT="101600" distB="0" distL="0" distR="0" simplePos="0" locked="0" layoutInCell="1" allowOverlap="1" relativeHeight="212">
                      <wp:simplePos x="0" y="0"/>
                      <wp:positionH relativeFrom="column">
                        <wp:align>left</wp:align>
                      </wp:positionH>
                      <wp:positionV relativeFrom="line">
                        <wp:align>top</wp:align>
                      </wp:positionV>
                      <wp:extent cx="228600" cy="350520"/>
                      <wp:effectExtent l="0" t="0" r="0" b="0"/>
                      <wp:wrapSquare wrapText="right"/>
                      <wp:docPr id="156" name="Frame8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both"/>
              <w:rPr/>
            </w:pPr>
            <w:r>
              <w:rPr>
                <w:spacing w:val="-2"/>
              </w:rPr>
              <w:t>Reviewing and discussing with management and the independent registered public accounting firm the Company’s significant financial and accounting risk exposure</w:t>
            </w:r>
            <w:r>
              <w:rPr/>
              <w:t xml:space="preserve"> </w:t>
            </w:r>
            <w:r>
              <mc:AlternateContent>
                <mc:Choice Requires="wps">
                  <w:drawing>
                    <wp:anchor behindDoc="0" distT="101600" distB="0" distL="0" distR="0" simplePos="0" locked="0" layoutInCell="1" allowOverlap="1" relativeHeight="213">
                      <wp:simplePos x="0" y="0"/>
                      <wp:positionH relativeFrom="column">
                        <wp:align>left</wp:align>
                      </wp:positionH>
                      <wp:positionV relativeFrom="line">
                        <wp:align>top</wp:align>
                      </wp:positionV>
                      <wp:extent cx="228600" cy="350520"/>
                      <wp:effectExtent l="0" t="0" r="0" b="0"/>
                      <wp:wrapSquare wrapText="right"/>
                      <wp:docPr id="157" name="Frame8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left"/>
              <w:rPr/>
            </w:pPr>
            <w:r>
              <w:rPr>
                <w:spacing w:val="-2"/>
              </w:rPr>
              <w:t>Overseeing the internal audit function</w:t>
            </w:r>
            <w:r>
              <w:rPr/>
              <w:t xml:space="preserve"> </w:t>
            </w:r>
            <w:r>
              <mc:AlternateContent>
                <mc:Choice Requires="wps">
                  <w:drawing>
                    <wp:anchor behindDoc="0" distT="101600" distB="0" distL="0" distR="0" simplePos="0" locked="0" layoutInCell="1" allowOverlap="1" relativeHeight="214">
                      <wp:simplePos x="0" y="0"/>
                      <wp:positionH relativeFrom="column">
                        <wp:align>left</wp:align>
                      </wp:positionH>
                      <wp:positionV relativeFrom="line">
                        <wp:align>top</wp:align>
                      </wp:positionV>
                      <wp:extent cx="228600" cy="350520"/>
                      <wp:effectExtent l="0" t="0" r="0" b="0"/>
                      <wp:wrapSquare wrapText="right"/>
                      <wp:docPr id="158" name="Frame8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both"/>
              <w:rPr/>
            </w:pPr>
            <w:r>
              <w:rPr>
                <w:spacing w:val="-2"/>
              </w:rPr>
              <w:t>Overseeing compliance with applicable legal and regulatory requirements as it relates to financial reporting</w:t>
            </w:r>
            <w:r>
              <w:rPr/>
              <w:t xml:space="preserve"> </w:t>
            </w:r>
            <w:r>
              <mc:AlternateContent>
                <mc:Choice Requires="wps">
                  <w:drawing>
                    <wp:anchor behindDoc="0" distT="101600" distB="0" distL="0" distR="0" simplePos="0" locked="0" layoutInCell="1" allowOverlap="1" relativeHeight="215">
                      <wp:simplePos x="0" y="0"/>
                      <wp:positionH relativeFrom="column">
                        <wp:align>left</wp:align>
                      </wp:positionH>
                      <wp:positionV relativeFrom="line">
                        <wp:align>top</wp:align>
                      </wp:positionV>
                      <wp:extent cx="228600" cy="350520"/>
                      <wp:effectExtent l="0" t="0" r="0" b="0"/>
                      <wp:wrapSquare wrapText="right"/>
                      <wp:docPr id="159" name="Frame8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both"/>
              <w:rPr/>
            </w:pPr>
            <w:r>
              <w:rPr>
                <w:spacing w:val="-2"/>
              </w:rPr>
              <w:t>Establishing “whistleblower” procedures for the receipt, retention and treatment of complaints received by the Company regarding accounting, internal accounting controls or auditing matters</w:t>
            </w:r>
            <w:r>
              <w:rPr/>
              <w:t xml:space="preserve"> </w:t>
            </w:r>
            <w:r>
              <mc:AlternateContent>
                <mc:Choice Requires="wps">
                  <w:drawing>
                    <wp:anchor behindDoc="0" distT="101600" distB="0" distL="0" distR="0" simplePos="0" locked="0" layoutInCell="1" allowOverlap="1" relativeHeight="216">
                      <wp:simplePos x="0" y="0"/>
                      <wp:positionH relativeFrom="column">
                        <wp:align>left</wp:align>
                      </wp:positionH>
                      <wp:positionV relativeFrom="line">
                        <wp:align>top</wp:align>
                      </wp:positionV>
                      <wp:extent cx="228600" cy="350520"/>
                      <wp:effectExtent l="0" t="0" r="0" b="0"/>
                      <wp:wrapSquare wrapText="right"/>
                      <wp:docPr id="160" name="Frame8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left"/>
              <w:rPr/>
            </w:pPr>
            <w:r>
              <w:rPr>
                <w:spacing w:val="-2"/>
              </w:rPr>
              <w:t>Overseeing cybersecurity, data privacy, and information technology risks</w:t>
            </w:r>
            <w:r>
              <w:rPr/>
              <w:t xml:space="preserve"> </w:t>
            </w:r>
            <w:r>
              <mc:AlternateContent>
                <mc:Choice Requires="wps">
                  <w:drawing>
                    <wp:anchor behindDoc="0" distT="101600" distB="0" distL="0" distR="0" simplePos="0" locked="0" layoutInCell="1" allowOverlap="1" relativeHeight="217">
                      <wp:simplePos x="0" y="0"/>
                      <wp:positionH relativeFrom="column">
                        <wp:align>left</wp:align>
                      </wp:positionH>
                      <wp:positionV relativeFrom="line">
                        <wp:align>top</wp:align>
                      </wp:positionV>
                      <wp:extent cx="228600" cy="350520"/>
                      <wp:effectExtent l="0" t="0" r="0" b="0"/>
                      <wp:wrapSquare wrapText="right"/>
                      <wp:docPr id="161" name="Frame8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both"/>
              <w:rPr>
                <w:spacing w:val="-2"/>
              </w:rPr>
            </w:pPr>
            <w:r>
              <w:rPr>
                <w:spacing w:val="-2"/>
              </w:rPr>
              <w:t xml:space="preserve">Providing regular reports to the Board regarding the above responsibilities </w:t>
            </w:r>
            <w:r>
              <mc:AlternateContent>
                <mc:Choice Requires="wps">
                  <w:drawing>
                    <wp:anchor behindDoc="0" distT="101600" distB="0" distL="0" distR="0" simplePos="0" locked="0" layoutInCell="1" allowOverlap="1" relativeHeight="218">
                      <wp:simplePos x="0" y="0"/>
                      <wp:positionH relativeFrom="column">
                        <wp:align>left</wp:align>
                      </wp:positionH>
                      <wp:positionV relativeFrom="line">
                        <wp:align>top</wp:align>
                      </wp:positionV>
                      <wp:extent cx="228600" cy="350520"/>
                      <wp:effectExtent l="0" t="0" r="0" b="0"/>
                      <wp:wrapSquare wrapText="right"/>
                      <wp:docPr id="162" name="Frame8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vMerge w:val="restart"/>
            <w:tcBorders>
              <w:bottom w:val="single" w:sz="8" w:space="0" w:color="7F7F7F"/>
            </w:tcBorders>
            <w:shd w:fill="E5E5E5"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417"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6390"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55" w:type="dxa"/>
            <w:vMerge w:val="continue"/>
            <w:tcBorders>
              <w:bottom w:val="single" w:sz="8" w:space="0" w:color="7F7F7F"/>
            </w:tcBorders>
            <w:shd w:fill="E5E5E5" w:val="clear"/>
            <w:tcMar>
              <w:bottom w:w="28" w:type="dxa"/>
            </w:tcMar>
            <w:vAlign w:val="center"/>
          </w:tcPr>
          <w:p>
            <w:pPr>
              <w:pStyle w:val="Normal"/>
              <w:bidi w:val="0"/>
              <w:jc w:val="left"/>
              <w:rPr/>
            </w:pPr>
            <w:r>
              <w:rPr/>
            </w:r>
          </w:p>
        </w:tc>
      </w:tr>
      <w:tr>
        <w:trPr/>
        <w:tc>
          <w:tcPr>
            <w:tcW w:w="124" w:type="dxa"/>
            <w:tcBorders/>
            <w:shd w:fill="BAD8EA" w:val="clear"/>
            <w:vAlign w:val="center"/>
          </w:tcPr>
          <w:p>
            <w:pPr>
              <w:pStyle w:val="TableContents"/>
              <w:bidi w:val="0"/>
              <w:spacing w:before="0" w:after="283"/>
              <w:jc w:val="left"/>
              <w:rPr/>
            </w:pPr>
            <w:r>
              <w:rPr/>
              <w:t>​</w:t>
            </w:r>
          </w:p>
        </w:tc>
        <w:tc>
          <w:tcPr>
            <w:tcW w:w="2417" w:type="dxa"/>
            <w:tcBorders/>
            <w:shd w:fill="BAD8EA" w:val="clear"/>
            <w:vAlign w:val="center"/>
          </w:tcPr>
          <w:p>
            <w:pPr>
              <w:pStyle w:val="TableContents"/>
              <w:bidi w:val="0"/>
              <w:spacing w:before="0" w:after="0"/>
              <w:jc w:val="center"/>
              <w:rPr/>
            </w:pPr>
            <w:r>
              <w:rPr>
                <w:spacing w:val="0"/>
              </w:rPr>
              <w:t xml:space="preserve">Key Skills and Experiences </w:t>
              <w:br/>
              <w:t>Represented</w:t>
            </w:r>
            <w:r>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6390"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55" w:type="dxa"/>
            <w:vMerge w:val="continue"/>
            <w:tcBorders>
              <w:bottom w:val="single" w:sz="8" w:space="0" w:color="7F7F7F"/>
            </w:tcBorders>
            <w:shd w:fill="E5E5E5" w:val="clear"/>
            <w:tcMar>
              <w:bottom w:w="28" w:type="dxa"/>
            </w:tcMar>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2417" w:type="dxa"/>
            <w:tcBorders/>
            <w:vAlign w:val="center"/>
          </w:tcPr>
          <w:p>
            <w:pPr>
              <w:pStyle w:val="TableContents"/>
              <w:bidi w:val="0"/>
              <w:spacing w:lineRule="atLeast" w:line="200" w:before="0" w:after="0"/>
              <w:ind w:left="360" w:right="0" w:hanging="0"/>
              <w:jc w:val="left"/>
              <w:rPr/>
            </w:pPr>
            <w:r>
              <w:rPr>
                <w:spacing w:val="-2"/>
              </w:rPr>
              <w:t>Audit, tax, accounting</w:t>
            </w:r>
            <w:r>
              <w:rPr/>
              <w:t xml:space="preserve"> </w:t>
            </w:r>
            <w:r>
              <mc:AlternateContent>
                <mc:Choice Requires="wps">
                  <w:drawing>
                    <wp:anchor behindDoc="0" distT="0" distB="0" distL="0" distR="0" simplePos="0" locked="0" layoutInCell="1" allowOverlap="1" relativeHeight="219">
                      <wp:simplePos x="0" y="0"/>
                      <wp:positionH relativeFrom="column">
                        <wp:align>left</wp:align>
                      </wp:positionH>
                      <wp:positionV relativeFrom="line">
                        <wp:posOffset>635</wp:posOffset>
                      </wp:positionV>
                      <wp:extent cx="228600" cy="350520"/>
                      <wp:effectExtent l="0" t="0" r="0" b="0"/>
                      <wp:wrapSquare wrapText="right"/>
                      <wp:docPr id="163" name="Frame8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left"/>
              <w:rPr/>
            </w:pPr>
            <w:r>
              <w:rPr>
                <w:spacing w:val="-2"/>
              </w:rPr>
              <w:t>Financial Expertise</w:t>
            </w:r>
            <w:r>
              <w:rPr/>
              <w:t xml:space="preserve"> </w:t>
            </w:r>
            <w:r>
              <mc:AlternateContent>
                <mc:Choice Requires="wps">
                  <w:drawing>
                    <wp:anchor behindDoc="0" distT="101600" distB="0" distL="0" distR="0" simplePos="0" locked="0" layoutInCell="1" allowOverlap="1" relativeHeight="220">
                      <wp:simplePos x="0" y="0"/>
                      <wp:positionH relativeFrom="column">
                        <wp:align>left</wp:align>
                      </wp:positionH>
                      <wp:positionV relativeFrom="line">
                        <wp:align>top</wp:align>
                      </wp:positionV>
                      <wp:extent cx="228600" cy="350520"/>
                      <wp:effectExtent l="0" t="0" r="0" b="0"/>
                      <wp:wrapSquare wrapText="right"/>
                      <wp:docPr id="164" name="Frame8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left"/>
              <w:rPr>
                <w:spacing w:val="-2"/>
              </w:rPr>
            </w:pPr>
            <w:r>
              <w:rPr>
                <w:spacing w:val="-2"/>
              </w:rPr>
              <w:t xml:space="preserve">Preparation or oversight of financial statements </w:t>
            </w:r>
            <w:r>
              <mc:AlternateContent>
                <mc:Choice Requires="wps">
                  <w:drawing>
                    <wp:anchor behindDoc="0" distT="101600" distB="0" distL="0" distR="0" simplePos="0" locked="0" layoutInCell="1" allowOverlap="1" relativeHeight="221">
                      <wp:simplePos x="0" y="0"/>
                      <wp:positionH relativeFrom="column">
                        <wp:align>left</wp:align>
                      </wp:positionH>
                      <wp:positionV relativeFrom="line">
                        <wp:align>top</wp:align>
                      </wp:positionV>
                      <wp:extent cx="228600" cy="350520"/>
                      <wp:effectExtent l="0" t="0" r="0" b="0"/>
                      <wp:wrapSquare wrapText="right"/>
                      <wp:docPr id="165" name="Frame8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left"/>
              <w:rPr/>
            </w:pPr>
            <w:r>
              <w:rPr>
                <w:spacing w:val="-2"/>
              </w:rPr>
              <w:t>Compliance</w:t>
            </w:r>
            <w:r>
              <w:rPr/>
              <w:t xml:space="preserve"> </w:t>
            </w:r>
            <w:r>
              <mc:AlternateContent>
                <mc:Choice Requires="wps">
                  <w:drawing>
                    <wp:anchor behindDoc="0" distT="101600" distB="0" distL="0" distR="0" simplePos="0" locked="0" layoutInCell="1" allowOverlap="1" relativeHeight="222">
                      <wp:simplePos x="0" y="0"/>
                      <wp:positionH relativeFrom="column">
                        <wp:align>left</wp:align>
                      </wp:positionH>
                      <wp:positionV relativeFrom="line">
                        <wp:align>top</wp:align>
                      </wp:positionV>
                      <wp:extent cx="228600" cy="350520"/>
                      <wp:effectExtent l="0" t="0" r="0" b="0"/>
                      <wp:wrapSquare wrapText="right"/>
                      <wp:docPr id="166" name="Frame9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left"/>
              <w:rPr/>
            </w:pPr>
            <w:r>
              <w:rPr>
                <w:spacing w:val="-2"/>
              </w:rPr>
              <w:t>Risk management</w:t>
            </w:r>
            <w:r>
              <w:rPr/>
              <w:t xml:space="preserve"> </w:t>
            </w:r>
            <w:r>
              <mc:AlternateContent>
                <mc:Choice Requires="wps">
                  <w:drawing>
                    <wp:anchor behindDoc="0" distT="101600" distB="0" distL="0" distR="0" simplePos="0" locked="0" layoutInCell="1" allowOverlap="1" relativeHeight="223">
                      <wp:simplePos x="0" y="0"/>
                      <wp:positionH relativeFrom="column">
                        <wp:align>left</wp:align>
                      </wp:positionH>
                      <wp:positionV relativeFrom="line">
                        <wp:align>top</wp:align>
                      </wp:positionV>
                      <wp:extent cx="228600" cy="350520"/>
                      <wp:effectExtent l="0" t="0" r="0" b="0"/>
                      <wp:wrapSquare wrapText="right"/>
                      <wp:docPr id="167" name="Frame9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left"/>
              <w:rPr/>
            </w:pPr>
            <w:r>
              <w:rPr>
                <w:spacing w:val="-2"/>
              </w:rPr>
              <w:t>Technology and operations</w:t>
            </w:r>
            <w:r>
              <w:rPr/>
              <w:t xml:space="preserve"> </w:t>
            </w:r>
            <w:r>
              <mc:AlternateContent>
                <mc:Choice Requires="wps">
                  <w:drawing>
                    <wp:anchor behindDoc="0" distT="101600" distB="0" distL="0" distR="0" simplePos="0" locked="0" layoutInCell="1" allowOverlap="1" relativeHeight="224">
                      <wp:simplePos x="0" y="0"/>
                      <wp:positionH relativeFrom="column">
                        <wp:align>left</wp:align>
                      </wp:positionH>
                      <wp:positionV relativeFrom="line">
                        <wp:align>top</wp:align>
                      </wp:positionV>
                      <wp:extent cx="228600" cy="350520"/>
                      <wp:effectExtent l="0" t="0" r="0" b="0"/>
                      <wp:wrapSquare wrapText="right"/>
                      <wp:docPr id="168" name="Frame9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left"/>
              <w:rPr/>
            </w:pPr>
            <w:r>
              <w:rPr>
                <w:spacing w:val="-2"/>
              </w:rPr>
              <w:t>Cybersecurity</w:t>
            </w:r>
            <w:r>
              <w:rPr/>
              <w:t xml:space="preserve"> </w:t>
            </w:r>
            <w:r>
              <mc:AlternateContent>
                <mc:Choice Requires="wps">
                  <w:drawing>
                    <wp:anchor behindDoc="0" distT="101600" distB="0" distL="0" distR="0" simplePos="0" locked="0" layoutInCell="1" allowOverlap="1" relativeHeight="225">
                      <wp:simplePos x="0" y="0"/>
                      <wp:positionH relativeFrom="column">
                        <wp:align>left</wp:align>
                      </wp:positionH>
                      <wp:positionV relativeFrom="line">
                        <wp:align>top</wp:align>
                      </wp:positionV>
                      <wp:extent cx="228600" cy="350520"/>
                      <wp:effectExtent l="0" t="0" r="0" b="0"/>
                      <wp:wrapSquare wrapText="right"/>
                      <wp:docPr id="169" name="Frame9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left"/>
              <w:rPr/>
            </w:pPr>
            <w:r>
              <w:rPr>
                <w:spacing w:val="-2"/>
              </w:rPr>
              <w:t>Current and prior public company board service</w:t>
            </w:r>
            <w:r>
              <w:rPr/>
              <w:t xml:space="preserve"> </w:t>
            </w:r>
            <w:r>
              <mc:AlternateContent>
                <mc:Choice Requires="wps">
                  <w:drawing>
                    <wp:anchor behindDoc="0" distT="101600" distB="0" distL="0" distR="0" simplePos="0" locked="0" layoutInCell="1" allowOverlap="1" relativeHeight="226">
                      <wp:simplePos x="0" y="0"/>
                      <wp:positionH relativeFrom="column">
                        <wp:align>left</wp:align>
                      </wp:positionH>
                      <wp:positionV relativeFrom="line">
                        <wp:align>top</wp:align>
                      </wp:positionV>
                      <wp:extent cx="228600" cy="350520"/>
                      <wp:effectExtent l="0" t="0" r="0" b="0"/>
                      <wp:wrapSquare wrapText="right"/>
                      <wp:docPr id="170" name="Frame9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6390"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55" w:type="dxa"/>
            <w:vMerge w:val="continue"/>
            <w:tcBorders>
              <w:bottom w:val="single" w:sz="8" w:space="0" w:color="7F7F7F"/>
            </w:tcBorders>
            <w:shd w:fill="E5E5E5" w:val="clear"/>
            <w:tcMar>
              <w:bottom w:w="28" w:type="dxa"/>
            </w:tcMar>
            <w:vAlign w:val="center"/>
          </w:tcPr>
          <w:p>
            <w:pPr>
              <w:pStyle w:val="Normal"/>
              <w:bidi w:val="0"/>
              <w:jc w:val="left"/>
              <w:rPr/>
            </w:pPr>
            <w:r>
              <w:rPr/>
            </w:r>
          </w:p>
        </w:tc>
      </w:tr>
    </w:tbl>
    <w:tbl>
      <w:tblPr>
        <w:tblW w:w="9304" w:type="dxa"/>
        <w:jc w:val="left"/>
        <w:tblInd w:w="901" w:type="dxa"/>
        <w:tblLayout w:type="fixed"/>
        <w:tblCellMar>
          <w:top w:w="0" w:type="dxa"/>
          <w:left w:w="0" w:type="dxa"/>
          <w:bottom w:w="0" w:type="dxa"/>
          <w:right w:w="0" w:type="dxa"/>
        </w:tblCellMar>
      </w:tblPr>
      <w:tblGrid>
        <w:gridCol w:w="124"/>
        <w:gridCol w:w="3467"/>
        <w:gridCol w:w="109"/>
        <w:gridCol w:w="109"/>
        <w:gridCol w:w="5340"/>
        <w:gridCol w:w="155"/>
      </w:tblGrid>
      <w:tr>
        <w:trPr/>
        <w:tc>
          <w:tcPr>
            <w:tcW w:w="124" w:type="dxa"/>
            <w:tcBorders/>
            <w:shd w:fill="BAD8EA" w:val="clear"/>
            <w:vAlign w:val="center"/>
          </w:tcPr>
          <w:p>
            <w:pPr>
              <w:pStyle w:val="TableContents"/>
              <w:bidi w:val="0"/>
              <w:spacing w:before="0" w:after="283"/>
              <w:jc w:val="left"/>
              <w:rPr/>
            </w:pPr>
            <w:r>
              <w:rPr/>
              <w:t>​</w:t>
            </w:r>
          </w:p>
        </w:tc>
        <w:tc>
          <w:tcPr>
            <w:tcW w:w="3467" w:type="dxa"/>
            <w:tcBorders/>
            <w:shd w:fill="BAD8EA" w:val="clear"/>
            <w:vAlign w:val="center"/>
          </w:tcPr>
          <w:p>
            <w:pPr>
              <w:pStyle w:val="TableContents"/>
              <w:bidi w:val="0"/>
              <w:spacing w:before="0" w:after="0"/>
              <w:jc w:val="left"/>
              <w:rPr/>
            </w:pPr>
            <w:r>
              <w:rPr>
                <w:spacing w:val="-4"/>
              </w:rPr>
              <w:t>COMPENSATION</w:t>
            </w:r>
            <w:r>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5340" w:type="dxa"/>
            <w:tcBorders/>
            <w:shd w:fill="BAD8EA" w:val="clear"/>
            <w:vAlign w:val="center"/>
          </w:tcPr>
          <w:p>
            <w:pPr>
              <w:pStyle w:val="TableContents"/>
              <w:bidi w:val="0"/>
              <w:spacing w:before="0" w:after="0"/>
              <w:jc w:val="right"/>
              <w:rPr>
                <w:sz w:val="20"/>
              </w:rPr>
            </w:pPr>
            <w:r>
              <w:rPr>
                <w:spacing w:val="0"/>
                <w:sz w:val="20"/>
              </w:rPr>
              <w:t>Meetings in 2025: 5</w:t>
            </w:r>
            <w:r>
              <w:rPr>
                <w:sz w:val="20"/>
              </w:rPr>
              <w:t xml:space="preserve"> </w:t>
            </w:r>
          </w:p>
        </w:tc>
        <w:tc>
          <w:tcPr>
            <w:tcW w:w="155" w:type="dxa"/>
            <w:tcBorders/>
            <w:shd w:fill="BAD8EA" w:val="clear"/>
            <w:vAlign w:val="center"/>
          </w:tcPr>
          <w:p>
            <w:pPr>
              <w:pStyle w:val="TableContents"/>
              <w:bidi w:val="0"/>
              <w:spacing w:before="0" w:after="283"/>
              <w:jc w:val="left"/>
              <w:rPr/>
            </w:pPr>
            <w:r>
              <w:rPr/>
              <w:t>​</w:t>
            </w:r>
          </w:p>
        </w:tc>
      </w:tr>
      <w:tr>
        <w:trPr/>
        <w:tc>
          <w:tcPr>
            <w:tcW w:w="124" w:type="dxa"/>
            <w:tcBorders/>
            <w:shd w:fill="7F7F7F" w:val="clear"/>
            <w:vAlign w:val="center"/>
          </w:tcPr>
          <w:p>
            <w:pPr>
              <w:pStyle w:val="TableContents"/>
              <w:bidi w:val="0"/>
              <w:spacing w:before="0" w:after="283"/>
              <w:jc w:val="left"/>
              <w:rPr/>
            </w:pPr>
            <w:r>
              <w:rPr/>
              <w:t>​</w:t>
            </w:r>
          </w:p>
        </w:tc>
        <w:tc>
          <w:tcPr>
            <w:tcW w:w="3467" w:type="dxa"/>
            <w:tcBorders/>
            <w:shd w:fill="7F7F7F" w:val="clear"/>
            <w:vAlign w:val="center"/>
          </w:tcPr>
          <w:p>
            <w:pPr>
              <w:pStyle w:val="TableContents"/>
              <w:bidi w:val="0"/>
              <w:spacing w:before="0" w:after="283"/>
              <w:jc w:val="left"/>
              <w:rPr/>
            </w:pPr>
            <w:r>
              <w:rPr/>
              <w:t>​</w:t>
            </w:r>
          </w:p>
        </w:tc>
        <w:tc>
          <w:tcPr>
            <w:tcW w:w="109" w:type="dxa"/>
            <w:tcBorders/>
            <w:shd w:fill="7F7F7F"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5340" w:type="dxa"/>
            <w:tcBorders/>
            <w:shd w:fill="E5E5E5" w:val="clear"/>
            <w:vAlign w:val="center"/>
          </w:tcPr>
          <w:p>
            <w:pPr>
              <w:pStyle w:val="TableContents"/>
              <w:bidi w:val="0"/>
              <w:spacing w:before="0" w:after="283"/>
              <w:jc w:val="left"/>
              <w:rPr>
                <w:spacing w:val="0"/>
              </w:rPr>
            </w:pPr>
            <w:r>
              <w:rPr>
                <w:spacing w:val="0"/>
              </w:rPr>
              <w:t xml:space="preserve">Key Responsibilities </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7" w:type="dxa"/>
            <w:tcBorders/>
            <w:vAlign w:val="center"/>
          </w:tcPr>
          <w:p>
            <w:pPr>
              <w:pStyle w:val="TableContents"/>
              <w:bidi w:val="0"/>
              <w:spacing w:lineRule="atLeast" w:line="240" w:before="0" w:after="0"/>
              <w:ind w:left="280" w:right="0" w:hanging="0"/>
              <w:jc w:val="left"/>
              <w:rPr/>
            </w:pPr>
            <w:r>
              <w:rPr>
                <w:spacing w:val="-2"/>
              </w:rPr>
              <w:t>•</w:t>
            </w:r>
            <w:r>
              <w:rPr>
                <w:spacing w:val="-2"/>
              </w:rPr>
              <w:t>R. Scot Sellers </w:t>
            </w:r>
            <w:r>
              <w:rPr/>
              <w:t xml:space="preserve"> </w:t>
            </w:r>
            <w:r>
              <w:rPr/>
              <w:drawing>
                <wp:inline distT="0" distB="0" distL="0" distR="0">
                  <wp:extent cx="142875" cy="139700"/>
                  <wp:effectExtent l="0" t="0" r="0" b="0"/>
                  <wp:docPr id="17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75" descr=""/>
                          <pic:cNvPicPr>
                            <a:picLocks noChangeAspect="1" noChangeArrowheads="1"/>
                          </pic:cNvPicPr>
                        </pic:nvPicPr>
                        <pic:blipFill>
                          <a:blip r:embed="rId78"/>
                          <a:stretch>
                            <a:fillRect/>
                          </a:stretch>
                        </pic:blipFill>
                        <pic:spPr bwMode="auto">
                          <a:xfrm>
                            <a:off x="0" y="0"/>
                            <a:ext cx="142875" cy="139700"/>
                          </a:xfrm>
                          <a:prstGeom prst="rect">
                            <a:avLst/>
                          </a:prstGeom>
                        </pic:spPr>
                      </pic:pic>
                    </a:graphicData>
                  </a:graphic>
                </wp:inline>
              </w:drawing>
            </w:r>
            <w:r>
              <w:rPr/>
              <w:t xml:space="preserve"> </w:t>
            </w:r>
          </w:p>
          <w:p>
            <w:pPr>
              <w:pStyle w:val="TableContents"/>
              <w:bidi w:val="0"/>
              <w:spacing w:lineRule="atLeast" w:line="200" w:before="160" w:after="0"/>
              <w:ind w:left="360" w:right="0" w:hanging="0"/>
              <w:jc w:val="left"/>
              <w:rPr/>
            </w:pPr>
            <w:r>
              <w:rPr>
                <w:spacing w:val="-2"/>
              </w:rPr>
              <w:t>Mary Ann Tighe</w:t>
            </w:r>
            <w:r>
              <w:rPr/>
              <w:t xml:space="preserve"> </w:t>
            </w:r>
            <w:r>
              <mc:AlternateContent>
                <mc:Choice Requires="wps">
                  <w:drawing>
                    <wp:anchor behindDoc="0" distT="101600" distB="0" distL="0" distR="0" simplePos="0" locked="0" layoutInCell="1" allowOverlap="1" relativeHeight="227">
                      <wp:simplePos x="0" y="0"/>
                      <wp:positionH relativeFrom="column">
                        <wp:align>left</wp:align>
                      </wp:positionH>
                      <wp:positionV relativeFrom="line">
                        <wp:align>top</wp:align>
                      </wp:positionV>
                      <wp:extent cx="228600" cy="350520"/>
                      <wp:effectExtent l="0" t="0" r="0" b="0"/>
                      <wp:wrapSquare wrapText="right"/>
                      <wp:docPr id="172" name="Frame9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left"/>
              <w:rPr/>
            </w:pPr>
            <w:r>
              <w:rPr>
                <w:spacing w:val="-2"/>
              </w:rPr>
              <w:t>Anthony Williams</w:t>
            </w:r>
            <w:r>
              <w:rPr/>
              <w:t xml:space="preserve"> </w:t>
            </w:r>
            <w:r>
              <mc:AlternateContent>
                <mc:Choice Requires="wps">
                  <w:drawing>
                    <wp:anchor behindDoc="0" distT="101600" distB="0" distL="0" distR="0" simplePos="0" locked="0" layoutInCell="1" allowOverlap="1" relativeHeight="228">
                      <wp:simplePos x="0" y="0"/>
                      <wp:positionH relativeFrom="column">
                        <wp:align>left</wp:align>
                      </wp:positionH>
                      <wp:positionV relativeFrom="line">
                        <wp:align>top</wp:align>
                      </wp:positionV>
                      <wp:extent cx="228600" cy="350520"/>
                      <wp:effectExtent l="0" t="0" r="0" b="0"/>
                      <wp:wrapSquare wrapText="right"/>
                      <wp:docPr id="173" name="Frame9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vMerge w:val="restart"/>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5340" w:type="dxa"/>
            <w:vMerge w:val="restart"/>
            <w:tcBorders>
              <w:bottom w:val="single" w:sz="8" w:space="0" w:color="7F7F7F"/>
            </w:tcBorders>
            <w:shd w:fill="E5E5E5" w:val="clear"/>
            <w:tcMar>
              <w:bottom w:w="28" w:type="dxa"/>
            </w:tcMar>
            <w:vAlign w:val="center"/>
          </w:tcPr>
          <w:p>
            <w:pPr>
              <w:pStyle w:val="TableContents"/>
              <w:bidi w:val="0"/>
              <w:spacing w:lineRule="atLeast" w:line="240" w:before="0" w:after="0"/>
              <w:ind w:left="360" w:right="0" w:hanging="0"/>
              <w:jc w:val="both"/>
              <w:rPr/>
            </w:pPr>
            <w:r>
              <w:rPr>
                <w:spacing w:val="-2"/>
              </w:rPr>
              <w:t>Evaluating the performance of and determining the compensation for the Company’s senior executive officers</w:t>
            </w:r>
            <w:r>
              <w:rPr/>
              <w:t xml:space="preserve"> </w:t>
            </w:r>
            <w:r>
              <mc:AlternateContent>
                <mc:Choice Requires="wps">
                  <w:drawing>
                    <wp:anchor behindDoc="0" distT="0" distB="0" distL="0" distR="0" simplePos="0" locked="0" layoutInCell="1" allowOverlap="1" relativeHeight="229">
                      <wp:simplePos x="0" y="0"/>
                      <wp:positionH relativeFrom="column">
                        <wp:align>left</wp:align>
                      </wp:positionH>
                      <wp:positionV relativeFrom="line">
                        <wp:posOffset>635</wp:posOffset>
                      </wp:positionV>
                      <wp:extent cx="228600" cy="350520"/>
                      <wp:effectExtent l="0" t="0" r="0" b="0"/>
                      <wp:wrapSquare wrapText="right"/>
                      <wp:docPr id="174" name="Frame9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both"/>
              <w:rPr/>
            </w:pPr>
            <w:r>
              <w:rPr>
                <w:spacing w:val="-2"/>
              </w:rPr>
              <w:t>Reviewing, approving and recommending to the Board the Company’s annual and long-term incentive plans and programs</w:t>
            </w:r>
            <w:r>
              <w:rPr/>
              <w:t xml:space="preserve"> </w:t>
            </w:r>
            <w:r>
              <mc:AlternateContent>
                <mc:Choice Requires="wps">
                  <w:drawing>
                    <wp:anchor behindDoc="0" distT="101600" distB="0" distL="0" distR="0" simplePos="0" locked="0" layoutInCell="1" allowOverlap="1" relativeHeight="230">
                      <wp:simplePos x="0" y="0"/>
                      <wp:positionH relativeFrom="column">
                        <wp:align>left</wp:align>
                      </wp:positionH>
                      <wp:positionV relativeFrom="line">
                        <wp:align>top</wp:align>
                      </wp:positionV>
                      <wp:extent cx="228600" cy="350520"/>
                      <wp:effectExtent l="0" t="0" r="0" b="0"/>
                      <wp:wrapSquare wrapText="right"/>
                      <wp:docPr id="175" name="Frame9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both"/>
              <w:rPr/>
            </w:pPr>
            <w:r>
              <w:rPr>
                <w:spacing w:val="-2"/>
              </w:rPr>
              <w:t>Reviewing and approving employment and other contracts relating to compensation of the Company’s executive officers</w:t>
            </w:r>
            <w:r>
              <w:rPr/>
              <w:t xml:space="preserve"> </w:t>
            </w:r>
            <w:r>
              <mc:AlternateContent>
                <mc:Choice Requires="wps">
                  <w:drawing>
                    <wp:anchor behindDoc="0" distT="101600" distB="0" distL="0" distR="0" simplePos="0" locked="0" layoutInCell="1" allowOverlap="1" relativeHeight="231">
                      <wp:simplePos x="0" y="0"/>
                      <wp:positionH relativeFrom="column">
                        <wp:align>left</wp:align>
                      </wp:positionH>
                      <wp:positionV relativeFrom="line">
                        <wp:align>top</wp:align>
                      </wp:positionV>
                      <wp:extent cx="228600" cy="350520"/>
                      <wp:effectExtent l="0" t="0" r="0" b="0"/>
                      <wp:wrapSquare wrapText="right"/>
                      <wp:docPr id="176" name="Frame9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both"/>
              <w:rPr/>
            </w:pPr>
            <w:r>
              <w:rPr>
                <w:spacing w:val="-2"/>
              </w:rPr>
              <w:t>Reviewing director compensation policies, objectives and programs and approving the form and amount of director compensation</w:t>
            </w:r>
            <w:r>
              <w:rPr/>
              <w:t xml:space="preserve"> </w:t>
            </w:r>
            <w:r>
              <mc:AlternateContent>
                <mc:Choice Requires="wps">
                  <w:drawing>
                    <wp:anchor behindDoc="0" distT="101600" distB="0" distL="0" distR="0" simplePos="0" locked="0" layoutInCell="1" allowOverlap="1" relativeHeight="232">
                      <wp:simplePos x="0" y="0"/>
                      <wp:positionH relativeFrom="column">
                        <wp:align>left</wp:align>
                      </wp:positionH>
                      <wp:positionV relativeFrom="line">
                        <wp:align>top</wp:align>
                      </wp:positionV>
                      <wp:extent cx="228600" cy="350520"/>
                      <wp:effectExtent l="0" t="0" r="0" b="0"/>
                      <wp:wrapSquare wrapText="right"/>
                      <wp:docPr id="177" name="Frame10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both"/>
              <w:rPr/>
            </w:pPr>
            <w:r>
              <w:rPr>
                <w:spacing w:val="-2"/>
              </w:rPr>
              <w:t>Reviewing with management and approving the Compensation Discussion and Analysis to be included in the Company’s proxy statement</w:t>
            </w:r>
            <w:r>
              <w:rPr/>
              <w:t xml:space="preserve"> </w:t>
            </w:r>
            <w:r>
              <mc:AlternateContent>
                <mc:Choice Requires="wps">
                  <w:drawing>
                    <wp:anchor behindDoc="0" distT="101600" distB="0" distL="0" distR="0" simplePos="0" locked="0" layoutInCell="1" allowOverlap="1" relativeHeight="233">
                      <wp:simplePos x="0" y="0"/>
                      <wp:positionH relativeFrom="column">
                        <wp:align>left</wp:align>
                      </wp:positionH>
                      <wp:positionV relativeFrom="line">
                        <wp:align>top</wp:align>
                      </wp:positionV>
                      <wp:extent cx="228600" cy="350520"/>
                      <wp:effectExtent l="0" t="0" r="0" b="0"/>
                      <wp:wrapSquare wrapText="right"/>
                      <wp:docPr id="178" name="Frame10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both"/>
              <w:rPr>
                <w:spacing w:val="-2"/>
              </w:rPr>
            </w:pPr>
            <w:r>
              <w:rPr>
                <w:spacing w:val="-2"/>
              </w:rPr>
              <w:t xml:space="preserve">Providing regular reports to the Board regarding the above responsibilities </w:t>
            </w:r>
            <w:r>
              <mc:AlternateContent>
                <mc:Choice Requires="wps">
                  <w:drawing>
                    <wp:anchor behindDoc="0" distT="101600" distB="0" distL="0" distR="0" simplePos="0" locked="0" layoutInCell="1" allowOverlap="1" relativeHeight="234">
                      <wp:simplePos x="0" y="0"/>
                      <wp:positionH relativeFrom="column">
                        <wp:align>left</wp:align>
                      </wp:positionH>
                      <wp:positionV relativeFrom="line">
                        <wp:align>top</wp:align>
                      </wp:positionV>
                      <wp:extent cx="228600" cy="350520"/>
                      <wp:effectExtent l="0" t="0" r="0" b="0"/>
                      <wp:wrapSquare wrapText="right"/>
                      <wp:docPr id="179" name="Frame10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vMerge w:val="restart"/>
            <w:tcBorders>
              <w:bottom w:val="single" w:sz="8" w:space="0" w:color="7F7F7F"/>
            </w:tcBorders>
            <w:shd w:fill="E5E5E5"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7"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5340"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55" w:type="dxa"/>
            <w:vMerge w:val="continue"/>
            <w:tcBorders>
              <w:bottom w:val="single" w:sz="8" w:space="0" w:color="7F7F7F"/>
            </w:tcBorders>
            <w:shd w:fill="E5E5E5" w:val="clear"/>
            <w:tcMar>
              <w:bottom w:w="28" w:type="dxa"/>
            </w:tcMar>
            <w:vAlign w:val="center"/>
          </w:tcPr>
          <w:p>
            <w:pPr>
              <w:pStyle w:val="Normal"/>
              <w:bidi w:val="0"/>
              <w:jc w:val="left"/>
              <w:rPr/>
            </w:pPr>
            <w:r>
              <w:rPr/>
            </w:r>
          </w:p>
        </w:tc>
      </w:tr>
      <w:tr>
        <w:trPr/>
        <w:tc>
          <w:tcPr>
            <w:tcW w:w="124" w:type="dxa"/>
            <w:tcBorders/>
            <w:shd w:fill="BAD8EA" w:val="clear"/>
            <w:vAlign w:val="center"/>
          </w:tcPr>
          <w:p>
            <w:pPr>
              <w:pStyle w:val="TableContents"/>
              <w:bidi w:val="0"/>
              <w:spacing w:before="0" w:after="283"/>
              <w:jc w:val="left"/>
              <w:rPr/>
            </w:pPr>
            <w:r>
              <w:rPr/>
              <w:t>​</w:t>
            </w:r>
          </w:p>
        </w:tc>
        <w:tc>
          <w:tcPr>
            <w:tcW w:w="3467" w:type="dxa"/>
            <w:tcBorders/>
            <w:shd w:fill="BAD8EA" w:val="clear"/>
            <w:vAlign w:val="center"/>
          </w:tcPr>
          <w:p>
            <w:pPr>
              <w:pStyle w:val="TableContents"/>
              <w:bidi w:val="0"/>
              <w:spacing w:before="0" w:after="0"/>
              <w:jc w:val="center"/>
              <w:rPr/>
            </w:pPr>
            <w:r>
              <w:rPr>
                <w:spacing w:val="0"/>
              </w:rPr>
              <w:t>Key Skills and Experiences Represented</w:t>
            </w:r>
            <w:r>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5340"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55" w:type="dxa"/>
            <w:vMerge w:val="continue"/>
            <w:tcBorders>
              <w:bottom w:val="single" w:sz="8" w:space="0" w:color="7F7F7F"/>
            </w:tcBorders>
            <w:shd w:fill="E5E5E5" w:val="clear"/>
            <w:tcMar>
              <w:bottom w:w="28" w:type="dxa"/>
            </w:tcMar>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3467" w:type="dxa"/>
            <w:tcBorders/>
            <w:vAlign w:val="center"/>
          </w:tcPr>
          <w:p>
            <w:pPr>
              <w:pStyle w:val="TableContents"/>
              <w:bidi w:val="0"/>
              <w:spacing w:lineRule="atLeast" w:line="240" w:before="0" w:after="0"/>
              <w:ind w:left="360" w:right="0" w:hanging="0"/>
              <w:jc w:val="left"/>
              <w:rPr/>
            </w:pPr>
            <w:r>
              <w:rPr>
                <w:spacing w:val="-2"/>
              </w:rPr>
              <w:t>Setting executive compensation</w:t>
            </w:r>
            <w:r>
              <w:rPr/>
              <w:t xml:space="preserve"> </w:t>
            </w:r>
            <w:r>
              <mc:AlternateContent>
                <mc:Choice Requires="wps">
                  <w:drawing>
                    <wp:anchor behindDoc="0" distT="0" distB="0" distL="0" distR="0" simplePos="0" locked="0" layoutInCell="1" allowOverlap="1" relativeHeight="235">
                      <wp:simplePos x="0" y="0"/>
                      <wp:positionH relativeFrom="column">
                        <wp:align>left</wp:align>
                      </wp:positionH>
                      <wp:positionV relativeFrom="line">
                        <wp:posOffset>635</wp:posOffset>
                      </wp:positionV>
                      <wp:extent cx="228600" cy="350520"/>
                      <wp:effectExtent l="0" t="0" r="0" b="0"/>
                      <wp:wrapSquare wrapText="right"/>
                      <wp:docPr id="180" name="Frame10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left"/>
              <w:rPr/>
            </w:pPr>
            <w:r>
              <w:rPr>
                <w:spacing w:val="-2"/>
              </w:rPr>
              <w:t>Evaluating executive and Company-wide compensation programs</w:t>
            </w:r>
            <w:r>
              <w:rPr/>
              <w:t xml:space="preserve"> </w:t>
            </w:r>
            <w:r>
              <mc:AlternateContent>
                <mc:Choice Requires="wps">
                  <w:drawing>
                    <wp:anchor behindDoc="0" distT="101600" distB="0" distL="0" distR="0" simplePos="0" locked="0" layoutInCell="1" allowOverlap="1" relativeHeight="236">
                      <wp:simplePos x="0" y="0"/>
                      <wp:positionH relativeFrom="column">
                        <wp:align>left</wp:align>
                      </wp:positionH>
                      <wp:positionV relativeFrom="line">
                        <wp:align>top</wp:align>
                      </wp:positionV>
                      <wp:extent cx="228600" cy="350520"/>
                      <wp:effectExtent l="0" t="0" r="0" b="0"/>
                      <wp:wrapSquare wrapText="right"/>
                      <wp:docPr id="181" name="Frame10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left"/>
              <w:rPr/>
            </w:pPr>
            <w:r>
              <w:rPr>
                <w:spacing w:val="-2"/>
              </w:rPr>
              <w:t>Human capital management and financial expertise</w:t>
            </w:r>
            <w:r>
              <w:rPr/>
              <w:t xml:space="preserve"> </w:t>
            </w:r>
            <w:r>
              <mc:AlternateContent>
                <mc:Choice Requires="wps">
                  <w:drawing>
                    <wp:anchor behindDoc="0" distT="101600" distB="0" distL="0" distR="0" simplePos="0" locked="0" layoutInCell="1" allowOverlap="1" relativeHeight="237">
                      <wp:simplePos x="0" y="0"/>
                      <wp:positionH relativeFrom="column">
                        <wp:align>left</wp:align>
                      </wp:positionH>
                      <wp:positionV relativeFrom="line">
                        <wp:align>top</wp:align>
                      </wp:positionV>
                      <wp:extent cx="228600" cy="350520"/>
                      <wp:effectExtent l="0" t="0" r="0" b="0"/>
                      <wp:wrapSquare wrapText="right"/>
                      <wp:docPr id="182" name="Frame10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left"/>
              <w:rPr>
                <w:spacing w:val="-2"/>
              </w:rPr>
            </w:pPr>
            <w:r>
              <w:rPr>
                <w:spacing w:val="-2"/>
              </w:rPr>
              <w:t xml:space="preserve">Real estate, capital markets, operating, marketing and technology </w:t>
            </w:r>
            <w:r>
              <mc:AlternateContent>
                <mc:Choice Requires="wps">
                  <w:drawing>
                    <wp:anchor behindDoc="0" distT="101600" distB="0" distL="0" distR="0" simplePos="0" locked="0" layoutInCell="1" allowOverlap="1" relativeHeight="238">
                      <wp:simplePos x="0" y="0"/>
                      <wp:positionH relativeFrom="column">
                        <wp:align>left</wp:align>
                      </wp:positionH>
                      <wp:positionV relativeFrom="line">
                        <wp:align>top</wp:align>
                      </wp:positionV>
                      <wp:extent cx="228600" cy="350520"/>
                      <wp:effectExtent l="0" t="0" r="0" b="0"/>
                      <wp:wrapSquare wrapText="right"/>
                      <wp:docPr id="183" name="Frame10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5340"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55" w:type="dxa"/>
            <w:vMerge w:val="continue"/>
            <w:tcBorders>
              <w:bottom w:val="single" w:sz="8" w:space="0" w:color="7F7F7F"/>
            </w:tcBorders>
            <w:shd w:fill="E5E5E5" w:val="clear"/>
            <w:tcMar>
              <w:bottom w:w="28" w:type="dxa"/>
            </w:tcMar>
            <w:vAlign w:val="center"/>
          </w:tcPr>
          <w:p>
            <w:pPr>
              <w:pStyle w:val="Normal"/>
              <w:bidi w:val="0"/>
              <w:jc w:val="left"/>
              <w:rPr/>
            </w:pPr>
            <w:r>
              <w:rPr/>
            </w:r>
          </w:p>
        </w:tc>
      </w:tr>
    </w:tbl>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/ 17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NACG"/>
      <w:bookmarkEnd w:id="27"/>
      <w:r>
        <w:rPr>
          <w:rFonts w:ascii="calibri;arial;sans-serif" w:hAnsi="calibri;arial;sans-serif"/>
          <w:b w:val="false"/>
          <w:i w:val="false"/>
          <w:caps w:val="false"/>
          <w:smallCaps w:val="false"/>
          <w:color w:val="000000"/>
          <w:sz w:val="16"/>
        </w:rPr>
        <w:t>​</w:t>
      </w:r>
      <w:bookmarkStart w:id="28" w:name="tTEC"/>
      <w:bookmarkEnd w:id="28"/>
      <w:r>
        <w:rPr>
          <w:rFonts w:ascii="calibri;arial;sans-serif" w:hAnsi="calibri;arial;sans-serif"/>
          <w:b w:val="false"/>
          <w:i w:val="false"/>
          <w:caps w:val="false"/>
          <w:smallCaps w:val="false"/>
          <w:color w:val="000000"/>
          <w:sz w:val="16"/>
        </w:rPr>
        <w:t>​</w:t>
      </w:r>
      <w:bookmarkStart w:id="29" w:name="tTech2"/>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The Board, Its Committees and Its Compensation</w:t>
      </w:r>
      <w:r>
        <w:rPr>
          <w:rFonts w:ascii="Arial;Helvetica;sans-serif" w:hAnsi="Arial;Helvetica;sans-serif"/>
          <w:b/>
          <w:i w:val="false"/>
          <w:caps w:val="false"/>
          <w:smallCaps w:val="false"/>
          <w:color w:val="7F7F7F"/>
          <w:spacing w:val="-3"/>
          <w:sz w:val="22"/>
        </w:rPr>
        <w:t xml:space="preserve"> </w:t>
      </w:r>
    </w:p>
    <w:tbl>
      <w:tblPr>
        <w:tblW w:w="9304" w:type="dxa"/>
        <w:jc w:val="left"/>
        <w:tblInd w:w="901" w:type="dxa"/>
        <w:tblLayout w:type="fixed"/>
        <w:tblCellMar>
          <w:top w:w="0" w:type="dxa"/>
          <w:left w:w="0" w:type="dxa"/>
          <w:bottom w:w="0" w:type="dxa"/>
          <w:right w:w="0" w:type="dxa"/>
        </w:tblCellMar>
      </w:tblPr>
      <w:tblGrid>
        <w:gridCol w:w="124"/>
        <w:gridCol w:w="3235"/>
        <w:gridCol w:w="109"/>
        <w:gridCol w:w="109"/>
        <w:gridCol w:w="5572"/>
        <w:gridCol w:w="155"/>
      </w:tblGrid>
      <w:tr>
        <w:trPr/>
        <w:tc>
          <w:tcPr>
            <w:tcW w:w="124" w:type="dxa"/>
            <w:tcBorders/>
            <w:shd w:fill="BAD8EA" w:val="clear"/>
            <w:vAlign w:val="center"/>
          </w:tcPr>
          <w:p>
            <w:pPr>
              <w:pStyle w:val="TableContents"/>
              <w:bidi w:val="0"/>
              <w:spacing w:before="0" w:after="283"/>
              <w:jc w:val="left"/>
              <w:rPr/>
            </w:pPr>
            <w:r>
              <w:rPr/>
              <w:t>​</w:t>
            </w:r>
          </w:p>
        </w:tc>
        <w:tc>
          <w:tcPr>
            <w:tcW w:w="3235" w:type="dxa"/>
            <w:tcBorders/>
            <w:shd w:fill="BAD8EA" w:val="clear"/>
            <w:vAlign w:val="center"/>
          </w:tcPr>
          <w:p>
            <w:pPr>
              <w:pStyle w:val="TableContents"/>
              <w:bidi w:val="0"/>
              <w:spacing w:before="0" w:after="0"/>
              <w:jc w:val="left"/>
              <w:rPr>
                <w:spacing w:val="-4"/>
              </w:rPr>
            </w:pPr>
            <w:r>
              <w:rPr>
                <w:spacing w:val="-4"/>
              </w:rPr>
              <w:t xml:space="preserve">NOMINATING AND CORPORATE GOVERNANCE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5572" w:type="dxa"/>
            <w:tcBorders/>
            <w:shd w:fill="BAD8EA" w:val="clear"/>
            <w:vAlign w:val="center"/>
          </w:tcPr>
          <w:p>
            <w:pPr>
              <w:pStyle w:val="TableContents"/>
              <w:bidi w:val="0"/>
              <w:spacing w:before="0" w:after="0"/>
              <w:jc w:val="right"/>
              <w:rPr>
                <w:sz w:val="20"/>
              </w:rPr>
            </w:pPr>
            <w:r>
              <w:rPr>
                <w:spacing w:val="0"/>
                <w:sz w:val="20"/>
              </w:rPr>
              <w:t>Meetings in 2025: 3</w:t>
            </w:r>
            <w:r>
              <w:rPr>
                <w:sz w:val="20"/>
              </w:rPr>
              <w:t xml:space="preserve"> </w:t>
            </w:r>
          </w:p>
        </w:tc>
        <w:tc>
          <w:tcPr>
            <w:tcW w:w="155" w:type="dxa"/>
            <w:tcBorders/>
            <w:shd w:fill="BAD8EA" w:val="clear"/>
            <w:vAlign w:val="center"/>
          </w:tcPr>
          <w:p>
            <w:pPr>
              <w:pStyle w:val="TableContents"/>
              <w:bidi w:val="0"/>
              <w:spacing w:before="0" w:after="283"/>
              <w:jc w:val="left"/>
              <w:rPr/>
            </w:pPr>
            <w:r>
              <w:rPr/>
              <w:t>​</w:t>
            </w:r>
          </w:p>
        </w:tc>
      </w:tr>
      <w:tr>
        <w:trPr/>
        <w:tc>
          <w:tcPr>
            <w:tcW w:w="124" w:type="dxa"/>
            <w:tcBorders/>
            <w:shd w:fill="7F7F7F" w:val="clear"/>
            <w:vAlign w:val="center"/>
          </w:tcPr>
          <w:p>
            <w:pPr>
              <w:pStyle w:val="TableContents"/>
              <w:bidi w:val="0"/>
              <w:spacing w:before="0" w:after="283"/>
              <w:jc w:val="left"/>
              <w:rPr/>
            </w:pPr>
            <w:r>
              <w:rPr/>
              <w:t>​</w:t>
            </w:r>
          </w:p>
        </w:tc>
        <w:tc>
          <w:tcPr>
            <w:tcW w:w="3235" w:type="dxa"/>
            <w:tcBorders/>
            <w:shd w:fill="7F7F7F" w:val="clear"/>
            <w:vAlign w:val="center"/>
          </w:tcPr>
          <w:p>
            <w:pPr>
              <w:pStyle w:val="TableContents"/>
              <w:bidi w:val="0"/>
              <w:spacing w:before="0" w:after="0"/>
              <w:jc w:val="center"/>
              <w:rPr>
                <w:color w:val="FFFFFF"/>
              </w:rPr>
            </w:pPr>
            <w:r>
              <w:rPr>
                <w:color w:val="FFFFFF"/>
                <w:spacing w:val="0"/>
              </w:rPr>
              <w:t>All Independent</w:t>
            </w:r>
            <w:r>
              <w:rPr>
                <w:color w:val="FFFFFF"/>
              </w:rPr>
              <w:t xml:space="preserve"> </w:t>
            </w:r>
          </w:p>
        </w:tc>
        <w:tc>
          <w:tcPr>
            <w:tcW w:w="109" w:type="dxa"/>
            <w:tcBorders/>
            <w:shd w:fill="7F7F7F"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5572" w:type="dxa"/>
            <w:tcBorders/>
            <w:shd w:fill="E5E5E5" w:val="clear"/>
            <w:vAlign w:val="center"/>
          </w:tcPr>
          <w:p>
            <w:pPr>
              <w:pStyle w:val="TableContents"/>
              <w:bidi w:val="0"/>
              <w:spacing w:before="0" w:after="283"/>
              <w:jc w:val="left"/>
              <w:rPr/>
            </w:pPr>
            <w:r>
              <w:rPr>
                <w:spacing w:val="0"/>
              </w:rPr>
              <w:t>Key Responsibilities</w:t>
            </w:r>
            <w:r>
              <w:rPr/>
              <w:t xml:space="preserve"> </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35" w:type="dxa"/>
            <w:tcBorders/>
            <w:vAlign w:val="center"/>
          </w:tcPr>
          <w:p>
            <w:pPr>
              <w:pStyle w:val="TableContents"/>
              <w:bidi w:val="0"/>
              <w:spacing w:lineRule="atLeast" w:line="240" w:before="0" w:after="0"/>
              <w:ind w:left="280" w:right="0" w:hanging="0"/>
              <w:jc w:val="left"/>
              <w:rPr/>
            </w:pPr>
            <w:r>
              <w:rPr>
                <w:spacing w:val="-2"/>
              </w:rPr>
              <w:t>•</w:t>
            </w:r>
            <w:r>
              <w:rPr>
                <w:spacing w:val="-2"/>
              </w:rPr>
              <w:t>Anthony Williams </w:t>
            </w:r>
            <w:r>
              <w:rPr/>
              <w:t xml:space="preserve"> </w:t>
            </w:r>
            <w:r>
              <w:rPr/>
              <w:drawing>
                <wp:inline distT="0" distB="0" distL="0" distR="0">
                  <wp:extent cx="142875" cy="139700"/>
                  <wp:effectExtent l="0" t="0" r="0" b="0"/>
                  <wp:docPr id="18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76" descr=""/>
                          <pic:cNvPicPr>
                            <a:picLocks noChangeAspect="1" noChangeArrowheads="1"/>
                          </pic:cNvPicPr>
                        </pic:nvPicPr>
                        <pic:blipFill>
                          <a:blip r:embed="rId79"/>
                          <a:stretch>
                            <a:fillRect/>
                          </a:stretch>
                        </pic:blipFill>
                        <pic:spPr bwMode="auto">
                          <a:xfrm>
                            <a:off x="0" y="0"/>
                            <a:ext cx="142875" cy="139700"/>
                          </a:xfrm>
                          <a:prstGeom prst="rect">
                            <a:avLst/>
                          </a:prstGeom>
                        </pic:spPr>
                      </pic:pic>
                    </a:graphicData>
                  </a:graphic>
                </wp:inline>
              </w:drawing>
            </w:r>
            <w:r>
              <w:rPr/>
              <w:t xml:space="preserve"> </w:t>
            </w:r>
          </w:p>
          <w:p>
            <w:pPr>
              <w:pStyle w:val="TableContents"/>
              <w:bidi w:val="0"/>
              <w:spacing w:lineRule="atLeast" w:line="200" w:before="160" w:after="0"/>
              <w:ind w:left="360" w:right="0" w:hanging="0"/>
              <w:jc w:val="left"/>
              <w:rPr/>
            </w:pPr>
            <w:r>
              <w:rPr>
                <w:spacing w:val="-2"/>
              </w:rPr>
              <w:t>Thom Lachman</w:t>
            </w:r>
            <w:r>
              <w:rPr/>
              <w:t xml:space="preserve"> </w:t>
            </w:r>
            <w:r>
              <mc:AlternateContent>
                <mc:Choice Requires="wps">
                  <w:drawing>
                    <wp:anchor behindDoc="0" distT="101600" distB="0" distL="0" distR="0" simplePos="0" locked="0" layoutInCell="1" allowOverlap="1" relativeHeight="239">
                      <wp:simplePos x="0" y="0"/>
                      <wp:positionH relativeFrom="column">
                        <wp:align>left</wp:align>
                      </wp:positionH>
                      <wp:positionV relativeFrom="line">
                        <wp:align>top</wp:align>
                      </wp:positionV>
                      <wp:extent cx="228600" cy="350520"/>
                      <wp:effectExtent l="0" t="0" r="0" b="0"/>
                      <wp:wrapSquare wrapText="right"/>
                      <wp:docPr id="185" name="Frame10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left"/>
              <w:rPr>
                <w:spacing w:val="-2"/>
              </w:rPr>
            </w:pPr>
            <w:r>
              <w:rPr>
                <w:spacing w:val="-2"/>
              </w:rPr>
              <w:t xml:space="preserve">Mary Ann Tighe </w:t>
            </w:r>
            <w:r>
              <mc:AlternateContent>
                <mc:Choice Requires="wps">
                  <w:drawing>
                    <wp:anchor behindDoc="0" distT="101600" distB="0" distL="0" distR="0" simplePos="0" locked="0" layoutInCell="1" allowOverlap="1" relativeHeight="240">
                      <wp:simplePos x="0" y="0"/>
                      <wp:positionH relativeFrom="column">
                        <wp:align>left</wp:align>
                      </wp:positionH>
                      <wp:positionV relativeFrom="line">
                        <wp:align>top</wp:align>
                      </wp:positionV>
                      <wp:extent cx="228600" cy="350520"/>
                      <wp:effectExtent l="0" t="0" r="0" b="0"/>
                      <wp:wrapSquare wrapText="right"/>
                      <wp:docPr id="186" name="Frame10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vMerge w:val="restart"/>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5572" w:type="dxa"/>
            <w:vMerge w:val="restart"/>
            <w:tcBorders>
              <w:bottom w:val="single" w:sz="8" w:space="0" w:color="7F7F7F"/>
            </w:tcBorders>
            <w:shd w:fill="E5E5E5" w:val="clear"/>
            <w:tcMar>
              <w:bottom w:w="28" w:type="dxa"/>
            </w:tcMar>
            <w:vAlign w:val="center"/>
          </w:tcPr>
          <w:p>
            <w:pPr>
              <w:pStyle w:val="TableContents"/>
              <w:bidi w:val="0"/>
              <w:spacing w:lineRule="atLeast" w:line="240" w:before="0" w:after="0"/>
              <w:ind w:left="360" w:right="0" w:hanging="0"/>
              <w:jc w:val="both"/>
              <w:rPr/>
            </w:pPr>
            <w:r>
              <w:rPr>
                <w:spacing w:val="-2"/>
              </w:rPr>
              <w:t>Overseeing the Company’s process for reviewing stockholder proposals submitted under Rule 14a-8 of the Exchange Act</w:t>
            </w:r>
            <w:r>
              <w:rPr/>
              <w:t xml:space="preserve"> </w:t>
            </w:r>
            <w:r>
              <mc:AlternateContent>
                <mc:Choice Requires="wps">
                  <w:drawing>
                    <wp:anchor behindDoc="0" distT="0" distB="0" distL="0" distR="0" simplePos="0" locked="0" layoutInCell="1" allowOverlap="1" relativeHeight="241">
                      <wp:simplePos x="0" y="0"/>
                      <wp:positionH relativeFrom="column">
                        <wp:align>left</wp:align>
                      </wp:positionH>
                      <wp:positionV relativeFrom="line">
                        <wp:posOffset>635</wp:posOffset>
                      </wp:positionV>
                      <wp:extent cx="228600" cy="350520"/>
                      <wp:effectExtent l="0" t="0" r="0" b="0"/>
                      <wp:wrapSquare wrapText="right"/>
                      <wp:docPr id="187" name="Frame10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both"/>
              <w:rPr/>
            </w:pPr>
            <w:r>
              <w:rPr>
                <w:spacing w:val="-2"/>
              </w:rPr>
              <w:t>Reviewing and recommending to the Board proposed amendments to the Company’s charter or bylaws</w:t>
            </w:r>
            <w:r>
              <w:rPr/>
              <w:t xml:space="preserve"> </w:t>
            </w:r>
            <w:r>
              <mc:AlternateContent>
                <mc:Choice Requires="wps">
                  <w:drawing>
                    <wp:anchor behindDoc="0" distT="101600" distB="0" distL="0" distR="0" simplePos="0" locked="0" layoutInCell="1" allowOverlap="1" relativeHeight="242">
                      <wp:simplePos x="0" y="0"/>
                      <wp:positionH relativeFrom="column">
                        <wp:align>left</wp:align>
                      </wp:positionH>
                      <wp:positionV relativeFrom="line">
                        <wp:align>top</wp:align>
                      </wp:positionV>
                      <wp:extent cx="228600" cy="350520"/>
                      <wp:effectExtent l="0" t="0" r="0" b="0"/>
                      <wp:wrapSquare wrapText="right"/>
                      <wp:docPr id="188" name="Frame11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both"/>
              <w:rPr/>
            </w:pPr>
            <w:r>
              <w:rPr>
                <w:spacing w:val="-2"/>
              </w:rPr>
              <w:t>Developing and recommending corporate governance guidelines applicable to the Board and the Company’s employees</w:t>
            </w:r>
            <w:r>
              <w:rPr/>
              <w:t xml:space="preserve"> </w:t>
            </w:r>
            <w:r>
              <mc:AlternateContent>
                <mc:Choice Requires="wps">
                  <w:drawing>
                    <wp:anchor behindDoc="0" distT="101600" distB="0" distL="0" distR="0" simplePos="0" locked="0" layoutInCell="1" allowOverlap="1" relativeHeight="243">
                      <wp:simplePos x="0" y="0"/>
                      <wp:positionH relativeFrom="column">
                        <wp:align>left</wp:align>
                      </wp:positionH>
                      <wp:positionV relativeFrom="line">
                        <wp:align>top</wp:align>
                      </wp:positionV>
                      <wp:extent cx="228600" cy="350520"/>
                      <wp:effectExtent l="0" t="0" r="0" b="0"/>
                      <wp:wrapSquare wrapText="right"/>
                      <wp:docPr id="189" name="Frame11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both"/>
              <w:rPr/>
            </w:pPr>
            <w:r>
              <w:rPr>
                <w:spacing w:val="-2"/>
              </w:rPr>
              <w:t>Developing criteria and qualifications for directors to be used in identifying, reviewing and selecting director candidates</w:t>
            </w:r>
            <w:r>
              <w:rPr/>
              <w:t xml:space="preserve"> </w:t>
            </w:r>
            <w:r>
              <mc:AlternateContent>
                <mc:Choice Requires="wps">
                  <w:drawing>
                    <wp:anchor behindDoc="0" distT="101600" distB="0" distL="0" distR="0" simplePos="0" locked="0" layoutInCell="1" allowOverlap="1" relativeHeight="244">
                      <wp:simplePos x="0" y="0"/>
                      <wp:positionH relativeFrom="column">
                        <wp:align>left</wp:align>
                      </wp:positionH>
                      <wp:positionV relativeFrom="line">
                        <wp:align>top</wp:align>
                      </wp:positionV>
                      <wp:extent cx="228600" cy="350520"/>
                      <wp:effectExtent l="0" t="0" r="0" b="0"/>
                      <wp:wrapSquare wrapText="right"/>
                      <wp:docPr id="190" name="Frame11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both"/>
              <w:rPr/>
            </w:pPr>
            <w:r>
              <w:rPr>
                <w:spacing w:val="-2"/>
              </w:rPr>
              <w:t>Identifying and recommending knowledgeable, skilled, and diverse director candidates, including the annual slate of director nominees</w:t>
            </w:r>
            <w:r>
              <w:rPr/>
              <w:t xml:space="preserve"> </w:t>
            </w:r>
            <w:r>
              <mc:AlternateContent>
                <mc:Choice Requires="wps">
                  <w:drawing>
                    <wp:anchor behindDoc="0" distT="101600" distB="0" distL="0" distR="0" simplePos="0" locked="0" layoutInCell="1" allowOverlap="1" relativeHeight="250">
                      <wp:simplePos x="0" y="0"/>
                      <wp:positionH relativeFrom="column">
                        <wp:align>left</wp:align>
                      </wp:positionH>
                      <wp:positionV relativeFrom="line">
                        <wp:align>top</wp:align>
                      </wp:positionV>
                      <wp:extent cx="228600" cy="350520"/>
                      <wp:effectExtent l="0" t="0" r="0" b="0"/>
                      <wp:wrapSquare wrapText="right"/>
                      <wp:docPr id="191" name="Frame11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both"/>
              <w:rPr/>
            </w:pPr>
            <w:r>
              <w:rPr>
                <w:spacing w:val="-2"/>
              </w:rPr>
              <w:t>Reviewing relationships between directors, the Company and members of management and recommending to the Board whether directors are independent</w:t>
            </w:r>
            <w:r>
              <w:rPr/>
              <w:t xml:space="preserve"> </w:t>
            </w:r>
            <w:r>
              <mc:AlternateContent>
                <mc:Choice Requires="wps">
                  <w:drawing>
                    <wp:anchor behindDoc="0" distT="101600" distB="0" distL="0" distR="0" simplePos="0" locked="0" layoutInCell="1" allowOverlap="1" relativeHeight="249">
                      <wp:simplePos x="0" y="0"/>
                      <wp:positionH relativeFrom="column">
                        <wp:align>left</wp:align>
                      </wp:positionH>
                      <wp:positionV relativeFrom="line">
                        <wp:align>top</wp:align>
                      </wp:positionV>
                      <wp:extent cx="228600" cy="350520"/>
                      <wp:effectExtent l="0" t="0" r="0" b="0"/>
                      <wp:wrapSquare wrapText="right"/>
                      <wp:docPr id="192" name="Frame11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both"/>
              <w:rPr/>
            </w:pPr>
            <w:r>
              <w:rPr>
                <w:spacing w:val="-2"/>
              </w:rPr>
              <w:t>Evaluating potential successors to the Chairman of the Board and each Board committee</w:t>
            </w:r>
            <w:r>
              <w:rPr/>
              <w:t xml:space="preserve"> </w:t>
            </w:r>
            <w:r>
              <mc:AlternateContent>
                <mc:Choice Requires="wps">
                  <w:drawing>
                    <wp:anchor behindDoc="0" distT="101600" distB="0" distL="0" distR="0" simplePos="0" locked="0" layoutInCell="1" allowOverlap="1" relativeHeight="248">
                      <wp:simplePos x="0" y="0"/>
                      <wp:positionH relativeFrom="column">
                        <wp:align>left</wp:align>
                      </wp:positionH>
                      <wp:positionV relativeFrom="line">
                        <wp:align>top</wp:align>
                      </wp:positionV>
                      <wp:extent cx="228600" cy="350520"/>
                      <wp:effectExtent l="0" t="0" r="0" b="0"/>
                      <wp:wrapSquare wrapText="right"/>
                      <wp:docPr id="193" name="Frame11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left"/>
              <w:rPr/>
            </w:pPr>
            <w:r>
              <w:rPr>
                <w:spacing w:val="-2"/>
              </w:rPr>
              <w:t>Recommending committee composition and assignments</w:t>
            </w:r>
            <w:r>
              <w:rPr/>
              <w:t xml:space="preserve"> </w:t>
            </w:r>
            <w:r>
              <mc:AlternateContent>
                <mc:Choice Requires="wps">
                  <w:drawing>
                    <wp:anchor behindDoc="0" distT="101600" distB="0" distL="0" distR="0" simplePos="0" locked="0" layoutInCell="1" allowOverlap="1" relativeHeight="247">
                      <wp:simplePos x="0" y="0"/>
                      <wp:positionH relativeFrom="column">
                        <wp:align>left</wp:align>
                      </wp:positionH>
                      <wp:positionV relativeFrom="line">
                        <wp:align>top</wp:align>
                      </wp:positionV>
                      <wp:extent cx="228600" cy="350520"/>
                      <wp:effectExtent l="0" t="0" r="0" b="0"/>
                      <wp:wrapSquare wrapText="right"/>
                      <wp:docPr id="194" name="Frame11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left"/>
              <w:rPr/>
            </w:pPr>
            <w:r>
              <w:rPr>
                <w:spacing w:val="-2"/>
              </w:rPr>
              <w:t>Evaluating the performance of the Board, its committees, and directors</w:t>
            </w:r>
            <w:r>
              <w:rPr/>
              <w:t xml:space="preserve"> </w:t>
            </w:r>
            <w:r>
              <mc:AlternateContent>
                <mc:Choice Requires="wps">
                  <w:drawing>
                    <wp:anchor behindDoc="0" distT="101600" distB="0" distL="0" distR="0" simplePos="0" locked="0" layoutInCell="1" allowOverlap="1" relativeHeight="246">
                      <wp:simplePos x="0" y="0"/>
                      <wp:positionH relativeFrom="column">
                        <wp:align>left</wp:align>
                      </wp:positionH>
                      <wp:positionV relativeFrom="line">
                        <wp:align>top</wp:align>
                      </wp:positionV>
                      <wp:extent cx="228600" cy="350520"/>
                      <wp:effectExtent l="0" t="0" r="0" b="0"/>
                      <wp:wrapSquare wrapText="right"/>
                      <wp:docPr id="195" name="Frame11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both"/>
              <w:rPr>
                <w:spacing w:val="-2"/>
              </w:rPr>
            </w:pPr>
            <w:r>
              <w:rPr>
                <w:spacing w:val="-2"/>
              </w:rPr>
              <w:t xml:space="preserve">Providing regular reports to the Board regarding the above responsibilities. </w:t>
            </w:r>
            <w:r>
              <mc:AlternateContent>
                <mc:Choice Requires="wps">
                  <w:drawing>
                    <wp:anchor behindDoc="0" distT="101600" distB="0" distL="0" distR="0" simplePos="0" locked="0" layoutInCell="1" allowOverlap="1" relativeHeight="245">
                      <wp:simplePos x="0" y="0"/>
                      <wp:positionH relativeFrom="column">
                        <wp:align>left</wp:align>
                      </wp:positionH>
                      <wp:positionV relativeFrom="line">
                        <wp:align>top</wp:align>
                      </wp:positionV>
                      <wp:extent cx="228600" cy="350520"/>
                      <wp:effectExtent l="0" t="0" r="0" b="0"/>
                      <wp:wrapSquare wrapText="right"/>
                      <wp:docPr id="196" name="Frame11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vMerge w:val="restart"/>
            <w:tcBorders>
              <w:bottom w:val="single" w:sz="8" w:space="0" w:color="7F7F7F"/>
            </w:tcBorders>
            <w:shd w:fill="E5E5E5"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35"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5572"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55" w:type="dxa"/>
            <w:vMerge w:val="continue"/>
            <w:tcBorders>
              <w:bottom w:val="single" w:sz="8" w:space="0" w:color="7F7F7F"/>
            </w:tcBorders>
            <w:shd w:fill="E5E5E5" w:val="clear"/>
            <w:tcMar>
              <w:bottom w:w="28" w:type="dxa"/>
            </w:tcMar>
            <w:vAlign w:val="center"/>
          </w:tcPr>
          <w:p>
            <w:pPr>
              <w:pStyle w:val="Normal"/>
              <w:bidi w:val="0"/>
              <w:jc w:val="left"/>
              <w:rPr/>
            </w:pPr>
            <w:r>
              <w:rPr/>
            </w:r>
          </w:p>
        </w:tc>
      </w:tr>
      <w:tr>
        <w:trPr/>
        <w:tc>
          <w:tcPr>
            <w:tcW w:w="124" w:type="dxa"/>
            <w:tcBorders/>
            <w:shd w:fill="BAD8EA" w:val="clear"/>
            <w:vAlign w:val="center"/>
          </w:tcPr>
          <w:p>
            <w:pPr>
              <w:pStyle w:val="TableContents"/>
              <w:bidi w:val="0"/>
              <w:spacing w:before="0" w:after="283"/>
              <w:jc w:val="left"/>
              <w:rPr/>
            </w:pPr>
            <w:r>
              <w:rPr/>
              <w:t>​</w:t>
            </w:r>
          </w:p>
        </w:tc>
        <w:tc>
          <w:tcPr>
            <w:tcW w:w="3235" w:type="dxa"/>
            <w:tcBorders/>
            <w:shd w:fill="BAD8EA" w:val="clear"/>
            <w:vAlign w:val="center"/>
          </w:tcPr>
          <w:p>
            <w:pPr>
              <w:pStyle w:val="TableContents"/>
              <w:bidi w:val="0"/>
              <w:spacing w:before="0" w:after="0"/>
              <w:jc w:val="center"/>
              <w:rPr/>
            </w:pPr>
            <w:r>
              <w:rPr>
                <w:spacing w:val="0"/>
              </w:rPr>
              <w:t>Key Skills and Experiences Represented</w:t>
            </w:r>
            <w:r>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5572"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55" w:type="dxa"/>
            <w:vMerge w:val="continue"/>
            <w:tcBorders>
              <w:bottom w:val="single" w:sz="8" w:space="0" w:color="7F7F7F"/>
            </w:tcBorders>
            <w:shd w:fill="E5E5E5" w:val="clear"/>
            <w:tcMar>
              <w:bottom w:w="28" w:type="dxa"/>
            </w:tcMar>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3235" w:type="dxa"/>
            <w:tcBorders/>
            <w:vAlign w:val="center"/>
          </w:tcPr>
          <w:p>
            <w:pPr>
              <w:pStyle w:val="TableContents"/>
              <w:bidi w:val="0"/>
              <w:spacing w:lineRule="atLeast" w:line="240" w:before="0" w:after="0"/>
              <w:ind w:left="360" w:right="0" w:hanging="0"/>
              <w:jc w:val="left"/>
              <w:rPr/>
            </w:pPr>
            <w:r>
              <w:rPr>
                <w:spacing w:val="-2"/>
              </w:rPr>
              <w:t>Corporate and social governance</w:t>
            </w:r>
            <w:r>
              <w:rPr/>
              <w:t xml:space="preserve"> </w:t>
            </w:r>
            <w:r>
              <mc:AlternateContent>
                <mc:Choice Requires="wps">
                  <w:drawing>
                    <wp:anchor behindDoc="0" distT="0" distB="0" distL="0" distR="0" simplePos="0" locked="0" layoutInCell="1" allowOverlap="1" relativeHeight="251">
                      <wp:simplePos x="0" y="0"/>
                      <wp:positionH relativeFrom="column">
                        <wp:align>left</wp:align>
                      </wp:positionH>
                      <wp:positionV relativeFrom="line">
                        <wp:posOffset>635</wp:posOffset>
                      </wp:positionV>
                      <wp:extent cx="228600" cy="350520"/>
                      <wp:effectExtent l="0" t="0" r="0" b="0"/>
                      <wp:wrapSquare wrapText="right"/>
                      <wp:docPr id="197" name="Frame11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left"/>
              <w:rPr>
                <w:spacing w:val="-2"/>
              </w:rPr>
            </w:pPr>
            <w:r>
              <w:rPr>
                <w:spacing w:val="-2"/>
              </w:rPr>
              <w:t xml:space="preserve">Real estate, capital markets, operations, marketing and technology </w:t>
            </w:r>
            <w:r>
              <mc:AlternateContent>
                <mc:Choice Requires="wps">
                  <w:drawing>
                    <wp:anchor behindDoc="0" distT="101600" distB="0" distL="0" distR="0" simplePos="0" locked="0" layoutInCell="1" allowOverlap="1" relativeHeight="252">
                      <wp:simplePos x="0" y="0"/>
                      <wp:positionH relativeFrom="column">
                        <wp:align>left</wp:align>
                      </wp:positionH>
                      <wp:positionV relativeFrom="line">
                        <wp:align>top</wp:align>
                      </wp:positionV>
                      <wp:extent cx="228600" cy="350520"/>
                      <wp:effectExtent l="0" t="0" r="0" b="0"/>
                      <wp:wrapSquare wrapText="right"/>
                      <wp:docPr id="198" name="Frame12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5572"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55" w:type="dxa"/>
            <w:vMerge w:val="continue"/>
            <w:tcBorders>
              <w:bottom w:val="single" w:sz="8" w:space="0" w:color="7F7F7F"/>
            </w:tcBorders>
            <w:shd w:fill="E5E5E5" w:val="clear"/>
            <w:tcMar>
              <w:bottom w:w="28" w:type="dxa"/>
            </w:tcMar>
            <w:vAlign w:val="center"/>
          </w:tcPr>
          <w:p>
            <w:pPr>
              <w:pStyle w:val="Normal"/>
              <w:bidi w:val="0"/>
              <w:jc w:val="left"/>
              <w:rPr/>
            </w:pPr>
            <w:r>
              <w:rPr/>
            </w:r>
          </w:p>
        </w:tc>
      </w:tr>
    </w:tbl>
    <w:tbl>
      <w:tblPr>
        <w:tblW w:w="9304" w:type="dxa"/>
        <w:jc w:val="left"/>
        <w:tblInd w:w="901" w:type="dxa"/>
        <w:tblLayout w:type="fixed"/>
        <w:tblCellMar>
          <w:top w:w="0" w:type="dxa"/>
          <w:left w:w="0" w:type="dxa"/>
          <w:bottom w:w="0" w:type="dxa"/>
          <w:right w:w="0" w:type="dxa"/>
        </w:tblCellMar>
      </w:tblPr>
      <w:tblGrid>
        <w:gridCol w:w="124"/>
        <w:gridCol w:w="3008"/>
        <w:gridCol w:w="109"/>
        <w:gridCol w:w="109"/>
        <w:gridCol w:w="5799"/>
        <w:gridCol w:w="155"/>
      </w:tblGrid>
      <w:tr>
        <w:trPr/>
        <w:tc>
          <w:tcPr>
            <w:tcW w:w="124" w:type="dxa"/>
            <w:tcBorders/>
            <w:shd w:fill="BAD8EA" w:val="clear"/>
            <w:vAlign w:val="center"/>
          </w:tcPr>
          <w:p>
            <w:pPr>
              <w:pStyle w:val="TableContents"/>
              <w:bidi w:val="0"/>
              <w:spacing w:before="0" w:after="283"/>
              <w:jc w:val="left"/>
              <w:rPr/>
            </w:pPr>
            <w:r>
              <w:rPr/>
              <w:t>​</w:t>
            </w:r>
          </w:p>
        </w:tc>
        <w:tc>
          <w:tcPr>
            <w:tcW w:w="3008" w:type="dxa"/>
            <w:tcBorders/>
            <w:shd w:fill="BAD8EA" w:val="clear"/>
            <w:vAlign w:val="center"/>
          </w:tcPr>
          <w:p>
            <w:pPr>
              <w:pStyle w:val="TableContents"/>
              <w:bidi w:val="0"/>
              <w:spacing w:before="0" w:after="0"/>
              <w:jc w:val="left"/>
              <w:rPr>
                <w:spacing w:val="-4"/>
              </w:rPr>
            </w:pPr>
            <w:r>
              <w:rPr>
                <w:spacing w:val="-4"/>
              </w:rPr>
              <w:t xml:space="preserve">TECHNOLOGY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5799" w:type="dxa"/>
            <w:tcBorders/>
            <w:shd w:fill="BAD8EA" w:val="clear"/>
            <w:vAlign w:val="center"/>
          </w:tcPr>
          <w:p>
            <w:pPr>
              <w:pStyle w:val="TableContents"/>
              <w:bidi w:val="0"/>
              <w:spacing w:before="0" w:after="0"/>
              <w:jc w:val="right"/>
              <w:rPr>
                <w:sz w:val="20"/>
              </w:rPr>
            </w:pPr>
            <w:r>
              <w:rPr>
                <w:spacing w:val="0"/>
                <w:sz w:val="20"/>
              </w:rPr>
              <w:t>Meetings in 2025: 4</w:t>
            </w:r>
            <w:r>
              <w:rPr>
                <w:sz w:val="20"/>
              </w:rPr>
              <w:t xml:space="preserve"> </w:t>
            </w:r>
          </w:p>
        </w:tc>
        <w:tc>
          <w:tcPr>
            <w:tcW w:w="155" w:type="dxa"/>
            <w:tcBorders/>
            <w:shd w:fill="BAD8EA" w:val="clear"/>
            <w:vAlign w:val="center"/>
          </w:tcPr>
          <w:p>
            <w:pPr>
              <w:pStyle w:val="TableContents"/>
              <w:bidi w:val="0"/>
              <w:spacing w:before="0" w:after="283"/>
              <w:jc w:val="left"/>
              <w:rPr/>
            </w:pPr>
            <w:r>
              <w:rPr/>
              <w:t>​</w:t>
            </w:r>
          </w:p>
        </w:tc>
      </w:tr>
      <w:tr>
        <w:trPr/>
        <w:tc>
          <w:tcPr>
            <w:tcW w:w="124" w:type="dxa"/>
            <w:tcBorders/>
            <w:shd w:fill="7F7F7F" w:val="clear"/>
            <w:vAlign w:val="center"/>
          </w:tcPr>
          <w:p>
            <w:pPr>
              <w:pStyle w:val="TableContents"/>
              <w:bidi w:val="0"/>
              <w:spacing w:before="0" w:after="283"/>
              <w:jc w:val="left"/>
              <w:rPr/>
            </w:pPr>
            <w:r>
              <w:rPr/>
              <w:t>​</w:t>
            </w:r>
          </w:p>
        </w:tc>
        <w:tc>
          <w:tcPr>
            <w:tcW w:w="3008" w:type="dxa"/>
            <w:tcBorders/>
            <w:shd w:fill="7F7F7F" w:val="clear"/>
            <w:vAlign w:val="center"/>
          </w:tcPr>
          <w:p>
            <w:pPr>
              <w:pStyle w:val="TableContents"/>
              <w:bidi w:val="0"/>
              <w:spacing w:before="0" w:after="0"/>
              <w:jc w:val="center"/>
              <w:rPr>
                <w:color w:val="FFFFFF"/>
              </w:rPr>
            </w:pPr>
            <w:r>
              <w:rPr>
                <w:color w:val="FFFFFF"/>
                <w:spacing w:val="0"/>
              </w:rPr>
              <w:t>All Independent</w:t>
            </w:r>
            <w:r>
              <w:rPr>
                <w:color w:val="FFFFFF"/>
              </w:rPr>
              <w:t xml:space="preserve"> </w:t>
            </w:r>
          </w:p>
        </w:tc>
        <w:tc>
          <w:tcPr>
            <w:tcW w:w="109" w:type="dxa"/>
            <w:tcBorders/>
            <w:shd w:fill="7F7F7F"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5799" w:type="dxa"/>
            <w:tcBorders/>
            <w:shd w:fill="E5E5E5" w:val="clear"/>
            <w:vAlign w:val="center"/>
          </w:tcPr>
          <w:p>
            <w:pPr>
              <w:pStyle w:val="TableContents"/>
              <w:bidi w:val="0"/>
              <w:spacing w:before="0" w:after="283"/>
              <w:jc w:val="left"/>
              <w:rPr/>
            </w:pPr>
            <w:r>
              <w:rPr>
                <w:spacing w:val="0"/>
              </w:rPr>
              <w:t>Key Responsibilities</w:t>
            </w:r>
            <w:r>
              <w:rPr/>
              <w:t xml:space="preserve"> </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08" w:type="dxa"/>
            <w:tcBorders/>
            <w:vAlign w:val="center"/>
          </w:tcPr>
          <w:p>
            <w:pPr>
              <w:pStyle w:val="TableContents"/>
              <w:bidi w:val="0"/>
              <w:spacing w:lineRule="atLeast" w:line="240" w:before="0" w:after="0"/>
              <w:ind w:left="280" w:right="0" w:hanging="0"/>
              <w:jc w:val="left"/>
              <w:rPr/>
            </w:pPr>
            <w:r>
              <w:rPr>
                <w:spacing w:val="-2"/>
              </w:rPr>
              <w:t>•</w:t>
            </w:r>
            <w:r>
              <w:rPr>
                <w:spacing w:val="-2"/>
              </w:rPr>
              <w:t>David Eun </w:t>
            </w:r>
            <w:r>
              <w:rPr/>
              <w:t xml:space="preserve"> </w:t>
            </w:r>
            <w:r>
              <w:rPr/>
              <w:drawing>
                <wp:inline distT="0" distB="0" distL="0" distR="0">
                  <wp:extent cx="142875" cy="139700"/>
                  <wp:effectExtent l="0" t="0" r="0" b="0"/>
                  <wp:docPr id="19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77" descr=""/>
                          <pic:cNvPicPr>
                            <a:picLocks noChangeAspect="1" noChangeArrowheads="1"/>
                          </pic:cNvPicPr>
                        </pic:nvPicPr>
                        <pic:blipFill>
                          <a:blip r:embed="rId80"/>
                          <a:stretch>
                            <a:fillRect/>
                          </a:stretch>
                        </pic:blipFill>
                        <pic:spPr bwMode="auto">
                          <a:xfrm>
                            <a:off x="0" y="0"/>
                            <a:ext cx="142875" cy="139700"/>
                          </a:xfrm>
                          <a:prstGeom prst="rect">
                            <a:avLst/>
                          </a:prstGeom>
                        </pic:spPr>
                      </pic:pic>
                    </a:graphicData>
                  </a:graphic>
                </wp:inline>
              </w:drawing>
            </w:r>
            <w:r>
              <w:rPr/>
              <w:t xml:space="preserve"> </w:t>
            </w:r>
          </w:p>
          <w:p>
            <w:pPr>
              <w:pStyle w:val="TableContents"/>
              <w:bidi w:val="0"/>
              <w:spacing w:lineRule="atLeast" w:line="200" w:before="160" w:after="0"/>
              <w:ind w:left="360" w:right="0" w:hanging="0"/>
              <w:jc w:val="left"/>
              <w:rPr/>
            </w:pPr>
            <w:r>
              <w:rPr>
                <w:spacing w:val="-2"/>
              </w:rPr>
              <w:t>Thom Lachman</w:t>
            </w:r>
            <w:r>
              <w:rPr/>
              <w:t xml:space="preserve"> </w:t>
            </w:r>
            <w:r>
              <mc:AlternateContent>
                <mc:Choice Requires="wps">
                  <w:drawing>
                    <wp:anchor behindDoc="0" distT="101600" distB="0" distL="0" distR="0" simplePos="0" locked="0" layoutInCell="1" allowOverlap="1" relativeHeight="253">
                      <wp:simplePos x="0" y="0"/>
                      <wp:positionH relativeFrom="column">
                        <wp:align>left</wp:align>
                      </wp:positionH>
                      <wp:positionV relativeFrom="line">
                        <wp:align>top</wp:align>
                      </wp:positionV>
                      <wp:extent cx="228600" cy="350520"/>
                      <wp:effectExtent l="0" t="0" r="0" b="0"/>
                      <wp:wrapSquare wrapText="right"/>
                      <wp:docPr id="200" name="Frame12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left"/>
              <w:rPr/>
            </w:pPr>
            <w:r>
              <w:rPr>
                <w:spacing w:val="-2"/>
              </w:rPr>
              <w:t>Jean-Baptiste Wautier</w:t>
            </w:r>
            <w:r>
              <w:rPr/>
              <w:t xml:space="preserve"> </w:t>
            </w:r>
            <w:r>
              <mc:AlternateContent>
                <mc:Choice Requires="wps">
                  <w:drawing>
                    <wp:anchor behindDoc="0" distT="101600" distB="0" distL="0" distR="0" simplePos="0" locked="0" layoutInCell="1" allowOverlap="1" relativeHeight="254">
                      <wp:simplePos x="0" y="0"/>
                      <wp:positionH relativeFrom="column">
                        <wp:align>left</wp:align>
                      </wp:positionH>
                      <wp:positionV relativeFrom="line">
                        <wp:align>top</wp:align>
                      </wp:positionV>
                      <wp:extent cx="228600" cy="350520"/>
                      <wp:effectExtent l="0" t="0" r="0" b="0"/>
                      <wp:wrapSquare wrapText="right"/>
                      <wp:docPr id="201" name="Frame12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vMerge w:val="restart"/>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5799" w:type="dxa"/>
            <w:vMerge w:val="restart"/>
            <w:tcBorders>
              <w:bottom w:val="single" w:sz="8" w:space="0" w:color="7F7F7F"/>
            </w:tcBorders>
            <w:shd w:fill="E5E5E5" w:val="clear"/>
            <w:tcMar>
              <w:bottom w:w="260" w:type="dxa"/>
            </w:tcMar>
            <w:vAlign w:val="center"/>
          </w:tcPr>
          <w:p>
            <w:pPr>
              <w:pStyle w:val="TableContents"/>
              <w:bidi w:val="0"/>
              <w:spacing w:lineRule="atLeast" w:line="240" w:before="0" w:after="0"/>
              <w:ind w:left="360" w:right="0" w:hanging="0"/>
              <w:jc w:val="both"/>
              <w:rPr/>
            </w:pPr>
            <w:r>
              <w:rPr>
                <w:spacing w:val="-2"/>
              </w:rPr>
              <w:t>Reviewing and recommending technology strategies and understanding management’s infrastructure to ensure alignment with the Company’s business strategy and objectives</w:t>
            </w:r>
            <w:r>
              <w:rPr/>
              <w:t xml:space="preserve"> </w:t>
            </w:r>
            <w:r>
              <mc:AlternateContent>
                <mc:Choice Requires="wps">
                  <w:drawing>
                    <wp:anchor behindDoc="0" distT="0" distB="0" distL="0" distR="0" simplePos="0" locked="0" layoutInCell="1" allowOverlap="1" relativeHeight="255">
                      <wp:simplePos x="0" y="0"/>
                      <wp:positionH relativeFrom="column">
                        <wp:align>left</wp:align>
                      </wp:positionH>
                      <wp:positionV relativeFrom="line">
                        <wp:posOffset>635</wp:posOffset>
                      </wp:positionV>
                      <wp:extent cx="228600" cy="350520"/>
                      <wp:effectExtent l="0" t="0" r="0" b="0"/>
                      <wp:wrapSquare wrapText="right"/>
                      <wp:docPr id="202" name="Frame12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both"/>
              <w:rPr/>
            </w:pPr>
            <w:r>
              <w:rPr>
                <w:spacing w:val="-2"/>
              </w:rPr>
              <w:t>Reviewing and recommending artificial intelligence strategies and understanding management’s infrastructure to ensure alignment with the Company’s business strategy and objectives</w:t>
            </w:r>
            <w:r>
              <w:rPr/>
              <w:t xml:space="preserve"> </w:t>
            </w:r>
            <w:r>
              <mc:AlternateContent>
                <mc:Choice Requires="wps">
                  <w:drawing>
                    <wp:anchor behindDoc="0" distT="101600" distB="0" distL="0" distR="0" simplePos="0" locked="0" layoutInCell="1" allowOverlap="1" relativeHeight="256">
                      <wp:simplePos x="0" y="0"/>
                      <wp:positionH relativeFrom="column">
                        <wp:align>left</wp:align>
                      </wp:positionH>
                      <wp:positionV relativeFrom="line">
                        <wp:align>top</wp:align>
                      </wp:positionV>
                      <wp:extent cx="228600" cy="350520"/>
                      <wp:effectExtent l="0" t="0" r="0" b="0"/>
                      <wp:wrapSquare wrapText="right"/>
                      <wp:docPr id="203" name="Frame12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both"/>
              <w:rPr/>
            </w:pPr>
            <w:r>
              <w:rPr>
                <w:spacing w:val="-2"/>
              </w:rPr>
              <w:t>Providing strategic advice regarding emerging risks that impact the Company’s future strategy or current operations</w:t>
            </w:r>
            <w:r>
              <w:rPr/>
              <w:t xml:space="preserve"> </w:t>
            </w:r>
            <w:r>
              <mc:AlternateContent>
                <mc:Choice Requires="wps">
                  <w:drawing>
                    <wp:anchor behindDoc="0" distT="101600" distB="0" distL="0" distR="0" simplePos="0" locked="0" layoutInCell="1" allowOverlap="1" relativeHeight="257">
                      <wp:simplePos x="0" y="0"/>
                      <wp:positionH relativeFrom="column">
                        <wp:align>left</wp:align>
                      </wp:positionH>
                      <wp:positionV relativeFrom="line">
                        <wp:align>top</wp:align>
                      </wp:positionV>
                      <wp:extent cx="228600" cy="350520"/>
                      <wp:effectExtent l="0" t="0" r="0" b="0"/>
                      <wp:wrapSquare wrapText="right"/>
                      <wp:docPr id="204" name="Frame12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both"/>
              <w:rPr/>
            </w:pPr>
            <w:r>
              <w:rPr>
                <w:spacing w:val="-2"/>
              </w:rPr>
              <w:t>Advising on strategic investments in technology and providing guidance on fostering a culture of innovation within the Company, including with respect to artificial intelligence and other emerging technologies</w:t>
            </w:r>
            <w:r>
              <w:rPr/>
              <w:t xml:space="preserve"> </w:t>
            </w:r>
            <w:r>
              <mc:AlternateContent>
                <mc:Choice Requires="wps">
                  <w:drawing>
                    <wp:anchor behindDoc="0" distT="101600" distB="0" distL="0" distR="0" simplePos="0" locked="0" layoutInCell="1" allowOverlap="1" relativeHeight="258">
                      <wp:simplePos x="0" y="0"/>
                      <wp:positionH relativeFrom="column">
                        <wp:align>left</wp:align>
                      </wp:positionH>
                      <wp:positionV relativeFrom="line">
                        <wp:align>top</wp:align>
                      </wp:positionV>
                      <wp:extent cx="228600" cy="350520"/>
                      <wp:effectExtent l="0" t="0" r="0" b="0"/>
                      <wp:wrapSquare wrapText="right"/>
                      <wp:docPr id="205" name="Frame12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both"/>
              <w:rPr/>
            </w:pPr>
            <w:r>
              <w:rPr>
                <w:spacing w:val="-2"/>
              </w:rPr>
              <w:t>Making recommendations to the full Board for approval of technology investments when necessary</w:t>
            </w:r>
            <w:r>
              <w:rPr/>
              <w:t xml:space="preserve"> </w:t>
            </w:r>
            <w:r>
              <mc:AlternateContent>
                <mc:Choice Requires="wps">
                  <w:drawing>
                    <wp:anchor behindDoc="0" distT="101600" distB="0" distL="0" distR="0" simplePos="0" locked="0" layoutInCell="1" allowOverlap="1" relativeHeight="259">
                      <wp:simplePos x="0" y="0"/>
                      <wp:positionH relativeFrom="column">
                        <wp:align>left</wp:align>
                      </wp:positionH>
                      <wp:positionV relativeFrom="line">
                        <wp:align>top</wp:align>
                      </wp:positionV>
                      <wp:extent cx="228600" cy="350520"/>
                      <wp:effectExtent l="0" t="0" r="0" b="0"/>
                      <wp:wrapSquare wrapText="right"/>
                      <wp:docPr id="206" name="Frame12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both"/>
              <w:rPr>
                <w:spacing w:val="-2"/>
              </w:rPr>
            </w:pPr>
            <w:r>
              <w:rPr>
                <w:spacing w:val="-2"/>
              </w:rPr>
              <w:t xml:space="preserve">Providing regular reports to the Board regarding the above responsibilities </w:t>
            </w:r>
            <w:r>
              <mc:AlternateContent>
                <mc:Choice Requires="wps">
                  <w:drawing>
                    <wp:anchor behindDoc="0" distT="101600" distB="0" distL="0" distR="0" simplePos="0" locked="0" layoutInCell="1" allowOverlap="1" relativeHeight="260">
                      <wp:simplePos x="0" y="0"/>
                      <wp:positionH relativeFrom="column">
                        <wp:align>left</wp:align>
                      </wp:positionH>
                      <wp:positionV relativeFrom="line">
                        <wp:align>top</wp:align>
                      </wp:positionV>
                      <wp:extent cx="228600" cy="350520"/>
                      <wp:effectExtent l="0" t="0" r="0" b="0"/>
                      <wp:wrapSquare wrapText="right"/>
                      <wp:docPr id="207" name="Frame12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vMerge w:val="restart"/>
            <w:tcBorders>
              <w:bottom w:val="single" w:sz="8" w:space="0" w:color="7F7F7F"/>
            </w:tcBorders>
            <w:shd w:fill="E5E5E5"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08"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5799" w:type="dxa"/>
            <w:vMerge w:val="continue"/>
            <w:tcBorders>
              <w:bottom w:val="single" w:sz="8" w:space="0" w:color="7F7F7F"/>
            </w:tcBorders>
            <w:shd w:fill="E5E5E5" w:val="clear"/>
            <w:tcMar>
              <w:bottom w:w="260" w:type="dxa"/>
            </w:tcMar>
            <w:vAlign w:val="center"/>
          </w:tcPr>
          <w:p>
            <w:pPr>
              <w:pStyle w:val="Normal"/>
              <w:bidi w:val="0"/>
              <w:jc w:val="left"/>
              <w:rPr/>
            </w:pPr>
            <w:r>
              <w:rPr/>
            </w:r>
          </w:p>
        </w:tc>
        <w:tc>
          <w:tcPr>
            <w:tcW w:w="155" w:type="dxa"/>
            <w:vMerge w:val="continue"/>
            <w:tcBorders>
              <w:bottom w:val="single" w:sz="8" w:space="0" w:color="7F7F7F"/>
            </w:tcBorders>
            <w:shd w:fill="E5E5E5" w:val="clear"/>
            <w:tcMar>
              <w:bottom w:w="28" w:type="dxa"/>
            </w:tcMar>
            <w:vAlign w:val="center"/>
          </w:tcPr>
          <w:p>
            <w:pPr>
              <w:pStyle w:val="Normal"/>
              <w:bidi w:val="0"/>
              <w:jc w:val="left"/>
              <w:rPr/>
            </w:pPr>
            <w:r>
              <w:rPr/>
            </w:r>
          </w:p>
        </w:tc>
      </w:tr>
      <w:tr>
        <w:trPr/>
        <w:tc>
          <w:tcPr>
            <w:tcW w:w="124" w:type="dxa"/>
            <w:tcBorders/>
            <w:shd w:fill="BAD8EA" w:val="clear"/>
            <w:vAlign w:val="center"/>
          </w:tcPr>
          <w:p>
            <w:pPr>
              <w:pStyle w:val="TableContents"/>
              <w:bidi w:val="0"/>
              <w:spacing w:before="0" w:after="283"/>
              <w:jc w:val="left"/>
              <w:rPr/>
            </w:pPr>
            <w:r>
              <w:rPr/>
              <w:t>​</w:t>
            </w:r>
          </w:p>
        </w:tc>
        <w:tc>
          <w:tcPr>
            <w:tcW w:w="3008" w:type="dxa"/>
            <w:tcBorders/>
            <w:shd w:fill="BAD8EA" w:val="clear"/>
            <w:vAlign w:val="center"/>
          </w:tcPr>
          <w:p>
            <w:pPr>
              <w:pStyle w:val="TableContents"/>
              <w:bidi w:val="0"/>
              <w:spacing w:before="0" w:after="0"/>
              <w:jc w:val="center"/>
              <w:rPr/>
            </w:pPr>
            <w:r>
              <w:rPr>
                <w:spacing w:val="0"/>
              </w:rPr>
              <w:t>Key Skills and Experiences Represented</w:t>
            </w:r>
            <w:r>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5799" w:type="dxa"/>
            <w:vMerge w:val="continue"/>
            <w:tcBorders>
              <w:bottom w:val="single" w:sz="8" w:space="0" w:color="7F7F7F"/>
            </w:tcBorders>
            <w:shd w:fill="E5E5E5" w:val="clear"/>
            <w:tcMar>
              <w:bottom w:w="260" w:type="dxa"/>
            </w:tcMar>
            <w:vAlign w:val="center"/>
          </w:tcPr>
          <w:p>
            <w:pPr>
              <w:pStyle w:val="Normal"/>
              <w:bidi w:val="0"/>
              <w:jc w:val="left"/>
              <w:rPr/>
            </w:pPr>
            <w:r>
              <w:rPr/>
            </w:r>
          </w:p>
        </w:tc>
        <w:tc>
          <w:tcPr>
            <w:tcW w:w="155" w:type="dxa"/>
            <w:vMerge w:val="continue"/>
            <w:tcBorders>
              <w:bottom w:val="single" w:sz="8" w:space="0" w:color="7F7F7F"/>
            </w:tcBorders>
            <w:shd w:fill="E5E5E5" w:val="clear"/>
            <w:tcMar>
              <w:bottom w:w="28" w:type="dxa"/>
            </w:tcMar>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3008" w:type="dxa"/>
            <w:tcBorders/>
            <w:vAlign w:val="center"/>
          </w:tcPr>
          <w:p>
            <w:pPr>
              <w:pStyle w:val="TableContents"/>
              <w:bidi w:val="0"/>
              <w:spacing w:lineRule="atLeast" w:line="200" w:before="0" w:after="0"/>
              <w:ind w:left="360" w:right="0" w:hanging="0"/>
              <w:jc w:val="left"/>
              <w:rPr/>
            </w:pPr>
            <w:r>
              <w:rPr>
                <w:spacing w:val="-2"/>
              </w:rPr>
              <w:t>Information technology</w:t>
            </w:r>
            <w:r>
              <w:rPr/>
              <w:t xml:space="preserve"> </w:t>
            </w:r>
            <w:r>
              <mc:AlternateContent>
                <mc:Choice Requires="wps">
                  <w:drawing>
                    <wp:anchor behindDoc="0" distT="0" distB="0" distL="0" distR="0" simplePos="0" locked="0" layoutInCell="1" allowOverlap="1" relativeHeight="261">
                      <wp:simplePos x="0" y="0"/>
                      <wp:positionH relativeFrom="column">
                        <wp:align>left</wp:align>
                      </wp:positionH>
                      <wp:positionV relativeFrom="line">
                        <wp:posOffset>635</wp:posOffset>
                      </wp:positionV>
                      <wp:extent cx="228600" cy="350520"/>
                      <wp:effectExtent l="0" t="0" r="0" b="0"/>
                      <wp:wrapSquare wrapText="right"/>
                      <wp:docPr id="208" name="Frame12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left"/>
              <w:rPr/>
            </w:pPr>
            <w:r>
              <w:rPr>
                <w:spacing w:val="-2"/>
              </w:rPr>
              <w:t>Artificial Intelligence</w:t>
            </w:r>
            <w:r>
              <w:rPr/>
              <w:t xml:space="preserve"> </w:t>
            </w:r>
            <w:r>
              <mc:AlternateContent>
                <mc:Choice Requires="wps">
                  <w:drawing>
                    <wp:anchor behindDoc="0" distT="101600" distB="0" distL="0" distR="0" simplePos="0" locked="0" layoutInCell="1" allowOverlap="1" relativeHeight="262">
                      <wp:simplePos x="0" y="0"/>
                      <wp:positionH relativeFrom="column">
                        <wp:align>left</wp:align>
                      </wp:positionH>
                      <wp:positionV relativeFrom="line">
                        <wp:align>top</wp:align>
                      </wp:positionV>
                      <wp:extent cx="228600" cy="350520"/>
                      <wp:effectExtent l="0" t="0" r="0" b="0"/>
                      <wp:wrapSquare wrapText="right"/>
                      <wp:docPr id="209" name="Frame13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left"/>
              <w:rPr/>
            </w:pPr>
            <w:r>
              <w:rPr>
                <w:spacing w:val="-2"/>
              </w:rPr>
              <w:t>Operations and strategy</w:t>
            </w:r>
            <w:r>
              <w:rPr/>
              <w:t xml:space="preserve"> </w:t>
            </w:r>
            <w:r>
              <mc:AlternateContent>
                <mc:Choice Requires="wps">
                  <w:drawing>
                    <wp:anchor behindDoc="0" distT="101600" distB="0" distL="0" distR="0" simplePos="0" locked="0" layoutInCell="1" allowOverlap="1" relativeHeight="263">
                      <wp:simplePos x="0" y="0"/>
                      <wp:positionH relativeFrom="column">
                        <wp:align>left</wp:align>
                      </wp:positionH>
                      <wp:positionV relativeFrom="line">
                        <wp:align>top</wp:align>
                      </wp:positionV>
                      <wp:extent cx="228600" cy="350520"/>
                      <wp:effectExtent l="0" t="0" r="0" b="0"/>
                      <wp:wrapSquare wrapText="right"/>
                      <wp:docPr id="210" name="Frame13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left"/>
              <w:rPr/>
            </w:pPr>
            <w:r>
              <w:rPr>
                <w:spacing w:val="-2"/>
              </w:rPr>
              <w:t>Evaluating risks related to technology, insurance and artificial intelligence</w:t>
            </w:r>
            <w:r>
              <w:rPr/>
              <w:t xml:space="preserve"> </w:t>
            </w:r>
            <w:r>
              <mc:AlternateContent>
                <mc:Choice Requires="wps">
                  <w:drawing>
                    <wp:anchor behindDoc="0" distT="101600" distB="0" distL="0" distR="0" simplePos="0" locked="0" layoutInCell="1" allowOverlap="1" relativeHeight="264">
                      <wp:simplePos x="0" y="0"/>
                      <wp:positionH relativeFrom="column">
                        <wp:align>left</wp:align>
                      </wp:positionH>
                      <wp:positionV relativeFrom="line">
                        <wp:align>top</wp:align>
                      </wp:positionV>
                      <wp:extent cx="228600" cy="350520"/>
                      <wp:effectExtent l="0" t="0" r="0" b="0"/>
                      <wp:wrapSquare wrapText="right"/>
                      <wp:docPr id="211" name="Frame13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left"/>
              <w:rPr/>
            </w:pPr>
            <w:r>
              <w:rPr>
                <w:spacing w:val="-2"/>
              </w:rPr>
              <w:t>Real estate, capital markets, marketing and technology</w:t>
            </w:r>
            <w:r>
              <w:rPr/>
              <w:t xml:space="preserve"> </w:t>
            </w:r>
            <w:r>
              <mc:AlternateContent>
                <mc:Choice Requires="wps">
                  <w:drawing>
                    <wp:anchor behindDoc="0" distT="101600" distB="0" distL="0" distR="0" simplePos="0" locked="0" layoutInCell="1" allowOverlap="1" relativeHeight="265">
                      <wp:simplePos x="0" y="0"/>
                      <wp:positionH relativeFrom="column">
                        <wp:align>left</wp:align>
                      </wp:positionH>
                      <wp:positionV relativeFrom="line">
                        <wp:align>top</wp:align>
                      </wp:positionV>
                      <wp:extent cx="228600" cy="350520"/>
                      <wp:effectExtent l="0" t="0" r="0" b="0"/>
                      <wp:wrapSquare wrapText="right"/>
                      <wp:docPr id="212" name="Frame13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5799" w:type="dxa"/>
            <w:vMerge w:val="continue"/>
            <w:tcBorders>
              <w:bottom w:val="single" w:sz="8" w:space="0" w:color="7F7F7F"/>
            </w:tcBorders>
            <w:shd w:fill="E5E5E5" w:val="clear"/>
            <w:tcMar>
              <w:bottom w:w="260" w:type="dxa"/>
            </w:tcMar>
            <w:vAlign w:val="center"/>
          </w:tcPr>
          <w:p>
            <w:pPr>
              <w:pStyle w:val="Normal"/>
              <w:bidi w:val="0"/>
              <w:jc w:val="left"/>
              <w:rPr/>
            </w:pPr>
            <w:r>
              <w:rPr/>
            </w:r>
          </w:p>
        </w:tc>
        <w:tc>
          <w:tcPr>
            <w:tcW w:w="155" w:type="dxa"/>
            <w:vMerge w:val="continue"/>
            <w:tcBorders>
              <w:bottom w:val="single" w:sz="8" w:space="0" w:color="7F7F7F"/>
            </w:tcBorders>
            <w:shd w:fill="E5E5E5" w:val="clear"/>
            <w:tcMar>
              <w:bottom w:w="28" w:type="dxa"/>
            </w:tcMar>
            <w:vAlign w:val="center"/>
          </w:tcPr>
          <w:p>
            <w:pPr>
              <w:pStyle w:val="Normal"/>
              <w:bidi w:val="0"/>
              <w:jc w:val="left"/>
              <w:rPr/>
            </w:pPr>
            <w:r>
              <w:rPr/>
            </w:r>
          </w:p>
        </w:tc>
      </w:tr>
    </w:tbl>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18 \ 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BOA"/>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The Board, Its Committees and Its Compensation</w:t>
      </w:r>
      <w:r>
        <w:rPr>
          <w:rFonts w:ascii="Arial;Helvetica;sans-serif" w:hAnsi="Arial;Helvetica;sans-serif"/>
          <w:b/>
          <w:i w:val="false"/>
          <w:caps w:val="false"/>
          <w:smallCaps w:val="false"/>
          <w:color w:val="7F7F7F"/>
          <w:sz w:val="22"/>
        </w:rPr>
        <w:t>​</w:t>
      </w:r>
    </w:p>
    <w:tbl>
      <w:tblPr>
        <w:tblW w:w="9304" w:type="dxa"/>
        <w:jc w:val="left"/>
        <w:tblInd w:w="901" w:type="dxa"/>
        <w:tblLayout w:type="fixed"/>
        <w:tblCellMar>
          <w:top w:w="0" w:type="dxa"/>
          <w:left w:w="0" w:type="dxa"/>
          <w:bottom w:w="0" w:type="dxa"/>
          <w:right w:w="0" w:type="dxa"/>
        </w:tblCellMar>
      </w:tblPr>
      <w:tblGrid>
        <w:gridCol w:w="124"/>
        <w:gridCol w:w="2330"/>
        <w:gridCol w:w="109"/>
        <w:gridCol w:w="109"/>
        <w:gridCol w:w="6477"/>
        <w:gridCol w:w="155"/>
      </w:tblGrid>
      <w:tr>
        <w:trPr/>
        <w:tc>
          <w:tcPr>
            <w:tcW w:w="124" w:type="dxa"/>
            <w:tcBorders/>
            <w:shd w:fill="BAD8EA" w:val="clear"/>
            <w:vAlign w:val="center"/>
          </w:tcPr>
          <w:p>
            <w:pPr>
              <w:pStyle w:val="TableContents"/>
              <w:bidi w:val="0"/>
              <w:spacing w:before="0" w:after="283"/>
              <w:jc w:val="left"/>
              <w:rPr/>
            </w:pPr>
            <w:r>
              <w:rPr/>
              <w:t>​</w:t>
            </w:r>
          </w:p>
        </w:tc>
        <w:tc>
          <w:tcPr>
            <w:tcW w:w="2330" w:type="dxa"/>
            <w:tcBorders/>
            <w:shd w:fill="BAD8EA" w:val="clear"/>
            <w:vAlign w:val="center"/>
          </w:tcPr>
          <w:p>
            <w:pPr>
              <w:pStyle w:val="TableContents"/>
              <w:bidi w:val="0"/>
              <w:spacing w:before="0" w:after="0"/>
              <w:jc w:val="left"/>
              <w:rPr>
                <w:sz w:val="28"/>
              </w:rPr>
            </w:pPr>
            <w:r>
              <w:rPr>
                <w:caps/>
                <w:spacing w:val="-4"/>
                <w:sz w:val="28"/>
              </w:rPr>
              <w:t>Insurance</w:t>
            </w:r>
            <w:r>
              <w:rPr>
                <w:sz w:val="28"/>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6477" w:type="dxa"/>
            <w:tcBorders/>
            <w:shd w:fill="BAD8EA" w:val="clear"/>
            <w:vAlign w:val="center"/>
          </w:tcPr>
          <w:p>
            <w:pPr>
              <w:pStyle w:val="TableContents"/>
              <w:bidi w:val="0"/>
              <w:spacing w:before="0" w:after="0"/>
              <w:jc w:val="right"/>
              <w:rPr/>
            </w:pPr>
            <w:r>
              <w:rPr>
                <w:spacing w:val="0"/>
              </w:rPr>
              <w:t>Meetings in 2025: N/A</w:t>
            </w:r>
            <w:r>
              <w:rPr/>
              <w:t xml:space="preserve"> </w:t>
            </w:r>
          </w:p>
        </w:tc>
        <w:tc>
          <w:tcPr>
            <w:tcW w:w="155" w:type="dxa"/>
            <w:tcBorders/>
            <w:shd w:fill="BAD8EA" w:val="clear"/>
            <w:vAlign w:val="center"/>
          </w:tcPr>
          <w:p>
            <w:pPr>
              <w:pStyle w:val="TableContents"/>
              <w:bidi w:val="0"/>
              <w:spacing w:before="0" w:after="283"/>
              <w:jc w:val="left"/>
              <w:rPr/>
            </w:pPr>
            <w:r>
              <w:rPr/>
              <w:t>​</w:t>
            </w:r>
          </w:p>
        </w:tc>
      </w:tr>
      <w:tr>
        <w:trPr/>
        <w:tc>
          <w:tcPr>
            <w:tcW w:w="124" w:type="dxa"/>
            <w:tcBorders/>
            <w:shd w:fill="7F7F7F" w:val="clear"/>
            <w:vAlign w:val="center"/>
          </w:tcPr>
          <w:p>
            <w:pPr>
              <w:pStyle w:val="TableContents"/>
              <w:bidi w:val="0"/>
              <w:spacing w:before="0" w:after="283"/>
              <w:jc w:val="left"/>
              <w:rPr/>
            </w:pPr>
            <w:r>
              <w:rPr/>
              <w:t>​</w:t>
            </w:r>
          </w:p>
        </w:tc>
        <w:tc>
          <w:tcPr>
            <w:tcW w:w="2330" w:type="dxa"/>
            <w:tcBorders/>
            <w:shd w:fill="7F7F7F" w:val="clear"/>
            <w:vAlign w:val="center"/>
          </w:tcPr>
          <w:p>
            <w:pPr>
              <w:pStyle w:val="TableContents"/>
              <w:bidi w:val="0"/>
              <w:spacing w:before="0" w:after="0"/>
              <w:jc w:val="center"/>
              <w:rPr>
                <w:color w:val="FFFFFF"/>
              </w:rPr>
            </w:pPr>
            <w:r>
              <w:rPr>
                <w:color w:val="FFFFFF"/>
                <w:spacing w:val="-3"/>
              </w:rPr>
              <w:t> </w:t>
            </w:r>
            <w:r>
              <w:rPr>
                <w:color w:val="FFFFFF"/>
              </w:rPr>
              <w:t xml:space="preserve"> </w:t>
            </w:r>
          </w:p>
        </w:tc>
        <w:tc>
          <w:tcPr>
            <w:tcW w:w="109" w:type="dxa"/>
            <w:tcBorders/>
            <w:shd w:fill="7F7F7F"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6477" w:type="dxa"/>
            <w:tcBorders/>
            <w:shd w:fill="E5E5E5" w:val="clear"/>
            <w:vAlign w:val="center"/>
          </w:tcPr>
          <w:p>
            <w:pPr>
              <w:pStyle w:val="TableContents"/>
              <w:bidi w:val="0"/>
              <w:spacing w:before="0" w:after="283"/>
              <w:jc w:val="left"/>
              <w:rPr/>
            </w:pPr>
            <w:r>
              <w:rPr>
                <w:spacing w:val="0"/>
              </w:rPr>
              <w:t>Key Responsibilities</w:t>
            </w:r>
            <w:r>
              <w:rPr/>
              <w:t xml:space="preserve"> </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lineRule="atLeast" w:line="240" w:before="0" w:after="0"/>
              <w:ind w:left="280" w:right="0" w:hanging="0"/>
              <w:jc w:val="left"/>
              <w:rPr/>
            </w:pPr>
            <w:r>
              <w:rPr>
                <w:spacing w:val="-2"/>
              </w:rPr>
              <w:t>•</w:t>
            </w:r>
            <w:r>
              <w:rPr>
                <w:spacing w:val="-2"/>
              </w:rPr>
              <w:t>Marc Grandisson </w:t>
            </w:r>
            <w:r>
              <w:rPr/>
              <w:t xml:space="preserve"> </w:t>
            </w:r>
            <w:r>
              <w:rPr/>
              <w:drawing>
                <wp:inline distT="0" distB="0" distL="0" distR="0">
                  <wp:extent cx="142875" cy="139700"/>
                  <wp:effectExtent l="0" t="0" r="0" b="0"/>
                  <wp:docPr id="21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78" descr=""/>
                          <pic:cNvPicPr>
                            <a:picLocks noChangeAspect="1" noChangeArrowheads="1"/>
                          </pic:cNvPicPr>
                        </pic:nvPicPr>
                        <pic:blipFill>
                          <a:blip r:embed="rId81"/>
                          <a:stretch>
                            <a:fillRect/>
                          </a:stretch>
                        </pic:blipFill>
                        <pic:spPr bwMode="auto">
                          <a:xfrm>
                            <a:off x="0" y="0"/>
                            <a:ext cx="142875" cy="139700"/>
                          </a:xfrm>
                          <a:prstGeom prst="rect">
                            <a:avLst/>
                          </a:prstGeom>
                        </pic:spPr>
                      </pic:pic>
                    </a:graphicData>
                  </a:graphic>
                </wp:inline>
              </w:drawing>
            </w:r>
            <w:r>
              <w:rPr/>
              <w:t xml:space="preserve"> </w:t>
            </w:r>
          </w:p>
          <w:p>
            <w:pPr>
              <w:pStyle w:val="TableContents"/>
              <w:bidi w:val="0"/>
              <w:spacing w:lineRule="atLeast" w:line="200" w:before="160" w:after="0"/>
              <w:ind w:left="360" w:right="0" w:hanging="0"/>
              <w:jc w:val="left"/>
              <w:rPr/>
            </w:pPr>
            <w:r>
              <w:rPr>
                <w:spacing w:val="-2"/>
              </w:rPr>
              <w:t>William Ackman</w:t>
            </w:r>
            <w:r>
              <w:rPr/>
              <w:t xml:space="preserve"> </w:t>
            </w:r>
            <w:r>
              <mc:AlternateContent>
                <mc:Choice Requires="wps">
                  <w:drawing>
                    <wp:anchor behindDoc="0" distT="101600" distB="0" distL="0" distR="0" simplePos="0" locked="0" layoutInCell="1" allowOverlap="1" relativeHeight="266">
                      <wp:simplePos x="0" y="0"/>
                      <wp:positionH relativeFrom="column">
                        <wp:align>left</wp:align>
                      </wp:positionH>
                      <wp:positionV relativeFrom="line">
                        <wp:align>top</wp:align>
                      </wp:positionV>
                      <wp:extent cx="228600" cy="350520"/>
                      <wp:effectExtent l="0" t="0" r="0" b="0"/>
                      <wp:wrapSquare wrapText="right"/>
                      <wp:docPr id="214" name="Frame13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left"/>
              <w:rPr/>
            </w:pPr>
            <w:r>
              <w:rPr>
                <w:spacing w:val="-2"/>
              </w:rPr>
              <w:t>Ryan Israel</w:t>
            </w:r>
            <w:r>
              <w:rPr/>
              <w:t xml:space="preserve"> </w:t>
            </w:r>
            <w:r>
              <mc:AlternateContent>
                <mc:Choice Requires="wps">
                  <w:drawing>
                    <wp:anchor behindDoc="0" distT="101600" distB="0" distL="0" distR="0" simplePos="0" locked="0" layoutInCell="1" allowOverlap="1" relativeHeight="267">
                      <wp:simplePos x="0" y="0"/>
                      <wp:positionH relativeFrom="column">
                        <wp:align>left</wp:align>
                      </wp:positionH>
                      <wp:positionV relativeFrom="line">
                        <wp:align>top</wp:align>
                      </wp:positionV>
                      <wp:extent cx="228600" cy="350520"/>
                      <wp:effectExtent l="0" t="0" r="0" b="0"/>
                      <wp:wrapSquare wrapText="right"/>
                      <wp:docPr id="215" name="Frame13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vMerge w:val="restart"/>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6477" w:type="dxa"/>
            <w:vMerge w:val="restart"/>
            <w:tcBorders>
              <w:bottom w:val="single" w:sz="8" w:space="0" w:color="7F7F7F"/>
            </w:tcBorders>
            <w:shd w:fill="E5E5E5" w:val="clear"/>
            <w:tcMar>
              <w:bottom w:w="28" w:type="dxa"/>
            </w:tcMar>
            <w:vAlign w:val="center"/>
          </w:tcPr>
          <w:p>
            <w:pPr>
              <w:pStyle w:val="TableContents"/>
              <w:bidi w:val="0"/>
              <w:spacing w:lineRule="atLeast" w:line="240" w:before="0" w:after="0"/>
              <w:ind w:left="360" w:right="0" w:hanging="0"/>
              <w:jc w:val="both"/>
              <w:rPr/>
            </w:pPr>
            <w:r>
              <w:rPr>
                <w:spacing w:val="-2"/>
              </w:rPr>
              <w:t>Overseeing, reviewing, and discussing with management the strategy, integration, business plan, operating performance, capital allocation, risk profile, and material regulatory and compliance matters of the Company’s insurance business and insurance-related subsidiaries and businesses</w:t>
            </w:r>
            <w:r>
              <w:rPr/>
              <w:t xml:space="preserve"> </w:t>
            </w:r>
            <w:r>
              <mc:AlternateContent>
                <mc:Choice Requires="wps">
                  <w:drawing>
                    <wp:anchor behindDoc="0" distT="0" distB="0" distL="0" distR="0" simplePos="0" locked="0" layoutInCell="1" allowOverlap="1" relativeHeight="268">
                      <wp:simplePos x="0" y="0"/>
                      <wp:positionH relativeFrom="column">
                        <wp:align>left</wp:align>
                      </wp:positionH>
                      <wp:positionV relativeFrom="line">
                        <wp:posOffset>635</wp:posOffset>
                      </wp:positionV>
                      <wp:extent cx="228600" cy="350520"/>
                      <wp:effectExtent l="0" t="0" r="0" b="0"/>
                      <wp:wrapSquare wrapText="right"/>
                      <wp:docPr id="216" name="Frame13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both"/>
              <w:rPr/>
            </w:pPr>
            <w:r>
              <w:rPr>
                <w:spacing w:val="-2"/>
              </w:rPr>
              <w:t>Reviewing with management material strategic initiatives, capital actions, transactions, partnerships, reinsurance arrangements, financings, and other significant matters relating principally to the Company’s insurance business before such matters are presented to the full Board, when appropriate</w:t>
            </w:r>
            <w:r>
              <w:rPr/>
              <w:t xml:space="preserve"> </w:t>
            </w:r>
            <w:r>
              <mc:AlternateContent>
                <mc:Choice Requires="wps">
                  <w:drawing>
                    <wp:anchor behindDoc="0" distT="101600" distB="0" distL="0" distR="0" simplePos="0" locked="0" layoutInCell="1" allowOverlap="1" relativeHeight="269">
                      <wp:simplePos x="0" y="0"/>
                      <wp:positionH relativeFrom="column">
                        <wp:align>left</wp:align>
                      </wp:positionH>
                      <wp:positionV relativeFrom="line">
                        <wp:align>top</wp:align>
                      </wp:positionV>
                      <wp:extent cx="228600" cy="350520"/>
                      <wp:effectExtent l="0" t="0" r="0" b="0"/>
                      <wp:wrapSquare wrapText="right"/>
                      <wp:docPr id="217" name="Frame13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both"/>
              <w:rPr/>
            </w:pPr>
            <w:r>
              <w:rPr>
                <w:spacing w:val="-2"/>
              </w:rPr>
              <w:t>Reviewing with management the insurance business organizational structure, senior management bench strength, succession considerations, and governance framework, and making recommendations to the full Board as the Insurance Committee deems appropriate</w:t>
            </w:r>
            <w:r>
              <w:rPr/>
              <w:t xml:space="preserve"> </w:t>
            </w:r>
            <w:r>
              <mc:AlternateContent>
                <mc:Choice Requires="wps">
                  <w:drawing>
                    <wp:anchor behindDoc="0" distT="101600" distB="0" distL="0" distR="0" simplePos="0" locked="0" layoutInCell="1" allowOverlap="1" relativeHeight="272">
                      <wp:simplePos x="0" y="0"/>
                      <wp:positionH relativeFrom="column">
                        <wp:align>left</wp:align>
                      </wp:positionH>
                      <wp:positionV relativeFrom="line">
                        <wp:align>top</wp:align>
                      </wp:positionV>
                      <wp:extent cx="228600" cy="350520"/>
                      <wp:effectExtent l="0" t="0" r="0" b="0"/>
                      <wp:wrapSquare wrapText="right"/>
                      <wp:docPr id="218" name="Frame13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both"/>
              <w:rPr/>
            </w:pPr>
            <w:r>
              <w:rPr>
                <w:spacing w:val="-2"/>
              </w:rPr>
              <w:t>Retaining, at the Company’s expense, such legal, financial, actuarial, regulatory, or other advisors as the Insurance Committee deems necessary or appropriate to carry out its responsibilities</w:t>
            </w:r>
            <w:r>
              <w:rPr/>
              <w:t xml:space="preserve"> </w:t>
            </w:r>
            <w:r>
              <mc:AlternateContent>
                <mc:Choice Requires="wps">
                  <w:drawing>
                    <wp:anchor behindDoc="0" distT="101600" distB="0" distL="0" distR="0" simplePos="0" locked="0" layoutInCell="1" allowOverlap="1" relativeHeight="271">
                      <wp:simplePos x="0" y="0"/>
                      <wp:positionH relativeFrom="column">
                        <wp:align>left</wp:align>
                      </wp:positionH>
                      <wp:positionV relativeFrom="line">
                        <wp:align>top</wp:align>
                      </wp:positionV>
                      <wp:extent cx="228600" cy="350520"/>
                      <wp:effectExtent l="0" t="0" r="0" b="0"/>
                      <wp:wrapSquare wrapText="right"/>
                      <wp:docPr id="219" name="Frame13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both"/>
              <w:rPr>
                <w:spacing w:val="-2"/>
              </w:rPr>
            </w:pPr>
            <w:r>
              <w:rPr>
                <w:spacing w:val="-2"/>
              </w:rPr>
              <w:t xml:space="preserve">Providing regular reports to the Board regarding the above responsibilities </w:t>
            </w:r>
            <w:r>
              <mc:AlternateContent>
                <mc:Choice Requires="wps">
                  <w:drawing>
                    <wp:anchor behindDoc="0" distT="101600" distB="0" distL="0" distR="0" simplePos="0" locked="0" layoutInCell="1" allowOverlap="1" relativeHeight="270">
                      <wp:simplePos x="0" y="0"/>
                      <wp:positionH relativeFrom="column">
                        <wp:align>left</wp:align>
                      </wp:positionH>
                      <wp:positionV relativeFrom="line">
                        <wp:align>top</wp:align>
                      </wp:positionV>
                      <wp:extent cx="228600" cy="350520"/>
                      <wp:effectExtent l="0" t="0" r="0" b="0"/>
                      <wp:wrapSquare wrapText="right"/>
                      <wp:docPr id="220" name="Frame14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vMerge w:val="restart"/>
            <w:tcBorders>
              <w:bottom w:val="single" w:sz="8" w:space="0" w:color="7F7F7F"/>
            </w:tcBorders>
            <w:shd w:fill="E5E5E5"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6477"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55" w:type="dxa"/>
            <w:vMerge w:val="continue"/>
            <w:tcBorders>
              <w:bottom w:val="single" w:sz="8" w:space="0" w:color="7F7F7F"/>
            </w:tcBorders>
            <w:shd w:fill="E5E5E5" w:val="clear"/>
            <w:tcMar>
              <w:bottom w:w="28" w:type="dxa"/>
            </w:tcMar>
            <w:vAlign w:val="center"/>
          </w:tcPr>
          <w:p>
            <w:pPr>
              <w:pStyle w:val="Normal"/>
              <w:bidi w:val="0"/>
              <w:jc w:val="left"/>
              <w:rPr/>
            </w:pPr>
            <w:r>
              <w:rPr/>
            </w:r>
          </w:p>
        </w:tc>
      </w:tr>
      <w:tr>
        <w:trPr/>
        <w:tc>
          <w:tcPr>
            <w:tcW w:w="124" w:type="dxa"/>
            <w:tcBorders/>
            <w:shd w:fill="BAD8EA" w:val="clear"/>
            <w:vAlign w:val="center"/>
          </w:tcPr>
          <w:p>
            <w:pPr>
              <w:pStyle w:val="TableContents"/>
              <w:bidi w:val="0"/>
              <w:spacing w:before="0" w:after="283"/>
              <w:jc w:val="left"/>
              <w:rPr/>
            </w:pPr>
            <w:r>
              <w:rPr/>
              <w:t>​</w:t>
            </w:r>
          </w:p>
        </w:tc>
        <w:tc>
          <w:tcPr>
            <w:tcW w:w="2330" w:type="dxa"/>
            <w:tcBorders/>
            <w:shd w:fill="BAD8EA" w:val="clear"/>
            <w:vAlign w:val="center"/>
          </w:tcPr>
          <w:p>
            <w:pPr>
              <w:pStyle w:val="TableContents"/>
              <w:bidi w:val="0"/>
              <w:spacing w:before="0" w:after="0"/>
              <w:jc w:val="center"/>
              <w:rPr/>
            </w:pPr>
            <w:r>
              <w:rPr>
                <w:spacing w:val="0"/>
              </w:rPr>
              <w:t>Key Skills and Experiences Represented</w:t>
            </w:r>
            <w:r>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6477"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55" w:type="dxa"/>
            <w:vMerge w:val="continue"/>
            <w:tcBorders>
              <w:bottom w:val="single" w:sz="8" w:space="0" w:color="7F7F7F"/>
            </w:tcBorders>
            <w:shd w:fill="E5E5E5" w:val="clear"/>
            <w:tcMar>
              <w:bottom w:w="28" w:type="dxa"/>
            </w:tcMar>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lineRule="atLeast" w:line="240" w:before="0" w:after="0"/>
              <w:ind w:left="360" w:right="0" w:hanging="0"/>
              <w:jc w:val="left"/>
              <w:rPr/>
            </w:pPr>
            <w:r>
              <w:rPr>
                <w:spacing w:val="-2"/>
              </w:rPr>
              <w:t>Insurance and reinsurance industry expertise</w:t>
            </w:r>
            <w:r>
              <w:rPr/>
              <w:t xml:space="preserve"> </w:t>
            </w:r>
            <w:r>
              <mc:AlternateContent>
                <mc:Choice Requires="wps">
                  <w:drawing>
                    <wp:anchor behindDoc="0" distT="0" distB="0" distL="0" distR="0" simplePos="0" locked="0" layoutInCell="1" allowOverlap="1" relativeHeight="279">
                      <wp:simplePos x="0" y="0"/>
                      <wp:positionH relativeFrom="column">
                        <wp:align>left</wp:align>
                      </wp:positionH>
                      <wp:positionV relativeFrom="line">
                        <wp:posOffset>635</wp:posOffset>
                      </wp:positionV>
                      <wp:extent cx="228600" cy="350520"/>
                      <wp:effectExtent l="0" t="0" r="0" b="0"/>
                      <wp:wrapSquare wrapText="right"/>
                      <wp:docPr id="221" name="Frame14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left"/>
              <w:rPr/>
            </w:pPr>
            <w:r>
              <w:rPr>
                <w:spacing w:val="-2"/>
              </w:rPr>
              <w:t>Capital markets and capital allocation</w:t>
            </w:r>
            <w:r>
              <w:rPr/>
              <w:t xml:space="preserve"> </w:t>
            </w:r>
            <w:r>
              <mc:AlternateContent>
                <mc:Choice Requires="wps">
                  <w:drawing>
                    <wp:anchor behindDoc="0" distT="101600" distB="0" distL="0" distR="0" simplePos="0" locked="0" layoutInCell="1" allowOverlap="1" relativeHeight="278">
                      <wp:simplePos x="0" y="0"/>
                      <wp:positionH relativeFrom="column">
                        <wp:align>left</wp:align>
                      </wp:positionH>
                      <wp:positionV relativeFrom="line">
                        <wp:align>top</wp:align>
                      </wp:positionV>
                      <wp:extent cx="228600" cy="350520"/>
                      <wp:effectExtent l="0" t="0" r="0" b="0"/>
                      <wp:wrapSquare wrapText="right"/>
                      <wp:docPr id="222" name="Frame14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left"/>
              <w:rPr/>
            </w:pPr>
            <w:r>
              <w:rPr>
                <w:spacing w:val="-2"/>
              </w:rPr>
              <w:t>Specialty underwriting and risk management</w:t>
            </w:r>
            <w:r>
              <w:rPr/>
              <w:t xml:space="preserve"> </w:t>
            </w:r>
            <w:r>
              <mc:AlternateContent>
                <mc:Choice Requires="wps">
                  <w:drawing>
                    <wp:anchor behindDoc="0" distT="101600" distB="0" distL="0" distR="0" simplePos="0" locked="0" layoutInCell="1" allowOverlap="1" relativeHeight="277">
                      <wp:simplePos x="0" y="0"/>
                      <wp:positionH relativeFrom="column">
                        <wp:align>left</wp:align>
                      </wp:positionH>
                      <wp:positionV relativeFrom="line">
                        <wp:align>top</wp:align>
                      </wp:positionV>
                      <wp:extent cx="228600" cy="350520"/>
                      <wp:effectExtent l="0" t="0" r="0" b="0"/>
                      <wp:wrapSquare wrapText="right"/>
                      <wp:docPr id="223" name="Frame14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left"/>
              <w:rPr/>
            </w:pPr>
            <w:r>
              <w:rPr>
                <w:spacing w:val="-2"/>
              </w:rPr>
              <w:t>Investment management</w:t>
            </w:r>
            <w:r>
              <w:rPr/>
              <w:t xml:space="preserve"> </w:t>
            </w:r>
            <w:r>
              <mc:AlternateContent>
                <mc:Choice Requires="wps">
                  <w:drawing>
                    <wp:anchor behindDoc="0" distT="101600" distB="0" distL="0" distR="0" simplePos="0" locked="0" layoutInCell="1" allowOverlap="1" relativeHeight="276">
                      <wp:simplePos x="0" y="0"/>
                      <wp:positionH relativeFrom="column">
                        <wp:align>left</wp:align>
                      </wp:positionH>
                      <wp:positionV relativeFrom="line">
                        <wp:align>top</wp:align>
                      </wp:positionV>
                      <wp:extent cx="228600" cy="350520"/>
                      <wp:effectExtent l="0" t="0" r="0" b="0"/>
                      <wp:wrapSquare wrapText="right"/>
                      <wp:docPr id="224" name="Frame14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left"/>
              <w:rPr/>
            </w:pPr>
            <w:r>
              <w:rPr>
                <w:spacing w:val="-2"/>
              </w:rPr>
              <w:t>Actuarial and financial expertise</w:t>
            </w:r>
            <w:r>
              <w:rPr/>
              <w:t xml:space="preserve"> </w:t>
            </w:r>
            <w:r>
              <mc:AlternateContent>
                <mc:Choice Requires="wps">
                  <w:drawing>
                    <wp:anchor behindDoc="0" distT="101600" distB="0" distL="0" distR="0" simplePos="0" locked="0" layoutInCell="1" allowOverlap="1" relativeHeight="275">
                      <wp:simplePos x="0" y="0"/>
                      <wp:positionH relativeFrom="column">
                        <wp:align>left</wp:align>
                      </wp:positionH>
                      <wp:positionV relativeFrom="line">
                        <wp:align>top</wp:align>
                      </wp:positionV>
                      <wp:extent cx="228600" cy="350520"/>
                      <wp:effectExtent l="0" t="0" r="0" b="0"/>
                      <wp:wrapSquare wrapText="right"/>
                      <wp:docPr id="225" name="Frame14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360" w:right="0" w:hanging="0"/>
              <w:jc w:val="left"/>
              <w:rPr/>
            </w:pPr>
            <w:r>
              <w:rPr>
                <w:spacing w:val="-2"/>
              </w:rPr>
              <w:t>Operations and strategy</w:t>
            </w:r>
            <w:r>
              <w:rPr/>
              <w:t xml:space="preserve"> </w:t>
            </w:r>
            <w:r>
              <mc:AlternateContent>
                <mc:Choice Requires="wps">
                  <w:drawing>
                    <wp:anchor behindDoc="0" distT="101600" distB="0" distL="0" distR="0" simplePos="0" locked="0" layoutInCell="1" allowOverlap="1" relativeHeight="274">
                      <wp:simplePos x="0" y="0"/>
                      <wp:positionH relativeFrom="column">
                        <wp:align>left</wp:align>
                      </wp:positionH>
                      <wp:positionV relativeFrom="line">
                        <wp:align>top</wp:align>
                      </wp:positionV>
                      <wp:extent cx="228600" cy="350520"/>
                      <wp:effectExtent l="0" t="0" r="0" b="0"/>
                      <wp:wrapSquare wrapText="right"/>
                      <wp:docPr id="226" name="Frame14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60" w:right="0" w:hanging="0"/>
              <w:jc w:val="left"/>
              <w:rPr/>
            </w:pPr>
            <w:r>
              <w:rPr>
                <w:spacing w:val="-2"/>
              </w:rPr>
              <w:t>Current and prior public company board service</w:t>
            </w:r>
            <w:r>
              <w:rPr/>
              <w:t xml:space="preserve"> </w:t>
            </w:r>
            <w:r>
              <mc:AlternateContent>
                <mc:Choice Requires="wps">
                  <w:drawing>
                    <wp:anchor behindDoc="0" distT="101600" distB="0" distL="0" distR="0" simplePos="0" locked="0" layoutInCell="1" allowOverlap="1" relativeHeight="273">
                      <wp:simplePos x="0" y="0"/>
                      <wp:positionH relativeFrom="column">
                        <wp:align>left</wp:align>
                      </wp:positionH>
                      <wp:positionV relativeFrom="line">
                        <wp:align>top</wp:align>
                      </wp:positionV>
                      <wp:extent cx="228600" cy="350520"/>
                      <wp:effectExtent l="0" t="0" r="0" b="0"/>
                      <wp:wrapSquare wrapText="right"/>
                      <wp:docPr id="227" name="Frame14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6477"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55" w:type="dxa"/>
            <w:vMerge w:val="continue"/>
            <w:tcBorders>
              <w:bottom w:val="single" w:sz="8" w:space="0" w:color="7F7F7F"/>
            </w:tcBorders>
            <w:shd w:fill="E5E5E5" w:val="clear"/>
            <w:tcMar>
              <w:bottom w:w="28" w:type="dxa"/>
            </w:tcMar>
            <w:vAlign w:val="center"/>
          </w:tcPr>
          <w:p>
            <w:pPr>
              <w:pStyle w:val="Normal"/>
              <w:bidi w:val="0"/>
              <w:jc w:val="left"/>
              <w:rPr/>
            </w:pPr>
            <w:r>
              <w:rPr/>
            </w:r>
          </w:p>
        </w:tc>
      </w:tr>
    </w:tbl>
    <w:tbl>
      <w:tblPr>
        <w:tblW w:w="7571" w:type="dxa"/>
        <w:jc w:val="left"/>
        <w:tblInd w:w="901" w:type="dxa"/>
        <w:tblLayout w:type="fixed"/>
        <w:tblCellMar>
          <w:top w:w="0" w:type="dxa"/>
          <w:left w:w="0" w:type="dxa"/>
          <w:bottom w:w="0" w:type="dxa"/>
          <w:right w:w="0" w:type="dxa"/>
        </w:tblCellMar>
      </w:tblPr>
      <w:tblGrid>
        <w:gridCol w:w="124"/>
        <w:gridCol w:w="3860"/>
        <w:gridCol w:w="109"/>
        <w:gridCol w:w="109"/>
        <w:gridCol w:w="519"/>
        <w:gridCol w:w="519"/>
        <w:gridCol w:w="1648"/>
        <w:gridCol w:w="529"/>
        <w:gridCol w:w="154"/>
      </w:tblGrid>
      <w:tr>
        <w:trPr/>
        <w:tc>
          <w:tcPr>
            <w:tcW w:w="124" w:type="dxa"/>
            <w:tcBorders/>
            <w:shd w:fill="BAD8EA" w:val="clear"/>
            <w:vAlign w:val="center"/>
          </w:tcPr>
          <w:p>
            <w:pPr>
              <w:pStyle w:val="TableContents"/>
              <w:bidi w:val="0"/>
              <w:spacing w:before="0" w:after="283"/>
              <w:jc w:val="left"/>
              <w:rPr/>
            </w:pPr>
            <w:r>
              <w:rPr/>
              <w:t>​</w:t>
            </w:r>
          </w:p>
        </w:tc>
        <w:tc>
          <w:tcPr>
            <w:tcW w:w="3860" w:type="dxa"/>
            <w:tcBorders/>
            <w:shd w:fill="BAD8EA" w:val="clear"/>
            <w:vAlign w:val="center"/>
          </w:tcPr>
          <w:p>
            <w:pPr>
              <w:pStyle w:val="TableContents"/>
              <w:bidi w:val="0"/>
              <w:spacing w:before="0" w:after="0"/>
              <w:jc w:val="left"/>
              <w:rPr/>
            </w:pPr>
            <w:r>
              <w:rPr>
                <w:spacing w:val="-1"/>
              </w:rPr>
              <w:t>Commitment of Our Board</w:t>
            </w:r>
            <w:r>
              <w:rPr>
                <w:spacing w:val="-3"/>
              </w:rPr>
              <w:t> – 2025</w:t>
            </w:r>
            <w:r>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7F7F7F" w:val="clear"/>
            <w:vAlign w:val="center"/>
          </w:tcPr>
          <w:p>
            <w:pPr>
              <w:pStyle w:val="TableContents"/>
              <w:bidi w:val="0"/>
              <w:spacing w:before="0" w:after="283"/>
              <w:jc w:val="left"/>
              <w:rPr/>
            </w:pPr>
            <w:r>
              <w:rPr/>
              <w:t>​</w:t>
            </w:r>
          </w:p>
        </w:tc>
        <w:tc>
          <w:tcPr>
            <w:tcW w:w="3215" w:type="dxa"/>
            <w:gridSpan w:val="4"/>
            <w:tcBorders/>
            <w:shd w:fill="7F7F7F" w:val="clear"/>
            <w:vAlign w:val="center"/>
          </w:tcPr>
          <w:p>
            <w:pPr>
              <w:pStyle w:val="TableContents"/>
              <w:bidi w:val="0"/>
              <w:spacing w:before="0" w:after="0"/>
              <w:jc w:val="center"/>
              <w:rPr>
                <w:color w:val="FFFFFF"/>
                <w:sz w:val="18"/>
              </w:rPr>
            </w:pPr>
            <w:r>
              <w:rPr>
                <w:color w:val="FFFFFF"/>
                <w:spacing w:val="0"/>
                <w:sz w:val="18"/>
              </w:rPr>
              <w:t>2025 Meetings</w:t>
            </w:r>
            <w:r>
              <w:rPr>
                <w:color w:val="FFFFFF"/>
                <w:sz w:val="18"/>
              </w:rPr>
              <w:t xml:space="preserve"> </w:t>
            </w:r>
          </w:p>
        </w:tc>
        <w:tc>
          <w:tcPr>
            <w:tcW w:w="154" w:type="dxa"/>
            <w:tcBorders/>
            <w:shd w:fill="7F7F7F" w:val="cle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860"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Board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519" w:type="dxa"/>
            <w:tcBorders>
              <w:bottom w:val="single" w:sz="2" w:space="0" w:color="CBCAC8"/>
            </w:tcBorders>
            <w:tcMar>
              <w:bottom w:w="28" w:type="dxa"/>
            </w:tcMar>
            <w:vAlign w:val="center"/>
          </w:tcPr>
          <w:p>
            <w:pPr>
              <w:pStyle w:val="TableContents"/>
              <w:bidi w:val="0"/>
              <w:spacing w:before="0" w:after="283"/>
              <w:jc w:val="left"/>
              <w:rPr/>
            </w:pPr>
            <w:r>
              <w:rPr/>
              <w:t>​</w:t>
            </w:r>
          </w:p>
        </w:tc>
        <w:tc>
          <w:tcPr>
            <w:tcW w:w="519" w:type="dxa"/>
            <w:tcBorders>
              <w:bottom w:val="single" w:sz="2" w:space="0" w:color="CBCAC8"/>
            </w:tcBorders>
            <w:tcMar>
              <w:bottom w:w="50" w:type="dxa"/>
            </w:tcMar>
            <w:vAlign w:val="center"/>
          </w:tcPr>
          <w:p>
            <w:pPr>
              <w:pStyle w:val="TableContents"/>
              <w:bidi w:val="0"/>
              <w:spacing w:before="0" w:after="283"/>
              <w:jc w:val="right"/>
              <w:rPr/>
            </w:pPr>
            <w:r>
              <w:rPr/>
              <w:t>​</w:t>
            </w:r>
          </w:p>
        </w:tc>
        <w:tc>
          <w:tcPr>
            <w:tcW w:w="1648" w:type="dxa"/>
            <w:tcBorders>
              <w:bottom w:val="single" w:sz="2" w:space="0" w:color="CBCAC8"/>
            </w:tcBorders>
            <w:tcMar>
              <w:bottom w:w="50" w:type="dxa"/>
            </w:tcMar>
            <w:vAlign w:val="center"/>
          </w:tcPr>
          <w:p>
            <w:pPr>
              <w:pStyle w:val="TableContents"/>
              <w:bidi w:val="0"/>
              <w:spacing w:before="0" w:after="283"/>
              <w:jc w:val="right"/>
              <w:rPr/>
            </w:pPr>
            <w:r>
              <w:rPr/>
              <w:t>12</w:t>
            </w:r>
          </w:p>
        </w:tc>
        <w:tc>
          <w:tcPr>
            <w:tcW w:w="52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860"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Audit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519" w:type="dxa"/>
            <w:tcBorders>
              <w:bottom w:val="single" w:sz="2" w:space="0" w:color="CBCAC8"/>
            </w:tcBorders>
            <w:tcMar>
              <w:bottom w:w="28" w:type="dxa"/>
            </w:tcMar>
            <w:vAlign w:val="center"/>
          </w:tcPr>
          <w:p>
            <w:pPr>
              <w:pStyle w:val="TableContents"/>
              <w:bidi w:val="0"/>
              <w:spacing w:before="0" w:after="283"/>
              <w:jc w:val="left"/>
              <w:rPr/>
            </w:pPr>
            <w:r>
              <w:rPr/>
              <w:t>​</w:t>
            </w:r>
          </w:p>
        </w:tc>
        <w:tc>
          <w:tcPr>
            <w:tcW w:w="519" w:type="dxa"/>
            <w:tcBorders>
              <w:bottom w:val="single" w:sz="2" w:space="0" w:color="CBCAC8"/>
            </w:tcBorders>
            <w:tcMar>
              <w:bottom w:w="50" w:type="dxa"/>
            </w:tcMar>
            <w:vAlign w:val="center"/>
          </w:tcPr>
          <w:p>
            <w:pPr>
              <w:pStyle w:val="TableContents"/>
              <w:bidi w:val="0"/>
              <w:spacing w:before="0" w:after="283"/>
              <w:jc w:val="right"/>
              <w:rPr/>
            </w:pPr>
            <w:r>
              <w:rPr/>
              <w:t>​</w:t>
            </w:r>
          </w:p>
        </w:tc>
        <w:tc>
          <w:tcPr>
            <w:tcW w:w="1648" w:type="dxa"/>
            <w:tcBorders>
              <w:bottom w:val="single" w:sz="2" w:space="0" w:color="CBCAC8"/>
            </w:tcBorders>
            <w:tcMar>
              <w:bottom w:w="50" w:type="dxa"/>
            </w:tcMar>
            <w:vAlign w:val="center"/>
          </w:tcPr>
          <w:p>
            <w:pPr>
              <w:pStyle w:val="TableContents"/>
              <w:bidi w:val="0"/>
              <w:spacing w:before="0" w:after="283"/>
              <w:jc w:val="right"/>
              <w:rPr/>
            </w:pPr>
            <w:r>
              <w:rPr/>
              <w:t>5</w:t>
            </w:r>
          </w:p>
        </w:tc>
        <w:tc>
          <w:tcPr>
            <w:tcW w:w="52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860"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Compensation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519" w:type="dxa"/>
            <w:tcBorders>
              <w:bottom w:val="single" w:sz="2" w:space="0" w:color="CBCAC8"/>
            </w:tcBorders>
            <w:tcMar>
              <w:bottom w:w="28" w:type="dxa"/>
            </w:tcMar>
            <w:vAlign w:val="center"/>
          </w:tcPr>
          <w:p>
            <w:pPr>
              <w:pStyle w:val="TableContents"/>
              <w:bidi w:val="0"/>
              <w:spacing w:before="0" w:after="283"/>
              <w:jc w:val="left"/>
              <w:rPr/>
            </w:pPr>
            <w:r>
              <w:rPr/>
              <w:t>​</w:t>
            </w:r>
          </w:p>
        </w:tc>
        <w:tc>
          <w:tcPr>
            <w:tcW w:w="519" w:type="dxa"/>
            <w:tcBorders>
              <w:bottom w:val="single" w:sz="2" w:space="0" w:color="CBCAC8"/>
            </w:tcBorders>
            <w:tcMar>
              <w:bottom w:w="50" w:type="dxa"/>
            </w:tcMar>
            <w:vAlign w:val="center"/>
          </w:tcPr>
          <w:p>
            <w:pPr>
              <w:pStyle w:val="TableContents"/>
              <w:bidi w:val="0"/>
              <w:spacing w:before="0" w:after="283"/>
              <w:jc w:val="right"/>
              <w:rPr/>
            </w:pPr>
            <w:r>
              <w:rPr/>
              <w:t>​</w:t>
            </w:r>
          </w:p>
        </w:tc>
        <w:tc>
          <w:tcPr>
            <w:tcW w:w="1648" w:type="dxa"/>
            <w:tcBorders>
              <w:bottom w:val="single" w:sz="2" w:space="0" w:color="CBCAC8"/>
            </w:tcBorders>
            <w:tcMar>
              <w:bottom w:w="50" w:type="dxa"/>
            </w:tcMar>
            <w:vAlign w:val="center"/>
          </w:tcPr>
          <w:p>
            <w:pPr>
              <w:pStyle w:val="TableContents"/>
              <w:bidi w:val="0"/>
              <w:spacing w:before="0" w:after="283"/>
              <w:jc w:val="right"/>
              <w:rPr/>
            </w:pPr>
            <w:r>
              <w:rPr/>
              <w:t>5</w:t>
            </w:r>
          </w:p>
        </w:tc>
        <w:tc>
          <w:tcPr>
            <w:tcW w:w="52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860"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Nominating and Corporate Governance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519" w:type="dxa"/>
            <w:tcBorders>
              <w:bottom w:val="single" w:sz="2" w:space="0" w:color="CBCAC8"/>
            </w:tcBorders>
            <w:tcMar>
              <w:bottom w:w="28" w:type="dxa"/>
            </w:tcMar>
            <w:vAlign w:val="center"/>
          </w:tcPr>
          <w:p>
            <w:pPr>
              <w:pStyle w:val="TableContents"/>
              <w:bidi w:val="0"/>
              <w:spacing w:before="0" w:after="283"/>
              <w:jc w:val="left"/>
              <w:rPr/>
            </w:pPr>
            <w:r>
              <w:rPr/>
              <w:t>​</w:t>
            </w:r>
          </w:p>
        </w:tc>
        <w:tc>
          <w:tcPr>
            <w:tcW w:w="519" w:type="dxa"/>
            <w:tcBorders>
              <w:bottom w:val="single" w:sz="2" w:space="0" w:color="CBCAC8"/>
            </w:tcBorders>
            <w:tcMar>
              <w:bottom w:w="50" w:type="dxa"/>
            </w:tcMar>
            <w:vAlign w:val="center"/>
          </w:tcPr>
          <w:p>
            <w:pPr>
              <w:pStyle w:val="TableContents"/>
              <w:bidi w:val="0"/>
              <w:spacing w:before="0" w:after="283"/>
              <w:jc w:val="right"/>
              <w:rPr/>
            </w:pPr>
            <w:r>
              <w:rPr/>
              <w:t>​</w:t>
            </w:r>
          </w:p>
        </w:tc>
        <w:tc>
          <w:tcPr>
            <w:tcW w:w="1648" w:type="dxa"/>
            <w:tcBorders>
              <w:bottom w:val="single" w:sz="2" w:space="0" w:color="CBCAC8"/>
            </w:tcBorders>
            <w:tcMar>
              <w:bottom w:w="50" w:type="dxa"/>
            </w:tcMar>
            <w:vAlign w:val="center"/>
          </w:tcPr>
          <w:p>
            <w:pPr>
              <w:pStyle w:val="TableContents"/>
              <w:bidi w:val="0"/>
              <w:spacing w:before="0" w:after="283"/>
              <w:jc w:val="right"/>
              <w:rPr/>
            </w:pPr>
            <w:r>
              <w:rPr/>
              <w:t>3</w:t>
            </w:r>
          </w:p>
        </w:tc>
        <w:tc>
          <w:tcPr>
            <w:tcW w:w="52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860"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Technology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519" w:type="dxa"/>
            <w:tcBorders>
              <w:bottom w:val="single" w:sz="2" w:space="0" w:color="CBCAC8"/>
            </w:tcBorders>
            <w:tcMar>
              <w:bottom w:w="28" w:type="dxa"/>
            </w:tcMar>
            <w:vAlign w:val="center"/>
          </w:tcPr>
          <w:p>
            <w:pPr>
              <w:pStyle w:val="TableContents"/>
              <w:bidi w:val="0"/>
              <w:spacing w:before="0" w:after="283"/>
              <w:jc w:val="left"/>
              <w:rPr/>
            </w:pPr>
            <w:r>
              <w:rPr/>
              <w:t>​</w:t>
            </w:r>
          </w:p>
        </w:tc>
        <w:tc>
          <w:tcPr>
            <w:tcW w:w="519" w:type="dxa"/>
            <w:tcBorders>
              <w:bottom w:val="single" w:sz="2" w:space="0" w:color="CBCAC8"/>
            </w:tcBorders>
            <w:tcMar>
              <w:bottom w:w="50" w:type="dxa"/>
            </w:tcMar>
            <w:vAlign w:val="center"/>
          </w:tcPr>
          <w:p>
            <w:pPr>
              <w:pStyle w:val="TableContents"/>
              <w:bidi w:val="0"/>
              <w:spacing w:before="0" w:after="283"/>
              <w:jc w:val="right"/>
              <w:rPr/>
            </w:pPr>
            <w:r>
              <w:rPr/>
              <w:t>​</w:t>
            </w:r>
          </w:p>
        </w:tc>
        <w:tc>
          <w:tcPr>
            <w:tcW w:w="1648" w:type="dxa"/>
            <w:tcBorders>
              <w:bottom w:val="single" w:sz="2" w:space="0" w:color="CBCAC8"/>
            </w:tcBorders>
            <w:tcMar>
              <w:bottom w:w="50" w:type="dxa"/>
            </w:tcMar>
            <w:vAlign w:val="center"/>
          </w:tcPr>
          <w:p>
            <w:pPr>
              <w:pStyle w:val="TableContents"/>
              <w:bidi w:val="0"/>
              <w:spacing w:before="0" w:after="283"/>
              <w:jc w:val="right"/>
              <w:rPr/>
            </w:pPr>
            <w:r>
              <w:rPr/>
              <w:t>4</w:t>
            </w:r>
          </w:p>
        </w:tc>
        <w:tc>
          <w:tcPr>
            <w:tcW w:w="52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860"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Risk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519" w:type="dxa"/>
            <w:tcBorders>
              <w:bottom w:val="single" w:sz="2" w:space="0" w:color="CBCAC8"/>
            </w:tcBorders>
            <w:tcMar>
              <w:bottom w:w="28" w:type="dxa"/>
            </w:tcMar>
            <w:vAlign w:val="center"/>
          </w:tcPr>
          <w:p>
            <w:pPr>
              <w:pStyle w:val="TableContents"/>
              <w:bidi w:val="0"/>
              <w:spacing w:before="0" w:after="283"/>
              <w:jc w:val="left"/>
              <w:rPr/>
            </w:pPr>
            <w:r>
              <w:rPr/>
              <w:t>​</w:t>
            </w:r>
          </w:p>
        </w:tc>
        <w:tc>
          <w:tcPr>
            <w:tcW w:w="519" w:type="dxa"/>
            <w:tcBorders>
              <w:bottom w:val="single" w:sz="2" w:space="0" w:color="CBCAC8"/>
            </w:tcBorders>
            <w:tcMar>
              <w:bottom w:w="50" w:type="dxa"/>
            </w:tcMar>
            <w:vAlign w:val="center"/>
          </w:tcPr>
          <w:p>
            <w:pPr>
              <w:pStyle w:val="TableContents"/>
              <w:bidi w:val="0"/>
              <w:spacing w:before="0" w:after="283"/>
              <w:jc w:val="right"/>
              <w:rPr/>
            </w:pPr>
            <w:r>
              <w:rPr/>
              <w:t>​</w:t>
            </w:r>
          </w:p>
        </w:tc>
        <w:tc>
          <w:tcPr>
            <w:tcW w:w="1648" w:type="dxa"/>
            <w:tcBorders>
              <w:bottom w:val="single" w:sz="2" w:space="0" w:color="CBCAC8"/>
            </w:tcBorders>
            <w:tcMar>
              <w:bottom w:w="50" w:type="dxa"/>
            </w:tcMar>
            <w:vAlign w:val="center"/>
          </w:tcPr>
          <w:p>
            <w:pPr>
              <w:pStyle w:val="TableContents"/>
              <w:bidi w:val="0"/>
              <w:spacing w:before="0" w:after="283"/>
              <w:jc w:val="right"/>
              <w:rPr/>
            </w:pPr>
            <w:r>
              <w:rPr/>
              <w:t>1</w:t>
            </w:r>
          </w:p>
        </w:tc>
        <w:tc>
          <w:tcPr>
            <w:tcW w:w="52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860" w:type="dxa"/>
            <w:tcBorders>
              <w:bottom w:val="single" w:sz="2" w:space="0" w:color="CBCAC8"/>
            </w:tcBorders>
            <w:tcMar>
              <w:bottom w:w="50" w:type="dxa"/>
            </w:tcMar>
            <w:vAlign w:val="center"/>
          </w:tcPr>
          <w:p>
            <w:pPr>
              <w:pStyle w:val="TableContents"/>
              <w:bidi w:val="0"/>
              <w:spacing w:before="0" w:after="283"/>
              <w:jc w:val="left"/>
              <w:rPr/>
            </w:pPr>
            <w:r>
              <w:rPr>
                <w:spacing w:val="-2"/>
              </w:rPr>
              <w:t>Insurance</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3215" w:type="dxa"/>
            <w:gridSpan w:val="4"/>
            <w:tcBorders>
              <w:bottom w:val="single" w:sz="2" w:space="0" w:color="CBCAC8"/>
            </w:tcBorders>
            <w:tcMar>
              <w:bottom w:w="50" w:type="dxa"/>
            </w:tcMar>
            <w:vAlign w:val="center"/>
          </w:tcPr>
          <w:p>
            <w:pPr>
              <w:pStyle w:val="TableContents"/>
              <w:bidi w:val="0"/>
              <w:spacing w:before="0" w:after="0"/>
              <w:jc w:val="center"/>
              <w:rPr/>
            </w:pPr>
            <w:r>
              <w:rPr>
                <w:spacing w:val="-2"/>
              </w:rPr>
              <w:t>(N/A – established June 4, 2026)</w:t>
            </w:r>
            <w:r>
              <w:rPr/>
              <w:t xml:space="preserve"> </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/ 19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BACE"/>
      <w:bookmarkEnd w:id="31"/>
      <w:r>
        <w:rPr>
          <w:rFonts w:ascii="calibri;arial;sans-serif" w:hAnsi="calibri;arial;sans-serif"/>
          <w:b w:val="false"/>
          <w:i w:val="false"/>
          <w:caps w:val="false"/>
          <w:smallCaps w:val="false"/>
          <w:color w:val="000000"/>
          <w:sz w:val="16"/>
        </w:rPr>
        <w:t>​</w:t>
      </w:r>
      <w:bookmarkStart w:id="32" w:name="tEAMP"/>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The Board, Its Committees and Its Compensation</w:t>
      </w:r>
      <w:r>
        <w:rPr>
          <w:rFonts w:ascii="Arial;Helvetica;sans-serif" w:hAnsi="Arial;Helvetica;sans-serif"/>
          <w:b/>
          <w:i w:val="false"/>
          <w:caps w:val="false"/>
          <w:smallCaps w:val="false"/>
          <w:color w:val="7F7F7F"/>
          <w:spacing w:val="-3"/>
          <w:sz w:val="22"/>
        </w:rPr>
        <w:t xml:space="preserve"> </w:t>
      </w:r>
    </w:p>
    <w:p>
      <w:pPr>
        <w:pStyle w:val="TextBody"/>
        <w:bidi w:val="0"/>
        <w:spacing w:lineRule="atLeast" w:line="340" w:before="120" w:after="283"/>
        <w:ind w:left="901"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BOARD AND COMMITTEE EVALUATIONS</w:t>
      </w:r>
      <w:r>
        <w:rPr>
          <w:rFonts w:ascii="Arial;Helvetica;sans-serif" w:hAnsi="Arial;Helvetica;sans-serif"/>
          <w:b/>
          <w:i w:val="false"/>
          <w:caps w:val="false"/>
          <w:smallCaps w:val="false"/>
          <w:color w:val="000000"/>
          <w:spacing w:val="6"/>
          <w:sz w:val="3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280">
                <wp:simplePos x="0" y="0"/>
                <wp:positionH relativeFrom="column">
                  <wp:align>left</wp:align>
                </wp:positionH>
                <wp:positionV relativeFrom="line">
                  <wp:posOffset>635</wp:posOffset>
                </wp:positionV>
                <wp:extent cx="3055620" cy="1752600"/>
                <wp:effectExtent l="0" t="0" r="0" b="0"/>
                <wp:wrapSquare wrapText="right"/>
                <wp:docPr id="228" name="Frame148"/>
                <a:graphic xmlns:a="http://schemas.openxmlformats.org/drawingml/2006/main">
                  <a:graphicData uri="http://schemas.microsoft.com/office/word/2010/wordprocessingShape">
                    <wps:wsp>
                      <wps:cNvSpPr txBox="1"/>
                      <wps:spPr>
                        <a:xfrm>
                          <a:off x="0" y="0"/>
                          <a:ext cx="3055620" cy="1752600"/>
                        </a:xfrm>
                        <a:prstGeom prst="rect"/>
                        <a:solidFill>
                          <a:srgbClr val="FFFFFF"/>
                        </a:solidFill>
                      </wps:spPr>
                      <wps:txbx>
                        <w:txbxContent>
                          <w:p>
                            <w:pPr>
                              <w:pStyle w:val="TextBody"/>
                              <w:bidi w:val="0"/>
                              <w:spacing w:lineRule="atLeast" w:line="240" w:before="0" w:after="0"/>
                              <w:jc w:val="both"/>
                              <w:rPr>
                                <w:spacing w:val="-2"/>
                              </w:rPr>
                            </w:pPr>
                            <w:r>
                              <w:rPr>
                                <w:spacing w:val="-2"/>
                              </w:rPr>
                              <w:t xml:space="preserve">We recognize the critical role that the Board and committee evaluations play in ensuring the effective functioning of our Board. It is important to take stock of Board, committee, and director performance, and to solicit and act upon feedback from each member of our Board. To this end, our N&amp;CG is responsible for evaluating the performance of our Board annually, and each of our Board’s committees also conducts an annual self-evaluation. </w:t>
                            </w:r>
                          </w:p>
                        </w:txbxContent>
                      </wps:txbx>
                      <wps:bodyPr anchor="t" lIns="0" tIns="0" rIns="0" bIns="0">
                        <a:noAutofit/>
                      </wps:bodyPr>
                    </wps:wsp>
                  </a:graphicData>
                </a:graphic>
              </wp:anchor>
            </w:drawing>
          </mc:Choice>
          <mc:Fallback>
            <w:pict>
              <v:rect style="position:absolute;rotation:-0;width:240.6pt;height:138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jc w:val="both"/>
                        <w:rPr>
                          <w:spacing w:val="-2"/>
                        </w:rPr>
                      </w:pPr>
                      <w:r>
                        <w:rPr>
                          <w:spacing w:val="-2"/>
                        </w:rPr>
                        <w:t xml:space="preserve">We recognize the critical role that the Board and committee evaluations play in ensuring the effective functioning of our Board. It is important to take stock of Board, committee, and director performance, and to solicit and act upon feedback from each member of our Board. To this end, our N&amp;CG is responsible for evaluating the performance of our Board annually, and each of our Board’s committees also conducts an annual self-evaluation. </w:t>
                      </w:r>
                    </w:p>
                  </w:txbxContent>
                </v:textbox>
                <w10:wrap type="square" side="right"/>
              </v:rect>
            </w:pict>
          </mc:Fallback>
        </mc:AlternateContent>
      </w:r>
      <w:r>
        <mc:AlternateContent>
          <mc:Choice Requires="wps">
            <w:drawing>
              <wp:anchor behindDoc="0" distT="0" distB="0" distL="304800" distR="0" simplePos="0" locked="0" layoutInCell="1" allowOverlap="1" relativeHeight="281">
                <wp:simplePos x="0" y="0"/>
                <wp:positionH relativeFrom="column">
                  <wp:align>left</wp:align>
                </wp:positionH>
                <wp:positionV relativeFrom="line">
                  <wp:posOffset>635</wp:posOffset>
                </wp:positionV>
                <wp:extent cx="3055620" cy="1773555"/>
                <wp:effectExtent l="0" t="0" r="0" b="0"/>
                <wp:wrapSquare wrapText="right"/>
                <wp:docPr id="229" name="Frame149"/>
                <a:graphic xmlns:a="http://schemas.openxmlformats.org/drawingml/2006/main">
                  <a:graphicData uri="http://schemas.microsoft.com/office/word/2010/wordprocessingShape">
                    <wps:wsp>
                      <wps:cNvSpPr txBox="1"/>
                      <wps:spPr>
                        <a:xfrm>
                          <a:off x="0" y="0"/>
                          <a:ext cx="3055620" cy="1773555"/>
                        </a:xfrm>
                        <a:prstGeom prst="rect"/>
                        <a:solidFill>
                          <a:srgbClr val="FFFFFF"/>
                        </a:solidFill>
                      </wps:spPr>
                      <wps:txbx>
                        <w:txbxContent>
                          <w:p>
                            <w:pPr>
                              <w:pStyle w:val="TextBody"/>
                              <w:bidi w:val="0"/>
                              <w:spacing w:lineRule="atLeast" w:line="340" w:before="0" w:after="0"/>
                              <w:jc w:val="left"/>
                              <w:rPr>
                                <w:b/>
                                <w:color w:val="7F7F7F"/>
                                <w:sz w:val="30"/>
                              </w:rPr>
                            </w:pPr>
                            <w:r>
                              <w:rPr>
                                <w:b/>
                                <w:color w:val="7F7F7F"/>
                                <w:spacing w:val="-1"/>
                                <w:sz w:val="30"/>
                              </w:rPr>
                              <w:t>Evaluations</w:t>
                            </w:r>
                            <w:r>
                              <w:rPr>
                                <w:b/>
                                <w:color w:val="7F7F7F"/>
                                <w:spacing w:val="-4"/>
                                <w:sz w:val="30"/>
                              </w:rPr>
                              <w:t> – </w:t>
                            </w:r>
                            <w:r>
                              <w:rPr>
                                <w:b/>
                                <w:color w:val="7F7F7F"/>
                                <w:spacing w:val="-1"/>
                                <w:sz w:val="30"/>
                              </w:rPr>
                              <w:t>A Multi-Step Process</w:t>
                            </w:r>
                            <w:r>
                              <w:rPr>
                                <w:b/>
                                <w:color w:val="000000"/>
                                <w:spacing w:val="6"/>
                                <w:sz w:val="30"/>
                              </w:rPr>
                              <w:t xml:space="preserve"> </w:t>
                            </w:r>
                          </w:p>
                          <w:p>
                            <w:pPr>
                              <w:pStyle w:val="TextBody"/>
                              <w:bidi w:val="0"/>
                              <w:spacing w:lineRule="atLeast" w:line="240" w:before="240" w:after="283"/>
                              <w:jc w:val="both"/>
                              <w:rPr/>
                            </w:pPr>
                            <w:r>
                              <w:rPr>
                                <w:spacing w:val="-2"/>
                              </w:rPr>
                              <w:t>The N&amp;CG periodically reviews the format of the Board and committee evaluation process to ensure that actionable feedback is solicited on the operation of the Board and director performance. In addition, the N&amp;CG believes it is important for an independent third party to periodically complete annual Board and committee evaluations.</w:t>
                            </w:r>
                            <w:r>
                              <w:rPr/>
                              <w:t xml:space="preserve"> </w:t>
                            </w:r>
                          </w:p>
                        </w:txbxContent>
                      </wps:txbx>
                      <wps:bodyPr anchor="t" lIns="0" tIns="0" rIns="0" bIns="0">
                        <a:noAutofit/>
                      </wps:bodyPr>
                    </wps:wsp>
                  </a:graphicData>
                </a:graphic>
              </wp:anchor>
            </w:drawing>
          </mc:Choice>
          <mc:Fallback>
            <w:pict>
              <v:rect style="position:absolute;rotation:-0;width:240.6pt;height:139.6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340" w:before="0" w:after="0"/>
                        <w:jc w:val="left"/>
                        <w:rPr>
                          <w:b/>
                          <w:color w:val="7F7F7F"/>
                          <w:sz w:val="30"/>
                        </w:rPr>
                      </w:pPr>
                      <w:r>
                        <w:rPr>
                          <w:b/>
                          <w:color w:val="7F7F7F"/>
                          <w:spacing w:val="-1"/>
                          <w:sz w:val="30"/>
                        </w:rPr>
                        <w:t>Evaluations</w:t>
                      </w:r>
                      <w:r>
                        <w:rPr>
                          <w:b/>
                          <w:color w:val="7F7F7F"/>
                          <w:spacing w:val="-4"/>
                          <w:sz w:val="30"/>
                        </w:rPr>
                        <w:t> – </w:t>
                      </w:r>
                      <w:r>
                        <w:rPr>
                          <w:b/>
                          <w:color w:val="7F7F7F"/>
                          <w:spacing w:val="-1"/>
                          <w:sz w:val="30"/>
                        </w:rPr>
                        <w:t>A Multi-Step Process</w:t>
                      </w:r>
                      <w:r>
                        <w:rPr>
                          <w:b/>
                          <w:color w:val="000000"/>
                          <w:spacing w:val="6"/>
                          <w:sz w:val="30"/>
                        </w:rPr>
                        <w:t xml:space="preserve"> </w:t>
                      </w:r>
                    </w:p>
                    <w:p>
                      <w:pPr>
                        <w:pStyle w:val="TextBody"/>
                        <w:bidi w:val="0"/>
                        <w:spacing w:lineRule="atLeast" w:line="240" w:before="240" w:after="283"/>
                        <w:jc w:val="both"/>
                        <w:rPr/>
                      </w:pPr>
                      <w:r>
                        <w:rPr>
                          <w:spacing w:val="-2"/>
                        </w:rPr>
                        <w:t>The N&amp;CG periodically reviews the format of the Board and committee evaluation process to ensure that actionable feedback is solicited on the operation of the Board and director performance. In addition, the N&amp;CG believes it is important for an independent third party to periodically complete annual Board and committee evaluations.</w:t>
                      </w:r>
                      <w:r>
                        <w:rPr/>
                        <w:t xml:space="preserve"> </w:t>
                      </w:r>
                    </w:p>
                  </w:txbxContent>
                </v:textbox>
                <w10:wrap type="square" side="right"/>
              </v:rect>
            </w:pict>
          </mc:Fallback>
        </mc:AlternateContent>
      </w:r>
    </w:p>
    <w:tbl>
      <w:tblPr>
        <w:tblW w:w="9304" w:type="dxa"/>
        <w:jc w:val="left"/>
        <w:tblInd w:w="901" w:type="dxa"/>
        <w:tblLayout w:type="fixed"/>
        <w:tblCellMar>
          <w:top w:w="0" w:type="dxa"/>
          <w:left w:w="0" w:type="dxa"/>
          <w:bottom w:w="28" w:type="dxa"/>
          <w:right w:w="0" w:type="dxa"/>
        </w:tblCellMar>
      </w:tblPr>
      <w:tblGrid>
        <w:gridCol w:w="124"/>
        <w:gridCol w:w="1860"/>
        <w:gridCol w:w="109"/>
        <w:gridCol w:w="109"/>
        <w:gridCol w:w="6947"/>
        <w:gridCol w:w="155"/>
      </w:tblGrid>
      <w:tr>
        <w:trPr/>
        <w:tc>
          <w:tcPr>
            <w:tcW w:w="124" w:type="dxa"/>
            <w:tcBorders>
              <w:bottom w:val="single" w:sz="2" w:space="0" w:color="CBCAC8"/>
            </w:tcBorders>
            <w:vAlign w:val="center"/>
          </w:tcPr>
          <w:p>
            <w:pPr>
              <w:pStyle w:val="TableContents"/>
              <w:bidi w:val="0"/>
              <w:spacing w:before="0" w:after="283"/>
              <w:jc w:val="left"/>
              <w:rPr/>
            </w:pPr>
            <w:r>
              <w:rPr/>
              <w:t>​</w:t>
            </w:r>
          </w:p>
        </w:tc>
        <w:tc>
          <w:tcPr>
            <w:tcW w:w="1860" w:type="dxa"/>
            <w:tcBorders>
              <w:bottom w:val="single" w:sz="2" w:space="0" w:color="CBCAC8"/>
            </w:tcBorders>
            <w:tcMar>
              <w:bottom w:w="55" w:type="dxa"/>
            </w:tcMar>
            <w:vAlign w:val="center"/>
          </w:tcPr>
          <w:p>
            <w:pPr>
              <w:pStyle w:val="TableContents"/>
              <w:bidi w:val="0"/>
              <w:spacing w:lineRule="atLeast" w:line="200" w:before="0" w:after="0"/>
              <w:ind w:left="360" w:right="0" w:hanging="0"/>
              <w:jc w:val="left"/>
              <w:rPr>
                <w:spacing w:val="-2"/>
              </w:rPr>
            </w:pPr>
            <w:r>
              <w:rPr>
                <w:spacing w:val="-2"/>
              </w:rPr>
              <w:t xml:space="preserve">Questionnaire </w:t>
            </w:r>
            <w:r>
              <mc:AlternateContent>
                <mc:Choice Requires="wps">
                  <w:drawing>
                    <wp:anchor behindDoc="0" distT="0" distB="0" distL="0" distR="0" simplePos="0" locked="0" layoutInCell="1" allowOverlap="1" relativeHeight="282">
                      <wp:simplePos x="0" y="0"/>
                      <wp:positionH relativeFrom="column">
                        <wp:align>left</wp:align>
                      </wp:positionH>
                      <wp:positionV relativeFrom="line">
                        <wp:posOffset>635</wp:posOffset>
                      </wp:positionV>
                      <wp:extent cx="228600" cy="350520"/>
                      <wp:effectExtent l="0" t="0" r="0" b="0"/>
                      <wp:wrapSquare wrapText="right"/>
                      <wp:docPr id="230" name="Frame15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6947" w:type="dxa"/>
            <w:tcBorders>
              <w:bottom w:val="single" w:sz="2" w:space="0" w:color="CBCAC8"/>
            </w:tcBorders>
            <w:tcMar>
              <w:bottom w:w="55" w:type="dxa"/>
            </w:tcMar>
            <w:vAlign w:val="center"/>
          </w:tcPr>
          <w:p>
            <w:pPr>
              <w:pStyle w:val="TableContents"/>
              <w:bidi w:val="0"/>
              <w:spacing w:before="0" w:after="0"/>
              <w:jc w:val="both"/>
              <w:rPr/>
            </w:pPr>
            <w:r>
              <w:rPr>
                <w:spacing w:val="-2"/>
              </w:rPr>
              <w:t>The evaluation questionnaire provides director feedback on an unattributed basis, with a focus on:</w:t>
            </w:r>
            <w:r>
              <w:rPr/>
              <w:t xml:space="preserve"> </w:t>
            </w:r>
          </w:p>
          <w:p>
            <w:pPr>
              <w:pStyle w:val="TableContents"/>
              <w:bidi w:val="0"/>
              <w:spacing w:lineRule="atLeast" w:line="200" w:before="160" w:after="0"/>
              <w:ind w:left="360" w:right="0" w:hanging="0"/>
              <w:jc w:val="left"/>
              <w:rPr/>
            </w:pPr>
            <w:r>
              <w:rPr>
                <w:spacing w:val="-2"/>
              </w:rPr>
              <w:t>Organization of the Board;</w:t>
            </w:r>
            <w:r>
              <w:rPr/>
              <w:t xml:space="preserve"> </w:t>
            </w:r>
            <w:r>
              <mc:AlternateContent>
                <mc:Choice Requires="wps">
                  <w:drawing>
                    <wp:anchor behindDoc="0" distT="101600" distB="0" distL="0" distR="0" simplePos="0" locked="0" layoutInCell="1" allowOverlap="1" relativeHeight="283">
                      <wp:simplePos x="0" y="0"/>
                      <wp:positionH relativeFrom="column">
                        <wp:align>left</wp:align>
                      </wp:positionH>
                      <wp:positionV relativeFrom="line">
                        <wp:align>top</wp:align>
                      </wp:positionV>
                      <wp:extent cx="228600" cy="350520"/>
                      <wp:effectExtent l="0" t="0" r="0" b="0"/>
                      <wp:wrapSquare wrapText="right"/>
                      <wp:docPr id="231" name="Frame15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60" w:after="0"/>
              <w:ind w:left="360" w:right="0" w:hanging="0"/>
              <w:jc w:val="left"/>
              <w:rPr/>
            </w:pPr>
            <w:r>
              <w:rPr>
                <w:spacing w:val="-2"/>
              </w:rPr>
              <w:t>Board composition and the Company’s strategic imperatives;</w:t>
            </w:r>
            <w:r>
              <w:rPr/>
              <w:t xml:space="preserve"> </w:t>
            </w:r>
            <w:r>
              <mc:AlternateContent>
                <mc:Choice Requires="wps">
                  <w:drawing>
                    <wp:anchor behindDoc="0" distT="101600" distB="0" distL="0" distR="0" simplePos="0" locked="0" layoutInCell="1" allowOverlap="1" relativeHeight="284">
                      <wp:simplePos x="0" y="0"/>
                      <wp:positionH relativeFrom="column">
                        <wp:align>left</wp:align>
                      </wp:positionH>
                      <wp:positionV relativeFrom="line">
                        <wp:align>top</wp:align>
                      </wp:positionV>
                      <wp:extent cx="228600" cy="350520"/>
                      <wp:effectExtent l="0" t="0" r="0" b="0"/>
                      <wp:wrapSquare wrapText="right"/>
                      <wp:docPr id="232" name="Frame15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60" w:after="0"/>
              <w:ind w:left="360" w:right="0" w:hanging="0"/>
              <w:jc w:val="left"/>
              <w:rPr/>
            </w:pPr>
            <w:r>
              <w:rPr>
                <w:spacing w:val="-2"/>
              </w:rPr>
              <w:t>Board and committee performance;</w:t>
            </w:r>
            <w:r>
              <w:rPr/>
              <w:t xml:space="preserve"> </w:t>
            </w:r>
            <w:r>
              <mc:AlternateContent>
                <mc:Choice Requires="wps">
                  <w:drawing>
                    <wp:anchor behindDoc="0" distT="101600" distB="0" distL="0" distR="0" simplePos="0" locked="0" layoutInCell="1" allowOverlap="1" relativeHeight="285">
                      <wp:simplePos x="0" y="0"/>
                      <wp:positionH relativeFrom="column">
                        <wp:align>left</wp:align>
                      </wp:positionH>
                      <wp:positionV relativeFrom="line">
                        <wp:align>top</wp:align>
                      </wp:positionV>
                      <wp:extent cx="228600" cy="350520"/>
                      <wp:effectExtent l="0" t="0" r="0" b="0"/>
                      <wp:wrapSquare wrapText="right"/>
                      <wp:docPr id="233" name="Frame15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60" w:after="0"/>
              <w:ind w:left="360" w:right="0" w:hanging="0"/>
              <w:jc w:val="left"/>
              <w:rPr/>
            </w:pPr>
            <w:r>
              <w:rPr>
                <w:spacing w:val="-2"/>
              </w:rPr>
              <w:t>Roles and duties of the Board members;</w:t>
            </w:r>
            <w:r>
              <w:rPr/>
              <w:t xml:space="preserve"> </w:t>
            </w:r>
            <w:r>
              <mc:AlternateContent>
                <mc:Choice Requires="wps">
                  <w:drawing>
                    <wp:anchor behindDoc="0" distT="101600" distB="0" distL="0" distR="0" simplePos="0" locked="0" layoutInCell="1" allowOverlap="1" relativeHeight="286">
                      <wp:simplePos x="0" y="0"/>
                      <wp:positionH relativeFrom="column">
                        <wp:align>left</wp:align>
                      </wp:positionH>
                      <wp:positionV relativeFrom="line">
                        <wp:align>top</wp:align>
                      </wp:positionV>
                      <wp:extent cx="228600" cy="350520"/>
                      <wp:effectExtent l="0" t="0" r="0" b="0"/>
                      <wp:wrapSquare wrapText="right"/>
                      <wp:docPr id="234" name="Frame15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60" w:after="0"/>
              <w:ind w:left="360" w:right="0" w:hanging="0"/>
              <w:jc w:val="left"/>
              <w:rPr/>
            </w:pPr>
            <w:r>
              <w:rPr>
                <w:spacing w:val="-2"/>
              </w:rPr>
              <w:t>Board involvement and engagement; and</w:t>
            </w:r>
            <w:r>
              <w:rPr/>
              <w:t xml:space="preserve"> </w:t>
            </w:r>
            <w:r>
              <mc:AlternateContent>
                <mc:Choice Requires="wps">
                  <w:drawing>
                    <wp:anchor behindDoc="0" distT="101600" distB="0" distL="0" distR="0" simplePos="0" locked="0" layoutInCell="1" allowOverlap="1" relativeHeight="287">
                      <wp:simplePos x="0" y="0"/>
                      <wp:positionH relativeFrom="column">
                        <wp:align>left</wp:align>
                      </wp:positionH>
                      <wp:positionV relativeFrom="line">
                        <wp:align>top</wp:align>
                      </wp:positionV>
                      <wp:extent cx="228600" cy="350520"/>
                      <wp:effectExtent l="0" t="0" r="0" b="0"/>
                      <wp:wrapSquare wrapText="right"/>
                      <wp:docPr id="235" name="Frame15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60" w:after="0"/>
              <w:ind w:left="360" w:right="0" w:hanging="0"/>
              <w:jc w:val="left"/>
              <w:rPr>
                <w:spacing w:val="-2"/>
              </w:rPr>
            </w:pPr>
            <w:r>
              <w:rPr>
                <w:spacing w:val="-2"/>
              </w:rPr>
              <w:t xml:space="preserve">Overall Board and individual director effectiveness </w:t>
            </w:r>
            <w:r>
              <mc:AlternateContent>
                <mc:Choice Requires="wps">
                  <w:drawing>
                    <wp:anchor behindDoc="0" distT="101600" distB="0" distL="0" distR="0" simplePos="0" locked="0" layoutInCell="1" allowOverlap="1" relativeHeight="288">
                      <wp:simplePos x="0" y="0"/>
                      <wp:positionH relativeFrom="column">
                        <wp:align>left</wp:align>
                      </wp:positionH>
                      <wp:positionV relativeFrom="line">
                        <wp:align>top</wp:align>
                      </wp:positionV>
                      <wp:extent cx="228600" cy="350520"/>
                      <wp:effectExtent l="0" t="0" r="0" b="0"/>
                      <wp:wrapSquare wrapText="right"/>
                      <wp:docPr id="236" name="Frame15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both"/>
              <w:rPr/>
            </w:pPr>
            <w:r>
              <w:rPr/>
              <w:t>​</w:t>
            </w:r>
          </w:p>
        </w:tc>
        <w:tc>
          <w:tcPr>
            <w:tcW w:w="155"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860" w:type="dxa"/>
            <w:tcBorders>
              <w:bottom w:val="single" w:sz="2" w:space="0" w:color="CBCAC8"/>
            </w:tcBorders>
            <w:tcMar>
              <w:bottom w:w="37" w:type="dxa"/>
            </w:tcMar>
            <w:vAlign w:val="center"/>
          </w:tcPr>
          <w:p>
            <w:pPr>
              <w:pStyle w:val="TableContents"/>
              <w:bidi w:val="0"/>
              <w:spacing w:lineRule="atLeast" w:line="240" w:before="0" w:after="0"/>
              <w:ind w:left="360" w:right="0" w:hanging="0"/>
              <w:jc w:val="both"/>
              <w:rPr>
                <w:spacing w:val="-2"/>
              </w:rPr>
            </w:pPr>
            <w:r>
              <w:rPr>
                <w:spacing w:val="-2"/>
              </w:rPr>
              <w:t xml:space="preserve">One-on-One Discussions </w:t>
            </w:r>
            <w:r>
              <mc:AlternateContent>
                <mc:Choice Requires="wps">
                  <w:drawing>
                    <wp:anchor behindDoc="0" distT="0" distB="0" distL="0" distR="0" simplePos="0" locked="0" layoutInCell="1" allowOverlap="1" relativeHeight="289">
                      <wp:simplePos x="0" y="0"/>
                      <wp:positionH relativeFrom="column">
                        <wp:align>left</wp:align>
                      </wp:positionH>
                      <wp:positionV relativeFrom="line">
                        <wp:posOffset>635</wp:posOffset>
                      </wp:positionV>
                      <wp:extent cx="228600" cy="350520"/>
                      <wp:effectExtent l="0" t="0" r="0" b="0"/>
                      <wp:wrapSquare wrapText="right"/>
                      <wp:docPr id="237" name="Frame15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6947" w:type="dxa"/>
            <w:tcBorders>
              <w:bottom w:val="single" w:sz="2" w:space="0" w:color="CBCAC8"/>
            </w:tcBorders>
            <w:tcMar>
              <w:bottom w:w="37" w:type="dxa"/>
            </w:tcMar>
            <w:vAlign w:val="center"/>
          </w:tcPr>
          <w:p>
            <w:pPr>
              <w:pStyle w:val="TableContents"/>
              <w:bidi w:val="0"/>
              <w:spacing w:before="0" w:after="0"/>
              <w:jc w:val="both"/>
              <w:rPr>
                <w:spacing w:val="-2"/>
              </w:rPr>
            </w:pPr>
            <w:r>
              <w:rPr>
                <w:spacing w:val="-2"/>
              </w:rPr>
              <w:t xml:space="preserve">Every third year (most recently in 2023), the N&amp;CG engages an independent third party to conduct one-on-one discussions with each director to solicit additional feedback and provide independent feedback </w:t>
            </w:r>
          </w:p>
        </w:tc>
        <w:tc>
          <w:tcPr>
            <w:tcW w:w="155"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860" w:type="dxa"/>
            <w:tcBorders>
              <w:bottom w:val="single" w:sz="2" w:space="0" w:color="CBCAC8"/>
            </w:tcBorders>
            <w:tcMar>
              <w:bottom w:w="37" w:type="dxa"/>
            </w:tcMar>
            <w:vAlign w:val="center"/>
          </w:tcPr>
          <w:p>
            <w:pPr>
              <w:pStyle w:val="TableContents"/>
              <w:bidi w:val="0"/>
              <w:spacing w:lineRule="atLeast" w:line="240" w:before="0" w:after="0"/>
              <w:ind w:left="360" w:right="0" w:hanging="0"/>
              <w:jc w:val="left"/>
              <w:rPr>
                <w:spacing w:val="-2"/>
              </w:rPr>
            </w:pPr>
            <w:r>
              <w:rPr>
                <w:spacing w:val="-2"/>
              </w:rPr>
              <w:t xml:space="preserve">N&amp;CG Review and </w:t>
              <w:br/>
              <w:t xml:space="preserve">Analysis </w:t>
            </w:r>
            <w:r>
              <mc:AlternateContent>
                <mc:Choice Requires="wps">
                  <w:drawing>
                    <wp:anchor behindDoc="0" distT="0" distB="0" distL="0" distR="0" simplePos="0" locked="0" layoutInCell="1" allowOverlap="1" relativeHeight="290">
                      <wp:simplePos x="0" y="0"/>
                      <wp:positionH relativeFrom="column">
                        <wp:align>left</wp:align>
                      </wp:positionH>
                      <wp:positionV relativeFrom="line">
                        <wp:posOffset>635</wp:posOffset>
                      </wp:positionV>
                      <wp:extent cx="228600" cy="350520"/>
                      <wp:effectExtent l="0" t="0" r="0" b="0"/>
                      <wp:wrapSquare wrapText="right"/>
                      <wp:docPr id="238" name="Frame15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6947" w:type="dxa"/>
            <w:tcBorders>
              <w:bottom w:val="single" w:sz="2" w:space="0" w:color="CBCAC8"/>
            </w:tcBorders>
            <w:tcMar>
              <w:bottom w:w="37" w:type="dxa"/>
            </w:tcMar>
            <w:vAlign w:val="center"/>
          </w:tcPr>
          <w:p>
            <w:pPr>
              <w:pStyle w:val="TableContents"/>
              <w:bidi w:val="0"/>
              <w:spacing w:before="0" w:after="0"/>
              <w:jc w:val="both"/>
              <w:rPr>
                <w:spacing w:val="-2"/>
              </w:rPr>
            </w:pPr>
            <w:r>
              <w:rPr>
                <w:spacing w:val="-2"/>
              </w:rPr>
              <w:t xml:space="preserve">Anonymized written results provided to the N&amp;CG, which reviews and discusses the results at an in-person meeting. </w:t>
            </w:r>
          </w:p>
        </w:tc>
        <w:tc>
          <w:tcPr>
            <w:tcW w:w="155"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860" w:type="dxa"/>
            <w:tcBorders>
              <w:bottom w:val="single" w:sz="2" w:space="0" w:color="CBCAC8"/>
            </w:tcBorders>
            <w:tcMar>
              <w:bottom w:w="37" w:type="dxa"/>
            </w:tcMar>
            <w:vAlign w:val="center"/>
          </w:tcPr>
          <w:p>
            <w:pPr>
              <w:pStyle w:val="TableContents"/>
              <w:bidi w:val="0"/>
              <w:spacing w:lineRule="atLeast" w:line="240" w:before="0" w:after="0"/>
              <w:ind w:left="360" w:right="0" w:hanging="0"/>
              <w:jc w:val="left"/>
              <w:rPr>
                <w:spacing w:val="-2"/>
              </w:rPr>
            </w:pPr>
            <w:r>
              <w:rPr>
                <w:spacing w:val="-2"/>
              </w:rPr>
              <w:t xml:space="preserve">Board Review and </w:t>
              <w:br/>
              <w:t xml:space="preserve">Analysis </w:t>
            </w:r>
            <w:r>
              <mc:AlternateContent>
                <mc:Choice Requires="wps">
                  <w:drawing>
                    <wp:anchor behindDoc="0" distT="0" distB="0" distL="0" distR="0" simplePos="0" locked="0" layoutInCell="1" allowOverlap="1" relativeHeight="291">
                      <wp:simplePos x="0" y="0"/>
                      <wp:positionH relativeFrom="column">
                        <wp:align>left</wp:align>
                      </wp:positionH>
                      <wp:positionV relativeFrom="line">
                        <wp:posOffset>635</wp:posOffset>
                      </wp:positionV>
                      <wp:extent cx="228600" cy="350520"/>
                      <wp:effectExtent l="0" t="0" r="0" b="0"/>
                      <wp:wrapSquare wrapText="right"/>
                      <wp:docPr id="239" name="Frame15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6947" w:type="dxa"/>
            <w:tcBorders>
              <w:bottom w:val="single" w:sz="2" w:space="0" w:color="CBCAC8"/>
            </w:tcBorders>
            <w:tcMar>
              <w:bottom w:w="37" w:type="dxa"/>
            </w:tcMar>
            <w:vAlign w:val="center"/>
          </w:tcPr>
          <w:p>
            <w:pPr>
              <w:pStyle w:val="TableContents"/>
              <w:bidi w:val="0"/>
              <w:spacing w:before="0" w:after="0"/>
              <w:jc w:val="both"/>
              <w:rPr>
                <w:spacing w:val="-2"/>
              </w:rPr>
            </w:pPr>
            <w:r>
              <w:rPr>
                <w:spacing w:val="-2"/>
              </w:rPr>
              <w:t xml:space="preserve">Summary of Board and committee evaluation results presented to the full Board for discussion at an in-person meeting </w:t>
            </w:r>
          </w:p>
        </w:tc>
        <w:tc>
          <w:tcPr>
            <w:tcW w:w="155"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860" w:type="dxa"/>
            <w:tcBorders>
              <w:bottom w:val="single" w:sz="2" w:space="0" w:color="CBCAC8"/>
            </w:tcBorders>
            <w:tcMar>
              <w:bottom w:w="37" w:type="dxa"/>
            </w:tcMar>
            <w:vAlign w:val="center"/>
          </w:tcPr>
          <w:p>
            <w:pPr>
              <w:pStyle w:val="TableContents"/>
              <w:bidi w:val="0"/>
              <w:spacing w:lineRule="atLeast" w:line="200" w:before="0" w:after="0"/>
              <w:ind w:left="360" w:right="0" w:hanging="0"/>
              <w:jc w:val="left"/>
              <w:rPr>
                <w:spacing w:val="-2"/>
              </w:rPr>
            </w:pPr>
            <w:r>
              <w:rPr>
                <w:spacing w:val="-2"/>
              </w:rPr>
              <w:t xml:space="preserve">Feedback Incorporated </w:t>
            </w:r>
            <w:r>
              <mc:AlternateContent>
                <mc:Choice Requires="wps">
                  <w:drawing>
                    <wp:anchor behindDoc="0" distT="0" distB="0" distL="0" distR="0" simplePos="0" locked="0" layoutInCell="1" allowOverlap="1" relativeHeight="292">
                      <wp:simplePos x="0" y="0"/>
                      <wp:positionH relativeFrom="column">
                        <wp:align>left</wp:align>
                      </wp:positionH>
                      <wp:positionV relativeFrom="line">
                        <wp:posOffset>635</wp:posOffset>
                      </wp:positionV>
                      <wp:extent cx="228600" cy="350520"/>
                      <wp:effectExtent l="0" t="0" r="0" b="0"/>
                      <wp:wrapSquare wrapText="right"/>
                      <wp:docPr id="240" name="Frame16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6947" w:type="dxa"/>
            <w:tcBorders>
              <w:bottom w:val="single" w:sz="2" w:space="0" w:color="CBCAC8"/>
            </w:tcBorders>
            <w:tcMar>
              <w:bottom w:w="37" w:type="dxa"/>
            </w:tcMar>
            <w:vAlign w:val="center"/>
          </w:tcPr>
          <w:p>
            <w:pPr>
              <w:pStyle w:val="TableContents"/>
              <w:bidi w:val="0"/>
              <w:spacing w:before="0" w:after="283"/>
              <w:jc w:val="left"/>
              <w:rPr/>
            </w:pPr>
            <w:r>
              <w:rPr>
                <w:spacing w:val="-2"/>
              </w:rPr>
              <w:t>Policies and practices updated as appropriate as a result of director feedback</w:t>
            </w:r>
            <w:r>
              <w:rPr/>
              <w:t xml:space="preserve"> </w:t>
            </w:r>
          </w:p>
        </w:tc>
        <w:tc>
          <w:tcPr>
            <w:tcW w:w="155" w:type="dxa"/>
            <w:tcBorders>
              <w:bottom w:val="single" w:sz="2" w:space="0" w:color="CBCAC8"/>
            </w:tcBorders>
            <w:vAlign w:val="center"/>
          </w:tcPr>
          <w:p>
            <w:pPr>
              <w:pStyle w:val="TableContents"/>
              <w:bidi w:val="0"/>
              <w:spacing w:before="0" w:after="283"/>
              <w:jc w:val="left"/>
              <w:rPr/>
            </w:pPr>
            <w:r>
              <w:rPr/>
              <w:t>​</w:t>
            </w:r>
          </w:p>
        </w:tc>
      </w:tr>
    </w:tbl>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20 \ 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2DC"/>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The Board, Its Committees and Its Compensation</w:t>
      </w:r>
      <w:r>
        <w:rPr>
          <w:rFonts w:ascii="Arial;Helvetica;sans-serif" w:hAnsi="Arial;Helvetica;sans-serif"/>
          <w:b/>
          <w:i w:val="false"/>
          <w:caps w:val="false"/>
          <w:smallCaps w:val="false"/>
          <w:color w:val="7F7F7F"/>
          <w:sz w:val="22"/>
        </w:rPr>
        <w:t>​</w:t>
      </w:r>
    </w:p>
    <w:p>
      <w:pPr>
        <w:pStyle w:val="TextBody"/>
        <w:bidi w:val="0"/>
        <w:spacing w:lineRule="atLeast" w:line="340" w:before="120" w:after="283"/>
        <w:ind w:left="901"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2025 DIRECTOR COMPENSATION</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2E2925"/>
          <w:sz w:val="20"/>
        </w:rPr>
      </w:pPr>
      <w:r>
        <w:rPr>
          <w:rFonts w:ascii="Arial;Helvetica;sans-serif" w:hAnsi="Arial;Helvetica;sans-serif"/>
          <w:b/>
          <w:i w:val="false"/>
          <w:caps/>
          <w:color w:val="2E2925"/>
          <w:spacing w:val="-3"/>
          <w:sz w:val="20"/>
        </w:rPr>
        <w:t>ANNUAL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table below summarizes the Company’s non-employee director compensation program.</w:t>
      </w:r>
      <w:r>
        <w:rPr>
          <w:rFonts w:ascii="Arial;Helvetica;sans-serif" w:hAnsi="Arial;Helvetica;sans-serif"/>
          <w:b w:val="false"/>
          <w:i w:val="false"/>
          <w:caps w:val="false"/>
          <w:smallCaps w:val="false"/>
          <w:color w:val="000000"/>
          <w:spacing w:val="4"/>
          <w:sz w:val="20"/>
        </w:rPr>
        <w:t xml:space="preserve"> </w:t>
      </w:r>
    </w:p>
    <w:tbl>
      <w:tblPr>
        <w:tblW w:w="8902" w:type="dxa"/>
        <w:jc w:val="left"/>
        <w:tblInd w:w="901" w:type="dxa"/>
        <w:tblLayout w:type="fixed"/>
        <w:tblCellMar>
          <w:top w:w="0" w:type="dxa"/>
          <w:left w:w="0" w:type="dxa"/>
          <w:bottom w:w="0" w:type="dxa"/>
          <w:right w:w="0" w:type="dxa"/>
        </w:tblCellMar>
      </w:tblPr>
      <w:tblGrid>
        <w:gridCol w:w="124"/>
        <w:gridCol w:w="6848"/>
        <w:gridCol w:w="109"/>
        <w:gridCol w:w="109"/>
        <w:gridCol w:w="109"/>
        <w:gridCol w:w="109"/>
        <w:gridCol w:w="1231"/>
        <w:gridCol w:w="109"/>
        <w:gridCol w:w="154"/>
      </w:tblGrid>
      <w:tr>
        <w:trPr/>
        <w:tc>
          <w:tcPr>
            <w:tcW w:w="124" w:type="dxa"/>
            <w:tcBorders/>
            <w:shd w:fill="BAD8EA" w:val="clear"/>
            <w:vAlign w:val="center"/>
          </w:tcPr>
          <w:p>
            <w:pPr>
              <w:pStyle w:val="TableContents"/>
              <w:bidi w:val="0"/>
              <w:spacing w:before="0" w:after="283"/>
              <w:jc w:val="left"/>
              <w:rPr/>
            </w:pPr>
            <w:r>
              <w:rPr/>
              <w:t>​</w:t>
            </w:r>
          </w:p>
        </w:tc>
        <w:tc>
          <w:tcPr>
            <w:tcW w:w="6848"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558" w:type="dxa"/>
            <w:gridSpan w:val="4"/>
            <w:tcBorders/>
            <w:shd w:fill="BAD8EA" w:val="clear"/>
            <w:vAlign w:val="center"/>
          </w:tcPr>
          <w:p>
            <w:pPr>
              <w:pStyle w:val="TableContents"/>
              <w:bidi w:val="0"/>
              <w:spacing w:before="0" w:after="0"/>
              <w:jc w:val="center"/>
              <w:rPr>
                <w:spacing w:val="0"/>
              </w:rPr>
            </w:pPr>
            <w:r>
              <w:rPr>
                <w:spacing w:val="0"/>
              </w:rPr>
              <w:t xml:space="preserve">Total </w:t>
            </w:r>
          </w:p>
        </w:tc>
        <w:tc>
          <w:tcPr>
            <w:tcW w:w="154"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CBCAC8"/>
            </w:tcBorders>
            <w:shd w:fill="7F7F7F" w:val="clear"/>
            <w:tcMar>
              <w:bottom w:w="28" w:type="dxa"/>
            </w:tcMar>
            <w:vAlign w:val="center"/>
          </w:tcPr>
          <w:p>
            <w:pPr>
              <w:pStyle w:val="TableContents"/>
              <w:bidi w:val="0"/>
              <w:spacing w:before="0" w:after="283"/>
              <w:jc w:val="left"/>
              <w:rPr/>
            </w:pPr>
            <w:r>
              <w:rPr/>
              <w:t>​</w:t>
            </w:r>
          </w:p>
        </w:tc>
        <w:tc>
          <w:tcPr>
            <w:tcW w:w="6848" w:type="dxa"/>
            <w:tcBorders>
              <w:bottom w:val="single" w:sz="2" w:space="0" w:color="CBCAC8"/>
            </w:tcBorders>
            <w:shd w:fill="7F7F7F" w:val="clear"/>
            <w:tcMar>
              <w:bottom w:w="50" w:type="dxa"/>
            </w:tcMar>
            <w:vAlign w:val="center"/>
          </w:tcPr>
          <w:p>
            <w:pPr>
              <w:pStyle w:val="TableContents"/>
              <w:bidi w:val="0"/>
              <w:spacing w:before="0" w:after="283"/>
              <w:jc w:val="left"/>
              <w:rPr/>
            </w:pPr>
            <w:r>
              <w:rPr>
                <w:spacing w:val="0"/>
              </w:rPr>
              <w:t>Board Service:</w:t>
            </w:r>
            <w:r>
              <w:rPr/>
              <w:t xml:space="preserve"> </w:t>
            </w:r>
          </w:p>
        </w:tc>
        <w:tc>
          <w:tcPr>
            <w:tcW w:w="109" w:type="dxa"/>
            <w:tcBorders>
              <w:bottom w:val="single" w:sz="2" w:space="0" w:color="CBCAC8"/>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1231" w:type="dxa"/>
            <w:tcBorders>
              <w:bottom w:val="single" w:sz="2" w:space="0" w:color="CBCAC8"/>
            </w:tcBorders>
            <w:tcMar>
              <w:bottom w:w="50" w:type="dxa"/>
            </w:tcMar>
            <w:vAlign w:val="center"/>
          </w:tcPr>
          <w:p>
            <w:pPr>
              <w:pStyle w:val="TableContents"/>
              <w:bidi w:val="0"/>
              <w:spacing w:before="0" w:after="283"/>
              <w:jc w:val="righ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848"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Annual Retainer ($145,000 Restricted Stock Award and $75,000 Cash)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1231" w:type="dxa"/>
            <w:tcBorders>
              <w:bottom w:val="single" w:sz="2" w:space="0" w:color="CBCAC8"/>
            </w:tcBorders>
            <w:tcMar>
              <w:bottom w:w="50" w:type="dxa"/>
            </w:tcMar>
            <w:vAlign w:val="center"/>
          </w:tcPr>
          <w:p>
            <w:pPr>
              <w:pStyle w:val="TableContents"/>
              <w:bidi w:val="0"/>
              <w:spacing w:before="0" w:after="283"/>
              <w:jc w:val="right"/>
              <w:rPr/>
            </w:pPr>
            <w:r>
              <w:rPr/>
              <w:t>$220,000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848"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Annual Board Chair Retainer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1231" w:type="dxa"/>
            <w:tcBorders>
              <w:bottom w:val="single" w:sz="2" w:space="0" w:color="CBCAC8"/>
            </w:tcBorders>
            <w:tcMar>
              <w:bottom w:w="50" w:type="dxa"/>
            </w:tcMar>
            <w:vAlign w:val="center"/>
          </w:tcPr>
          <w:p>
            <w:pPr>
              <w:pStyle w:val="TableContents"/>
              <w:bidi w:val="0"/>
              <w:spacing w:before="0" w:after="283"/>
              <w:jc w:val="right"/>
              <w:rPr/>
            </w:pPr>
            <w:r>
              <w:rPr/>
              <w:t>$150,000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848"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Annual Presiding Director Retainer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1231" w:type="dxa"/>
            <w:tcBorders>
              <w:bottom w:val="single" w:sz="2" w:space="0" w:color="CBCAC8"/>
            </w:tcBorders>
            <w:tcMar>
              <w:bottom w:w="50" w:type="dxa"/>
            </w:tcMar>
            <w:vAlign w:val="center"/>
          </w:tcPr>
          <w:p>
            <w:pPr>
              <w:pStyle w:val="TableContents"/>
              <w:bidi w:val="0"/>
              <w:spacing w:before="0" w:after="283"/>
              <w:jc w:val="right"/>
              <w:rPr/>
            </w:pPr>
            <w:r>
              <w:rPr/>
              <w:t>$50,000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shd w:fill="7F7F7F" w:val="clear"/>
            <w:tcMar>
              <w:bottom w:w="28" w:type="dxa"/>
            </w:tcMar>
            <w:vAlign w:val="center"/>
          </w:tcPr>
          <w:p>
            <w:pPr>
              <w:pStyle w:val="TableContents"/>
              <w:bidi w:val="0"/>
              <w:spacing w:before="0" w:after="283"/>
              <w:jc w:val="left"/>
              <w:rPr/>
            </w:pPr>
            <w:r>
              <w:rPr/>
              <w:t>​</w:t>
            </w:r>
          </w:p>
        </w:tc>
        <w:tc>
          <w:tcPr>
            <w:tcW w:w="6848" w:type="dxa"/>
            <w:tcBorders>
              <w:bottom w:val="single" w:sz="2" w:space="0" w:color="CBCAC8"/>
            </w:tcBorders>
            <w:shd w:fill="7F7F7F" w:val="clear"/>
            <w:tcMar>
              <w:bottom w:w="50" w:type="dxa"/>
            </w:tcMar>
            <w:vAlign w:val="center"/>
          </w:tcPr>
          <w:p>
            <w:pPr>
              <w:pStyle w:val="TableContents"/>
              <w:bidi w:val="0"/>
              <w:spacing w:before="0" w:after="283"/>
              <w:jc w:val="left"/>
              <w:rPr/>
            </w:pPr>
            <w:r>
              <w:rPr>
                <w:spacing w:val="0"/>
              </w:rPr>
              <w:t>Committee Service:</w:t>
            </w:r>
            <w:r>
              <w:rPr/>
              <w:t xml:space="preserve"> </w:t>
            </w:r>
          </w:p>
        </w:tc>
        <w:tc>
          <w:tcPr>
            <w:tcW w:w="109" w:type="dxa"/>
            <w:tcBorders>
              <w:bottom w:val="single" w:sz="2" w:space="0" w:color="CBCAC8"/>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1231" w:type="dxa"/>
            <w:tcBorders>
              <w:bottom w:val="single" w:sz="2" w:space="0" w:color="CBCAC8"/>
            </w:tcBorders>
            <w:tcMar>
              <w:bottom w:w="50" w:type="dxa"/>
            </w:tcMar>
            <w:vAlign w:val="center"/>
          </w:tcPr>
          <w:p>
            <w:pPr>
              <w:pStyle w:val="TableContents"/>
              <w:bidi w:val="0"/>
              <w:spacing w:before="0" w:after="283"/>
              <w:jc w:val="righ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848"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Annual Audit Committee Chair Retainer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1231" w:type="dxa"/>
            <w:tcBorders>
              <w:bottom w:val="single" w:sz="2" w:space="0" w:color="CBCAC8"/>
            </w:tcBorders>
            <w:tcMar>
              <w:bottom w:w="50" w:type="dxa"/>
            </w:tcMar>
            <w:vAlign w:val="center"/>
          </w:tcPr>
          <w:p>
            <w:pPr>
              <w:pStyle w:val="TableContents"/>
              <w:bidi w:val="0"/>
              <w:spacing w:before="0" w:after="283"/>
              <w:jc w:val="right"/>
              <w:rPr/>
            </w:pPr>
            <w:r>
              <w:rPr/>
              <w:t>$30,000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848"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Annual Audit Committee Member Retainer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1231" w:type="dxa"/>
            <w:tcBorders>
              <w:bottom w:val="single" w:sz="2" w:space="0" w:color="CBCAC8"/>
            </w:tcBorders>
            <w:tcMar>
              <w:bottom w:w="50" w:type="dxa"/>
            </w:tcMar>
            <w:vAlign w:val="center"/>
          </w:tcPr>
          <w:p>
            <w:pPr>
              <w:pStyle w:val="TableContents"/>
              <w:bidi w:val="0"/>
              <w:spacing w:before="0" w:after="283"/>
              <w:jc w:val="right"/>
              <w:rPr/>
            </w:pPr>
            <w:r>
              <w:rPr/>
              <w:t>$15,000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848"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Annual Compensation Committee Chair Retainer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1231" w:type="dxa"/>
            <w:tcBorders>
              <w:bottom w:val="single" w:sz="2" w:space="0" w:color="CBCAC8"/>
            </w:tcBorders>
            <w:tcMar>
              <w:bottom w:w="50" w:type="dxa"/>
            </w:tcMar>
            <w:vAlign w:val="center"/>
          </w:tcPr>
          <w:p>
            <w:pPr>
              <w:pStyle w:val="TableContents"/>
              <w:bidi w:val="0"/>
              <w:spacing w:before="0" w:after="283"/>
              <w:jc w:val="right"/>
              <w:rPr/>
            </w:pPr>
            <w:r>
              <w:rPr/>
              <w:t>$20,000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848"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Annual Compensation Committee Member Retainer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1231" w:type="dxa"/>
            <w:tcBorders>
              <w:bottom w:val="single" w:sz="2" w:space="0" w:color="CBCAC8"/>
            </w:tcBorders>
            <w:tcMar>
              <w:bottom w:w="50" w:type="dxa"/>
            </w:tcMar>
            <w:vAlign w:val="center"/>
          </w:tcPr>
          <w:p>
            <w:pPr>
              <w:pStyle w:val="TableContents"/>
              <w:bidi w:val="0"/>
              <w:spacing w:before="0" w:after="283"/>
              <w:jc w:val="right"/>
              <w:rPr/>
            </w:pPr>
            <w:r>
              <w:rPr/>
              <w:t>$10,000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848"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Annual N&amp;CG Committee Chair Retainer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1231" w:type="dxa"/>
            <w:tcBorders>
              <w:bottom w:val="single" w:sz="2" w:space="0" w:color="CBCAC8"/>
            </w:tcBorders>
            <w:tcMar>
              <w:bottom w:w="50" w:type="dxa"/>
            </w:tcMar>
            <w:vAlign w:val="center"/>
          </w:tcPr>
          <w:p>
            <w:pPr>
              <w:pStyle w:val="TableContents"/>
              <w:bidi w:val="0"/>
              <w:spacing w:before="0" w:after="283"/>
              <w:jc w:val="right"/>
              <w:rPr/>
            </w:pPr>
            <w:r>
              <w:rPr/>
              <w:t>$15,000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848"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Annual N&amp;CG Committee Member Retainer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1231" w:type="dxa"/>
            <w:tcBorders>
              <w:bottom w:val="single" w:sz="2" w:space="0" w:color="CBCAC8"/>
            </w:tcBorders>
            <w:tcMar>
              <w:bottom w:w="50" w:type="dxa"/>
            </w:tcMar>
            <w:vAlign w:val="center"/>
          </w:tcPr>
          <w:p>
            <w:pPr>
              <w:pStyle w:val="TableContents"/>
              <w:bidi w:val="0"/>
              <w:spacing w:before="0" w:after="283"/>
              <w:jc w:val="right"/>
              <w:rPr/>
            </w:pPr>
            <w:r>
              <w:rPr/>
              <w:t>$10,000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848"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Annual Risk Committee Chair Retainer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1231" w:type="dxa"/>
            <w:tcBorders>
              <w:bottom w:val="single" w:sz="2" w:space="0" w:color="CBCAC8"/>
            </w:tcBorders>
            <w:tcMar>
              <w:bottom w:w="50" w:type="dxa"/>
            </w:tcMar>
            <w:vAlign w:val="center"/>
          </w:tcPr>
          <w:p>
            <w:pPr>
              <w:pStyle w:val="TableContents"/>
              <w:bidi w:val="0"/>
              <w:spacing w:before="0" w:after="283"/>
              <w:jc w:val="right"/>
              <w:rPr/>
            </w:pPr>
            <w:r>
              <w:rPr/>
              <w:t>$15,000</w:t>
            </w:r>
            <w:r>
              <w:rPr>
                <w:sz w:val="13"/>
              </w:rPr>
              <w:t>(1)</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848"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Annual Risk Committee Member Retainer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1231" w:type="dxa"/>
            <w:tcBorders>
              <w:bottom w:val="single" w:sz="2" w:space="0" w:color="CBCAC8"/>
            </w:tcBorders>
            <w:tcMar>
              <w:bottom w:w="50" w:type="dxa"/>
            </w:tcMar>
            <w:vAlign w:val="center"/>
          </w:tcPr>
          <w:p>
            <w:pPr>
              <w:pStyle w:val="TableContents"/>
              <w:bidi w:val="0"/>
              <w:spacing w:before="0" w:after="283"/>
              <w:jc w:val="right"/>
              <w:rPr/>
            </w:pPr>
            <w:r>
              <w:rPr/>
              <w:t>$10,000</w:t>
            </w:r>
            <w:r>
              <w:rPr>
                <w:sz w:val="13"/>
              </w:rPr>
              <w:t>(1)</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848"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Annual Technology Committee Chair Retainer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1231" w:type="dxa"/>
            <w:tcBorders>
              <w:bottom w:val="single" w:sz="2" w:space="0" w:color="CBCAC8"/>
            </w:tcBorders>
            <w:tcMar>
              <w:bottom w:w="50" w:type="dxa"/>
            </w:tcMar>
            <w:vAlign w:val="center"/>
          </w:tcPr>
          <w:p>
            <w:pPr>
              <w:pStyle w:val="TableContents"/>
              <w:bidi w:val="0"/>
              <w:spacing w:before="0" w:after="283"/>
              <w:jc w:val="right"/>
              <w:rPr/>
            </w:pPr>
            <w:r>
              <w:rPr/>
              <w:t>$15,000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848"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Annual Technology Committee Member Retainer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1231" w:type="dxa"/>
            <w:tcBorders>
              <w:bottom w:val="single" w:sz="2" w:space="0" w:color="CBCAC8"/>
            </w:tcBorders>
            <w:tcMar>
              <w:bottom w:w="50" w:type="dxa"/>
            </w:tcMar>
            <w:vAlign w:val="center"/>
          </w:tcPr>
          <w:p>
            <w:pPr>
              <w:pStyle w:val="TableContents"/>
              <w:bidi w:val="0"/>
              <w:spacing w:before="0" w:after="283"/>
              <w:jc w:val="right"/>
              <w:rPr/>
            </w:pPr>
            <w:r>
              <w:rPr/>
              <w:t xml:space="preserve">$10,000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848"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Annual Insurance Committee Chair Retainer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1231" w:type="dxa"/>
            <w:tcBorders>
              <w:bottom w:val="single" w:sz="2" w:space="0" w:color="CBCAC8"/>
            </w:tcBorders>
            <w:tcMar>
              <w:bottom w:w="50" w:type="dxa"/>
            </w:tcMar>
            <w:vAlign w:val="center"/>
          </w:tcPr>
          <w:p>
            <w:pPr>
              <w:pStyle w:val="TableContents"/>
              <w:bidi w:val="0"/>
              <w:spacing w:before="0" w:after="283"/>
              <w:jc w:val="right"/>
              <w:rPr/>
            </w:pPr>
            <w:r>
              <w:rPr/>
              <w:t>$15,000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848"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Annual Insurance Committee Member Retainer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1231" w:type="dxa"/>
            <w:tcBorders>
              <w:bottom w:val="single" w:sz="2" w:space="0" w:color="CBCAC8"/>
            </w:tcBorders>
            <w:tcMar>
              <w:bottom w:w="50" w:type="dxa"/>
            </w:tcMar>
            <w:vAlign w:val="center"/>
          </w:tcPr>
          <w:p>
            <w:pPr>
              <w:pStyle w:val="TableContents"/>
              <w:bidi w:val="0"/>
              <w:spacing w:before="0" w:after="283"/>
              <w:jc w:val="right"/>
              <w:rPr/>
            </w:pPr>
            <w:r>
              <w:rPr/>
              <w:t>$10,000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848"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Special Committee Chair Retainer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1231" w:type="dxa"/>
            <w:tcBorders>
              <w:bottom w:val="single" w:sz="2" w:space="0" w:color="CBCAC8"/>
            </w:tcBorders>
            <w:tcMar>
              <w:bottom w:w="50" w:type="dxa"/>
            </w:tcMar>
            <w:vAlign w:val="center"/>
          </w:tcPr>
          <w:p>
            <w:pPr>
              <w:pStyle w:val="TableContents"/>
              <w:bidi w:val="0"/>
              <w:spacing w:before="0" w:after="283"/>
              <w:jc w:val="right"/>
              <w:rPr/>
            </w:pPr>
            <w:r>
              <w:rPr/>
              <w:t>$100,000</w:t>
            </w:r>
            <w:r>
              <w:rPr>
                <w:sz w:val="13"/>
              </w:rPr>
              <w:t>(2)</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848"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Special Committee Member Retainer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1231" w:type="dxa"/>
            <w:tcBorders>
              <w:bottom w:val="single" w:sz="2" w:space="0" w:color="CBCAC8"/>
            </w:tcBorders>
            <w:tcMar>
              <w:bottom w:w="50" w:type="dxa"/>
            </w:tcMar>
            <w:vAlign w:val="center"/>
          </w:tcPr>
          <w:p>
            <w:pPr>
              <w:pStyle w:val="TableContents"/>
              <w:bidi w:val="0"/>
              <w:spacing w:before="0" w:after="283"/>
              <w:jc w:val="right"/>
              <w:rPr/>
            </w:pPr>
            <w:r>
              <w:rPr/>
              <w:t>$75,000</w:t>
            </w:r>
            <w:r>
              <w:rPr>
                <w:sz w:val="13"/>
              </w:rPr>
              <w:t>(2)</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00" w:after="0"/>
        <w:ind w:left="1301"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Risk Committee was dissolved in June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3500" distB="0" distL="0" distR="0" simplePos="0" locked="0" layoutInCell="1" allowOverlap="1" relativeHeight="293">
                <wp:simplePos x="0" y="0"/>
                <wp:positionH relativeFrom="column">
                  <wp:align>left</wp:align>
                </wp:positionH>
                <wp:positionV relativeFrom="line">
                  <wp:align>top</wp:align>
                </wp:positionV>
                <wp:extent cx="254000" cy="279400"/>
                <wp:effectExtent l="0" t="0" r="0" b="0"/>
                <wp:wrapSquare wrapText="right"/>
                <wp:docPr id="241" name="Frame161"/>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1"/>
                          <w:sz w:val="18"/>
                        </w:rPr>
                        <w:t>(1)</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$100,000 Special Committee Chair retainer and $75,000 Special Committee member retainer were each paid in cash to the directors that served on the independent special committee in connection with the May 2025 purchase of common stock by Pershing Square and related agreements with Pershing Square. Mr. Sellers served as chair of the Special Committee; current directors Mr. Williams and Mr. Eun and former directors Dana Hamilton, Beth Kaplan and Steven Shepsman served as members of such committee.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294">
                <wp:simplePos x="0" y="0"/>
                <wp:positionH relativeFrom="column">
                  <wp:align>left</wp:align>
                </wp:positionH>
                <wp:positionV relativeFrom="line">
                  <wp:align>top</wp:align>
                </wp:positionV>
                <wp:extent cx="254000" cy="279400"/>
                <wp:effectExtent l="0" t="0" r="0" b="0"/>
                <wp:wrapSquare wrapText="right"/>
                <wp:docPr id="242" name="Frame162"/>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(2)</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295">
                <wp:simplePos x="0" y="0"/>
                <wp:positionH relativeFrom="column">
                  <wp:align>left</wp:align>
                </wp:positionH>
                <wp:positionV relativeFrom="line">
                  <wp:posOffset>635</wp:posOffset>
                </wp:positionV>
                <wp:extent cx="3055620" cy="3256280"/>
                <wp:effectExtent l="0" t="0" r="0" b="0"/>
                <wp:wrapSquare wrapText="right"/>
                <wp:docPr id="243" name="Frame163"/>
                <a:graphic xmlns:a="http://schemas.openxmlformats.org/drawingml/2006/main">
                  <a:graphicData uri="http://schemas.microsoft.com/office/word/2010/wordprocessingShape">
                    <wps:wsp>
                      <wps:cNvSpPr txBox="1"/>
                      <wps:spPr>
                        <a:xfrm>
                          <a:off x="0" y="0"/>
                          <a:ext cx="3055620" cy="3256280"/>
                        </a:xfrm>
                        <a:prstGeom prst="rect"/>
                        <a:solidFill>
                          <a:srgbClr val="FFFFFF"/>
                        </a:solidFill>
                      </wps:spPr>
                      <wps:txbx>
                        <w:txbxContent>
                          <w:p>
                            <w:pPr>
                              <w:pStyle w:val="TextBody"/>
                              <w:bidi w:val="0"/>
                              <w:spacing w:lineRule="atLeast" w:line="230" w:before="0" w:after="0"/>
                              <w:jc w:val="both"/>
                              <w:rPr/>
                            </w:pPr>
                            <w:r>
                              <w:rPr>
                                <w:spacing w:val="-2"/>
                              </w:rPr>
                              <w:t>Under the Company’s director compensation program, the annual retainer for Board service is payable $145,000 in restricted stock and $75,000 in cash. A director may elect to receive up to all his or her cash retainer in restricted stock. The restricted stock vests on the earlier of the next annual meeting of stockholders or June 1 in the following calendar year (but not less than 50 weeks).</w:t>
                            </w:r>
                            <w:r>
                              <w:rPr>
                                <w:spacing w:val="4"/>
                              </w:rPr>
                              <w:t xml:space="preserve"> </w:t>
                            </w:r>
                          </w:p>
                          <w:p>
                            <w:pPr>
                              <w:pStyle w:val="TextBody"/>
                              <w:bidi w:val="0"/>
                              <w:spacing w:lineRule="atLeast" w:line="230" w:before="160" w:after="283"/>
                              <w:jc w:val="both"/>
                              <w:rPr/>
                            </w:pPr>
                            <w:r>
                              <w:rPr>
                                <w:spacing w:val="-2"/>
                              </w:rPr>
                              <w:t>The Board Chair retainer is $150,000, of which $100,000 is paid in the form of restricted stock, with the remaining $50,000 payable in cash or restricted stock at the Chair’s option. Our current Executive Chairman, Mr. Ackman, has waived all compensation relating to his service as a director. The $50,000 Presiding Director retainer (if applicable) is paid in cash or restricted stock at the Presiding Director’s option.</w:t>
                            </w:r>
                            <w:r>
                              <w:rPr>
                                <w:spacing w:val="4"/>
                              </w:rPr>
                              <w:t xml:space="preserve"> </w:t>
                            </w:r>
                          </w:p>
                        </w:txbxContent>
                      </wps:txbx>
                      <wps:bodyPr anchor="t" lIns="0" tIns="0" rIns="0" bIns="0">
                        <a:noAutofit/>
                      </wps:bodyPr>
                    </wps:wsp>
                  </a:graphicData>
                </a:graphic>
              </wp:anchor>
            </w:drawing>
          </mc:Choice>
          <mc:Fallback>
            <w:pict>
              <v:rect style="position:absolute;rotation:-0;width:240.6pt;height:256.4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30" w:before="0" w:after="0"/>
                        <w:jc w:val="both"/>
                        <w:rPr/>
                      </w:pPr>
                      <w:r>
                        <w:rPr>
                          <w:spacing w:val="-2"/>
                        </w:rPr>
                        <w:t>Under the Company’s director compensation program, the annual retainer for Board service is payable $145,000 in restricted stock and $75,000 in cash. A director may elect to receive up to all his or her cash retainer in restricted stock. The restricted stock vests on the earlier of the next annual meeting of stockholders or June 1 in the following calendar year (but not less than 50 weeks).</w:t>
                      </w:r>
                      <w:r>
                        <w:rPr>
                          <w:spacing w:val="4"/>
                        </w:rPr>
                        <w:t xml:space="preserve"> </w:t>
                      </w:r>
                    </w:p>
                    <w:p>
                      <w:pPr>
                        <w:pStyle w:val="TextBody"/>
                        <w:bidi w:val="0"/>
                        <w:spacing w:lineRule="atLeast" w:line="230" w:before="160" w:after="283"/>
                        <w:jc w:val="both"/>
                        <w:rPr/>
                      </w:pPr>
                      <w:r>
                        <w:rPr>
                          <w:spacing w:val="-2"/>
                        </w:rPr>
                        <w:t>The Board Chair retainer is $150,000, of which $100,000 is paid in the form of restricted stock, with the remaining $50,000 payable in cash or restricted stock at the Chair’s option. Our current Executive Chairman, Mr. Ackman, has waived all compensation relating to his service as a director. The $50,000 Presiding Director retainer (if applicable) is paid in cash or restricted stock at the Presiding Director’s option.</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296">
                <wp:simplePos x="0" y="0"/>
                <wp:positionH relativeFrom="column">
                  <wp:align>left</wp:align>
                </wp:positionH>
                <wp:positionV relativeFrom="line">
                  <wp:posOffset>635</wp:posOffset>
                </wp:positionV>
                <wp:extent cx="3055620" cy="2730500"/>
                <wp:effectExtent l="0" t="0" r="0" b="0"/>
                <wp:wrapSquare wrapText="right"/>
                <wp:docPr id="244" name="Frame164"/>
                <a:graphic xmlns:a="http://schemas.openxmlformats.org/drawingml/2006/main">
                  <a:graphicData uri="http://schemas.microsoft.com/office/word/2010/wordprocessingShape">
                    <wps:wsp>
                      <wps:cNvSpPr txBox="1"/>
                      <wps:spPr>
                        <a:xfrm>
                          <a:off x="0" y="0"/>
                          <a:ext cx="3055620" cy="2730500"/>
                        </a:xfrm>
                        <a:prstGeom prst="rect"/>
                        <a:solidFill>
                          <a:srgbClr val="FFFFFF"/>
                        </a:solidFill>
                      </wps:spPr>
                      <wps:txbx>
                        <w:txbxContent>
                          <w:p>
                            <w:pPr>
                              <w:pStyle w:val="TextBody"/>
                              <w:bidi w:val="0"/>
                              <w:spacing w:lineRule="atLeast" w:line="250" w:before="0" w:after="0"/>
                              <w:jc w:val="both"/>
                              <w:rPr/>
                            </w:pPr>
                            <w:r>
                              <w:rPr>
                                <w:spacing w:val="-2"/>
                              </w:rPr>
                              <w:t>Ms. Panuccio and Mr. Lachman joined the Board upon their election at the 2025 Annual Meeting of Stockholders, which was held on September 30, 2025. Upon their election, each received a $145,000 restricted stock award and receives quarterly cash payments for their service on the Board and applicable committees at the same rate as the other directors.</w:t>
                            </w:r>
                            <w:r>
                              <w:rPr>
                                <w:spacing w:val="4"/>
                              </w:rPr>
                              <w:t xml:space="preserve"> </w:t>
                            </w:r>
                          </w:p>
                          <w:p>
                            <w:pPr>
                              <w:pStyle w:val="TextBody"/>
                              <w:bidi w:val="0"/>
                              <w:spacing w:lineRule="atLeast" w:line="250" w:before="160" w:after="283"/>
                              <w:jc w:val="both"/>
                              <w:rPr/>
                            </w:pPr>
                            <w:r>
                              <w:rPr>
                                <w:spacing w:val="-2"/>
                              </w:rPr>
                              <w:t>The Company also reimburses directors for all expenses incurred in attending Board and Board committee meetings, and up to $10,000 per year in education and training expenses. A director who is, or becomes, an employee of the Company does not receive additional compensation for serving as a director.</w:t>
                            </w:r>
                            <w:r>
                              <w:rPr/>
                              <w:t xml:space="preserve"> </w:t>
                            </w:r>
                          </w:p>
                        </w:txbxContent>
                      </wps:txbx>
                      <wps:bodyPr anchor="t" lIns="0" tIns="0" rIns="0" bIns="0">
                        <a:noAutofit/>
                      </wps:bodyPr>
                    </wps:wsp>
                  </a:graphicData>
                </a:graphic>
              </wp:anchor>
            </w:drawing>
          </mc:Choice>
          <mc:Fallback>
            <w:pict>
              <v:rect style="position:absolute;rotation:-0;width:240.6pt;height:21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50" w:before="0" w:after="0"/>
                        <w:jc w:val="both"/>
                        <w:rPr/>
                      </w:pPr>
                      <w:r>
                        <w:rPr>
                          <w:spacing w:val="-2"/>
                        </w:rPr>
                        <w:t>Ms. Panuccio and Mr. Lachman joined the Board upon their election at the 2025 Annual Meeting of Stockholders, which was held on September 30, 2025. Upon their election, each received a $145,000 restricted stock award and receives quarterly cash payments for their service on the Board and applicable committees at the same rate as the other directors.</w:t>
                      </w:r>
                      <w:r>
                        <w:rPr>
                          <w:spacing w:val="4"/>
                        </w:rPr>
                        <w:t xml:space="preserve"> </w:t>
                      </w:r>
                    </w:p>
                    <w:p>
                      <w:pPr>
                        <w:pStyle w:val="TextBody"/>
                        <w:bidi w:val="0"/>
                        <w:spacing w:lineRule="atLeast" w:line="250" w:before="160" w:after="283"/>
                        <w:jc w:val="both"/>
                        <w:rPr/>
                      </w:pPr>
                      <w:r>
                        <w:rPr>
                          <w:spacing w:val="-2"/>
                        </w:rPr>
                        <w:t>The Company also reimburses directors for all expenses incurred in attending Board and Board committee meetings, and up to $10,000 per year in education and training expenses. A director who is, or becomes, an employee of the Company does not receive additional compensation for serving as a director.</w:t>
                      </w:r>
                      <w:r>
                        <w:rPr/>
                        <w:t xml:space="preserve"> </w:t>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/ 21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The Board, Its Committees and Its Compensation</w:t>
      </w:r>
      <w:r>
        <w:rPr>
          <w:rFonts w:ascii="Arial;Helvetica;sans-serif" w:hAnsi="Arial;Helvetica;sans-serif"/>
          <w:b/>
          <w:i w:val="false"/>
          <w:caps w:val="false"/>
          <w:smallCaps w:val="false"/>
          <w:color w:val="7F7F7F"/>
          <w:spacing w:val="-3"/>
          <w:sz w:val="22"/>
        </w:rPr>
        <w:t xml:space="preserve"> </w:t>
      </w:r>
    </w:p>
    <w:p>
      <w:pPr>
        <w:pStyle w:val="TextBody"/>
        <w:bidi w:val="0"/>
        <w:spacing w:lineRule="atLeast" w:line="240" w:before="80" w:after="283"/>
        <w:ind w:left="901" w:right="0" w:hanging="0"/>
        <w:jc w:val="left"/>
        <w:rPr>
          <w:rFonts w:ascii="Arial;Helvetica;sans-serif" w:hAnsi="Arial;Helvetica;sans-serif"/>
          <w:b/>
          <w:i w:val="false"/>
          <w:caps w:val="false"/>
          <w:smallCaps w:val="false"/>
          <w:color w:val="2E2925"/>
          <w:sz w:val="20"/>
        </w:rPr>
      </w:pPr>
      <w:r>
        <w:rPr>
          <w:rFonts w:ascii="Arial;Helvetica;sans-serif" w:hAnsi="Arial;Helvetica;sans-serif"/>
          <w:b/>
          <w:i w:val="false"/>
          <w:caps/>
          <w:color w:val="2E2925"/>
          <w:spacing w:val="-3"/>
          <w:sz w:val="20"/>
        </w:rPr>
        <w:t>DIRECTOR COMPENSATION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8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table below sets forth the compensation earned by each of the Company’s non-employee directors during 2025. </w:t>
      </w:r>
    </w:p>
    <w:tbl>
      <w:tblPr>
        <w:tblW w:w="8362" w:type="dxa"/>
        <w:jc w:val="left"/>
        <w:tblInd w:w="901" w:type="dxa"/>
        <w:tblLayout w:type="fixed"/>
        <w:tblCellMar>
          <w:top w:w="0" w:type="dxa"/>
          <w:left w:w="0" w:type="dxa"/>
          <w:bottom w:w="0" w:type="dxa"/>
          <w:right w:w="0" w:type="dxa"/>
        </w:tblCellMar>
      </w:tblPr>
      <w:tblGrid>
        <w:gridCol w:w="124"/>
        <w:gridCol w:w="2439"/>
        <w:gridCol w:w="109"/>
        <w:gridCol w:w="109"/>
        <w:gridCol w:w="186"/>
        <w:gridCol w:w="186"/>
        <w:gridCol w:w="1512"/>
        <w:gridCol w:w="186"/>
        <w:gridCol w:w="109"/>
        <w:gridCol w:w="109"/>
        <w:gridCol w:w="153"/>
        <w:gridCol w:w="153"/>
        <w:gridCol w:w="1249"/>
        <w:gridCol w:w="153"/>
        <w:gridCol w:w="109"/>
        <w:gridCol w:w="109"/>
        <w:gridCol w:w="109"/>
        <w:gridCol w:w="109"/>
        <w:gridCol w:w="886"/>
        <w:gridCol w:w="109"/>
        <w:gridCol w:w="154"/>
      </w:tblGrid>
      <w:tr>
        <w:trPr/>
        <w:tc>
          <w:tcPr>
            <w:tcW w:w="124" w:type="dxa"/>
            <w:tcBorders/>
            <w:shd w:fill="BAD8EA" w:val="clear"/>
            <w:vAlign w:val="center"/>
          </w:tcPr>
          <w:p>
            <w:pPr>
              <w:pStyle w:val="TableContents"/>
              <w:bidi w:val="0"/>
              <w:spacing w:before="0" w:after="283"/>
              <w:jc w:val="left"/>
              <w:rPr/>
            </w:pPr>
            <w:r>
              <w:rPr/>
              <w:t>​</w:t>
            </w:r>
          </w:p>
        </w:tc>
        <w:tc>
          <w:tcPr>
            <w:tcW w:w="2439" w:type="dxa"/>
            <w:tcBorders/>
            <w:shd w:fill="BAD8EA" w:val="clear"/>
            <w:vAlign w:val="center"/>
          </w:tcPr>
          <w:p>
            <w:pPr>
              <w:pStyle w:val="TableContents"/>
              <w:bidi w:val="0"/>
              <w:spacing w:lineRule="atLeast" w:line="142" w:before="0" w:after="0"/>
              <w:jc w:val="left"/>
              <w:rPr/>
            </w:pPr>
            <w:r>
              <w:rPr>
                <w:spacing w:val="0"/>
              </w:rPr>
              <w:t>Name</w:t>
            </w:r>
            <w:r>
              <w:rPr>
                <w:spacing w:val="-2"/>
                <w:sz w:val="11"/>
              </w:rPr>
              <w:t>(1)</w:t>
            </w:r>
            <w:r>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2070" w:type="dxa"/>
            <w:gridSpan w:val="4"/>
            <w:tcBorders/>
            <w:shd w:fill="BAD8EA" w:val="clear"/>
            <w:vAlign w:val="center"/>
          </w:tcPr>
          <w:p>
            <w:pPr>
              <w:pStyle w:val="TableContents"/>
              <w:bidi w:val="0"/>
              <w:spacing w:lineRule="atLeast" w:line="202" w:before="0" w:after="0"/>
              <w:jc w:val="center"/>
              <w:rPr/>
            </w:pPr>
            <w:r>
              <w:rPr>
                <w:spacing w:val="0"/>
              </w:rPr>
              <w:t xml:space="preserve">Fees Earned or Paid </w:t>
              <w:br/>
              <w:t>in Cash</w:t>
            </w:r>
            <w:r>
              <w:rPr/>
              <w:t xml:space="preserve"> </w:t>
              <w:br/>
            </w:r>
            <w:r>
              <w:rPr>
                <w:spacing w:val="-2"/>
              </w:rPr>
              <w:t>($)</w:t>
            </w:r>
            <w:r>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708" w:type="dxa"/>
            <w:gridSpan w:val="4"/>
            <w:tcBorders/>
            <w:shd w:fill="BAD8EA" w:val="clear"/>
            <w:vAlign w:val="center"/>
          </w:tcPr>
          <w:p>
            <w:pPr>
              <w:pStyle w:val="TableContents"/>
              <w:bidi w:val="0"/>
              <w:spacing w:lineRule="atLeast" w:line="142" w:before="0" w:after="0"/>
              <w:jc w:val="center"/>
              <w:rPr/>
            </w:pPr>
            <w:r>
              <w:rPr>
                <w:spacing w:val="0"/>
              </w:rPr>
              <w:t xml:space="preserve">Restricted Stock </w:t>
              <w:br/>
              <w:t>Awards</w:t>
            </w:r>
            <w:r>
              <w:rPr/>
              <w:t xml:space="preserve"> </w:t>
              <w:br/>
            </w:r>
            <w:r>
              <w:rPr>
                <w:spacing w:val="-2"/>
              </w:rPr>
              <w:t>($)</w:t>
            </w:r>
            <w:r>
              <w:rPr>
                <w:spacing w:val="-2"/>
                <w:sz w:val="11"/>
              </w:rPr>
              <w:t>(2)</w:t>
            </w:r>
            <w:r>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213" w:type="dxa"/>
            <w:gridSpan w:val="4"/>
            <w:tcBorders/>
            <w:shd w:fill="BAD8EA" w:val="clear"/>
            <w:vAlign w:val="center"/>
          </w:tcPr>
          <w:p>
            <w:pPr>
              <w:pStyle w:val="TableContents"/>
              <w:bidi w:val="0"/>
              <w:spacing w:before="0" w:after="0"/>
              <w:jc w:val="center"/>
              <w:rPr/>
            </w:pPr>
            <w:r>
              <w:rPr>
                <w:spacing w:val="0"/>
              </w:rPr>
              <w:t>Total</w:t>
            </w:r>
            <w:r>
              <w:rPr/>
              <w:t xml:space="preserve"> </w:t>
              <w:br/>
            </w:r>
            <w:r>
              <w:rPr>
                <w:spacing w:val="-2"/>
              </w:rPr>
              <w:t xml:space="preserve">($) </w:t>
            </w:r>
          </w:p>
        </w:tc>
        <w:tc>
          <w:tcPr>
            <w:tcW w:w="154"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439" w:type="dxa"/>
            <w:tcBorders>
              <w:bottom w:val="single" w:sz="2" w:space="0" w:color="CBCAC8"/>
            </w:tcBorders>
            <w:tcMar>
              <w:bottom w:w="30" w:type="dxa"/>
            </w:tcMar>
            <w:vAlign w:val="center"/>
          </w:tcPr>
          <w:p>
            <w:pPr>
              <w:pStyle w:val="TableContents"/>
              <w:bidi w:val="0"/>
              <w:spacing w:lineRule="atLeast" w:line="142" w:before="0" w:after="0"/>
              <w:jc w:val="left"/>
              <w:rPr>
                <w:sz w:val="15"/>
              </w:rPr>
            </w:pPr>
            <w:r>
              <w:rPr>
                <w:spacing w:val="-2"/>
                <w:sz w:val="20"/>
              </w:rPr>
              <w:t>William Ackman</w:t>
            </w:r>
            <w:r>
              <w:rPr>
                <w:spacing w:val="-1"/>
                <w:sz w:val="13"/>
              </w:rPr>
              <w:t>(3)</w:t>
            </w:r>
            <w:r>
              <w:rPr>
                <w:sz w:val="15"/>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30" w:type="dxa"/>
            </w:tcMar>
            <w:vAlign w:val="center"/>
          </w:tcPr>
          <w:p>
            <w:pPr>
              <w:pStyle w:val="TableContents"/>
              <w:bidi w:val="0"/>
              <w:spacing w:before="0" w:after="283"/>
              <w:jc w:val="right"/>
              <w:rPr/>
            </w:pPr>
            <w:r>
              <w:rPr/>
              <w:t>​</w:t>
            </w:r>
          </w:p>
        </w:tc>
        <w:tc>
          <w:tcPr>
            <w:tcW w:w="1512" w:type="dxa"/>
            <w:tcBorders>
              <w:bottom w:val="single" w:sz="2" w:space="0" w:color="CBCAC8"/>
            </w:tcBorders>
            <w:tcMar>
              <w:bottom w:w="30" w:type="dxa"/>
            </w:tcMar>
            <w:vAlign w:val="center"/>
          </w:tcPr>
          <w:p>
            <w:pPr>
              <w:pStyle w:val="TableContents"/>
              <w:bidi w:val="0"/>
              <w:spacing w:before="0" w:after="283"/>
              <w:jc w:val="right"/>
              <w:rPr/>
            </w:pPr>
            <w:r>
              <w:rPr/>
              <w:t>–</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30" w:type="dxa"/>
            </w:tcMar>
            <w:vAlign w:val="center"/>
          </w:tcPr>
          <w:p>
            <w:pPr>
              <w:pStyle w:val="TableContents"/>
              <w:bidi w:val="0"/>
              <w:spacing w:before="0" w:after="283"/>
              <w:jc w:val="right"/>
              <w:rPr/>
            </w:pPr>
            <w:r>
              <w:rPr/>
              <w:t>​</w:t>
            </w:r>
          </w:p>
        </w:tc>
        <w:tc>
          <w:tcPr>
            <w:tcW w:w="1249" w:type="dxa"/>
            <w:tcBorders>
              <w:bottom w:val="single" w:sz="2" w:space="0" w:color="CBCAC8"/>
            </w:tcBorders>
            <w:tcMar>
              <w:bottom w:w="30" w:type="dxa"/>
            </w:tcMar>
            <w:vAlign w:val="center"/>
          </w:tcPr>
          <w:p>
            <w:pPr>
              <w:pStyle w:val="TableContents"/>
              <w:bidi w:val="0"/>
              <w:spacing w:before="0" w:after="283"/>
              <w:jc w:val="right"/>
              <w:rPr/>
            </w:pPr>
            <w:r>
              <w:rPr/>
              <w:t>–</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30" w:type="dxa"/>
            </w:tcMar>
            <w:vAlign w:val="center"/>
          </w:tcPr>
          <w:p>
            <w:pPr>
              <w:pStyle w:val="TableContents"/>
              <w:bidi w:val="0"/>
              <w:spacing w:before="0" w:after="283"/>
              <w:jc w:val="right"/>
              <w:rPr/>
            </w:pPr>
            <w:r>
              <w:rPr/>
              <w:t>​</w:t>
            </w:r>
          </w:p>
        </w:tc>
        <w:tc>
          <w:tcPr>
            <w:tcW w:w="886" w:type="dxa"/>
            <w:tcBorders>
              <w:bottom w:val="single" w:sz="2" w:space="0" w:color="CBCAC8"/>
            </w:tcBorders>
            <w:tcMar>
              <w:bottom w:w="30" w:type="dxa"/>
            </w:tcMar>
            <w:vAlign w:val="center"/>
          </w:tcPr>
          <w:p>
            <w:pPr>
              <w:pStyle w:val="TableContents"/>
              <w:bidi w:val="0"/>
              <w:spacing w:before="0" w:after="283"/>
              <w:jc w:val="righ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439" w:type="dxa"/>
            <w:tcBorders>
              <w:bottom w:val="single" w:sz="2" w:space="0" w:color="CBCAC8"/>
            </w:tcBorders>
            <w:tcMar>
              <w:bottom w:w="30" w:type="dxa"/>
            </w:tcMar>
            <w:vAlign w:val="center"/>
          </w:tcPr>
          <w:p>
            <w:pPr>
              <w:pStyle w:val="TableContents"/>
              <w:bidi w:val="0"/>
              <w:spacing w:lineRule="atLeast" w:line="142" w:before="0" w:after="0"/>
              <w:jc w:val="left"/>
              <w:rPr>
                <w:sz w:val="15"/>
              </w:rPr>
            </w:pPr>
            <w:r>
              <w:rPr>
                <w:spacing w:val="-2"/>
                <w:sz w:val="20"/>
              </w:rPr>
              <w:t>Adam Flatto</w:t>
            </w:r>
            <w:r>
              <w:rPr>
                <w:spacing w:val="-1"/>
                <w:sz w:val="13"/>
              </w:rPr>
              <w:t>(4)</w:t>
            </w:r>
            <w:r>
              <w:rPr>
                <w:sz w:val="15"/>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30" w:type="dxa"/>
            </w:tcMar>
            <w:vAlign w:val="center"/>
          </w:tcPr>
          <w:p>
            <w:pPr>
              <w:pStyle w:val="TableContents"/>
              <w:bidi w:val="0"/>
              <w:spacing w:before="0" w:after="283"/>
              <w:jc w:val="right"/>
              <w:rPr/>
            </w:pPr>
            <w:r>
              <w:rPr/>
              <w:t>​</w:t>
            </w:r>
          </w:p>
        </w:tc>
        <w:tc>
          <w:tcPr>
            <w:tcW w:w="1512" w:type="dxa"/>
            <w:tcBorders>
              <w:bottom w:val="single" w:sz="2" w:space="0" w:color="CBCAC8"/>
            </w:tcBorders>
            <w:tcMar>
              <w:bottom w:w="30" w:type="dxa"/>
            </w:tcMar>
            <w:vAlign w:val="center"/>
          </w:tcPr>
          <w:p>
            <w:pPr>
              <w:pStyle w:val="TableContents"/>
              <w:bidi w:val="0"/>
              <w:spacing w:before="0" w:after="283"/>
              <w:jc w:val="right"/>
              <w:rPr/>
            </w:pPr>
            <w:r>
              <w:rPr/>
              <w:t xml:space="preserve">52,500 </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30" w:type="dxa"/>
            </w:tcMar>
            <w:vAlign w:val="center"/>
          </w:tcPr>
          <w:p>
            <w:pPr>
              <w:pStyle w:val="TableContents"/>
              <w:bidi w:val="0"/>
              <w:spacing w:before="0" w:after="283"/>
              <w:jc w:val="right"/>
              <w:rPr/>
            </w:pPr>
            <w:r>
              <w:rPr/>
              <w:t>​</w:t>
            </w:r>
          </w:p>
        </w:tc>
        <w:tc>
          <w:tcPr>
            <w:tcW w:w="1249" w:type="dxa"/>
            <w:tcBorders>
              <w:bottom w:val="single" w:sz="2" w:space="0" w:color="CBCAC8"/>
            </w:tcBorders>
            <w:tcMar>
              <w:bottom w:w="30" w:type="dxa"/>
            </w:tcMar>
            <w:vAlign w:val="center"/>
          </w:tcPr>
          <w:p>
            <w:pPr>
              <w:pStyle w:val="TableContents"/>
              <w:bidi w:val="0"/>
              <w:spacing w:before="0" w:after="283"/>
              <w:jc w:val="right"/>
              <w:rPr/>
            </w:pPr>
            <w:r>
              <w:rPr/>
              <w:t>–</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30" w:type="dxa"/>
            </w:tcMar>
            <w:vAlign w:val="center"/>
          </w:tcPr>
          <w:p>
            <w:pPr>
              <w:pStyle w:val="TableContents"/>
              <w:bidi w:val="0"/>
              <w:spacing w:before="0" w:after="283"/>
              <w:jc w:val="right"/>
              <w:rPr/>
            </w:pPr>
            <w:r>
              <w:rPr/>
              <w:t>​</w:t>
            </w:r>
          </w:p>
        </w:tc>
        <w:tc>
          <w:tcPr>
            <w:tcW w:w="886" w:type="dxa"/>
            <w:tcBorders>
              <w:bottom w:val="single" w:sz="2" w:space="0" w:color="CBCAC8"/>
            </w:tcBorders>
            <w:tcMar>
              <w:bottom w:w="30" w:type="dxa"/>
            </w:tcMar>
            <w:vAlign w:val="center"/>
          </w:tcPr>
          <w:p>
            <w:pPr>
              <w:pStyle w:val="TableContents"/>
              <w:bidi w:val="0"/>
              <w:spacing w:before="0" w:after="283"/>
              <w:jc w:val="right"/>
              <w:rPr/>
            </w:pPr>
            <w:r>
              <w:rPr/>
              <w:t xml:space="preserve">52,500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439" w:type="dxa"/>
            <w:tcBorders>
              <w:bottom w:val="single" w:sz="2" w:space="0" w:color="CBCAC8"/>
            </w:tcBorders>
            <w:tcMar>
              <w:bottom w:w="30" w:type="dxa"/>
            </w:tcMar>
            <w:vAlign w:val="center"/>
          </w:tcPr>
          <w:p>
            <w:pPr>
              <w:pStyle w:val="TableContents"/>
              <w:bidi w:val="0"/>
              <w:spacing w:lineRule="atLeast" w:line="142" w:before="0" w:after="283"/>
              <w:jc w:val="left"/>
              <w:rPr/>
            </w:pPr>
            <w:r>
              <w:rPr>
                <w:spacing w:val="-2"/>
              </w:rPr>
              <w:t>David Eun</w:t>
            </w:r>
            <w:r>
              <w:rPr>
                <w:spacing w:val="-1"/>
                <w:sz w:val="13"/>
              </w:rPr>
              <w:t>(12)</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30" w:type="dxa"/>
            </w:tcMar>
            <w:vAlign w:val="center"/>
          </w:tcPr>
          <w:p>
            <w:pPr>
              <w:pStyle w:val="TableContents"/>
              <w:bidi w:val="0"/>
              <w:spacing w:before="0" w:after="283"/>
              <w:jc w:val="right"/>
              <w:rPr/>
            </w:pPr>
            <w:r>
              <w:rPr/>
              <w:t>​</w:t>
            </w:r>
          </w:p>
        </w:tc>
        <w:tc>
          <w:tcPr>
            <w:tcW w:w="1512" w:type="dxa"/>
            <w:tcBorders>
              <w:bottom w:val="single" w:sz="2" w:space="0" w:color="CBCAC8"/>
            </w:tcBorders>
            <w:tcMar>
              <w:bottom w:w="30" w:type="dxa"/>
            </w:tcMar>
            <w:vAlign w:val="center"/>
          </w:tcPr>
          <w:p>
            <w:pPr>
              <w:pStyle w:val="TableContents"/>
              <w:bidi w:val="0"/>
              <w:spacing w:before="0" w:after="283"/>
              <w:jc w:val="right"/>
              <w:rPr/>
            </w:pPr>
            <w:r>
              <w:rPr/>
              <w:t>177,500</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30" w:type="dxa"/>
            </w:tcMar>
            <w:vAlign w:val="center"/>
          </w:tcPr>
          <w:p>
            <w:pPr>
              <w:pStyle w:val="TableContents"/>
              <w:bidi w:val="0"/>
              <w:spacing w:before="0" w:after="283"/>
              <w:jc w:val="right"/>
              <w:rPr/>
            </w:pPr>
            <w:r>
              <w:rPr/>
              <w:t>​</w:t>
            </w:r>
          </w:p>
        </w:tc>
        <w:tc>
          <w:tcPr>
            <w:tcW w:w="1249" w:type="dxa"/>
            <w:tcBorders>
              <w:bottom w:val="single" w:sz="2" w:space="0" w:color="CBCAC8"/>
            </w:tcBorders>
            <w:tcMar>
              <w:bottom w:w="30" w:type="dxa"/>
            </w:tcMar>
            <w:vAlign w:val="center"/>
          </w:tcPr>
          <w:p>
            <w:pPr>
              <w:pStyle w:val="TableContents"/>
              <w:bidi w:val="0"/>
              <w:spacing w:before="0" w:after="283"/>
              <w:jc w:val="right"/>
              <w:rPr/>
            </w:pPr>
            <w:r>
              <w:rPr/>
              <w:t>145,000</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30" w:type="dxa"/>
            </w:tcMar>
            <w:vAlign w:val="center"/>
          </w:tcPr>
          <w:p>
            <w:pPr>
              <w:pStyle w:val="TableContents"/>
              <w:bidi w:val="0"/>
              <w:spacing w:before="0" w:after="283"/>
              <w:jc w:val="right"/>
              <w:rPr/>
            </w:pPr>
            <w:r>
              <w:rPr/>
              <w:t>​</w:t>
            </w:r>
          </w:p>
        </w:tc>
        <w:tc>
          <w:tcPr>
            <w:tcW w:w="886" w:type="dxa"/>
            <w:tcBorders>
              <w:bottom w:val="single" w:sz="2" w:space="0" w:color="CBCAC8"/>
            </w:tcBorders>
            <w:tcMar>
              <w:bottom w:w="30" w:type="dxa"/>
            </w:tcMar>
            <w:vAlign w:val="center"/>
          </w:tcPr>
          <w:p>
            <w:pPr>
              <w:pStyle w:val="TableContents"/>
              <w:bidi w:val="0"/>
              <w:spacing w:before="0" w:after="283"/>
              <w:jc w:val="right"/>
              <w:rPr/>
            </w:pPr>
            <w:r>
              <w:rPr/>
              <w:t>322,500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439" w:type="dxa"/>
            <w:tcBorders>
              <w:bottom w:val="single" w:sz="2" w:space="0" w:color="CBCAC8"/>
            </w:tcBorders>
            <w:tcMar>
              <w:bottom w:w="30" w:type="dxa"/>
            </w:tcMar>
            <w:vAlign w:val="center"/>
          </w:tcPr>
          <w:p>
            <w:pPr>
              <w:pStyle w:val="TableContents"/>
              <w:bidi w:val="0"/>
              <w:spacing w:lineRule="atLeast" w:line="142" w:before="0" w:after="0"/>
              <w:jc w:val="left"/>
              <w:rPr>
                <w:sz w:val="15"/>
              </w:rPr>
            </w:pPr>
            <w:r>
              <w:rPr>
                <w:spacing w:val="-2"/>
                <w:sz w:val="20"/>
              </w:rPr>
              <w:t>Ben Hakim</w:t>
            </w:r>
            <w:r>
              <w:rPr>
                <w:spacing w:val="-1"/>
                <w:sz w:val="13"/>
              </w:rPr>
              <w:t>(5)</w:t>
            </w:r>
            <w:r>
              <w:rPr>
                <w:sz w:val="15"/>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30" w:type="dxa"/>
            </w:tcMar>
            <w:vAlign w:val="center"/>
          </w:tcPr>
          <w:p>
            <w:pPr>
              <w:pStyle w:val="TableContents"/>
              <w:bidi w:val="0"/>
              <w:spacing w:before="0" w:after="283"/>
              <w:jc w:val="right"/>
              <w:rPr/>
            </w:pPr>
            <w:r>
              <w:rPr/>
              <w:t>​</w:t>
            </w:r>
          </w:p>
        </w:tc>
        <w:tc>
          <w:tcPr>
            <w:tcW w:w="1512" w:type="dxa"/>
            <w:tcBorders>
              <w:bottom w:val="single" w:sz="2" w:space="0" w:color="CBCAC8"/>
            </w:tcBorders>
            <w:tcMar>
              <w:bottom w:w="30" w:type="dxa"/>
            </w:tcMar>
            <w:vAlign w:val="center"/>
          </w:tcPr>
          <w:p>
            <w:pPr>
              <w:pStyle w:val="TableContents"/>
              <w:bidi w:val="0"/>
              <w:spacing w:before="0" w:after="283"/>
              <w:jc w:val="right"/>
              <w:rPr/>
            </w:pPr>
            <w:r>
              <w:rPr/>
              <w:t>–</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30" w:type="dxa"/>
            </w:tcMar>
            <w:vAlign w:val="center"/>
          </w:tcPr>
          <w:p>
            <w:pPr>
              <w:pStyle w:val="TableContents"/>
              <w:bidi w:val="0"/>
              <w:spacing w:before="0" w:after="283"/>
              <w:jc w:val="right"/>
              <w:rPr/>
            </w:pPr>
            <w:r>
              <w:rPr/>
              <w:t>​</w:t>
            </w:r>
          </w:p>
        </w:tc>
        <w:tc>
          <w:tcPr>
            <w:tcW w:w="1249" w:type="dxa"/>
            <w:tcBorders>
              <w:bottom w:val="single" w:sz="2" w:space="0" w:color="CBCAC8"/>
            </w:tcBorders>
            <w:tcMar>
              <w:bottom w:w="30" w:type="dxa"/>
            </w:tcMar>
            <w:vAlign w:val="center"/>
          </w:tcPr>
          <w:p>
            <w:pPr>
              <w:pStyle w:val="TableContents"/>
              <w:bidi w:val="0"/>
              <w:spacing w:before="0" w:after="283"/>
              <w:jc w:val="right"/>
              <w:rPr/>
            </w:pPr>
            <w:r>
              <w:rPr/>
              <w:t>–</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30" w:type="dxa"/>
            </w:tcMar>
            <w:vAlign w:val="center"/>
          </w:tcPr>
          <w:p>
            <w:pPr>
              <w:pStyle w:val="TableContents"/>
              <w:bidi w:val="0"/>
              <w:spacing w:before="0" w:after="283"/>
              <w:jc w:val="right"/>
              <w:rPr/>
            </w:pPr>
            <w:r>
              <w:rPr/>
              <w:t>​</w:t>
            </w:r>
          </w:p>
        </w:tc>
        <w:tc>
          <w:tcPr>
            <w:tcW w:w="886" w:type="dxa"/>
            <w:tcBorders>
              <w:bottom w:val="single" w:sz="2" w:space="0" w:color="CBCAC8"/>
            </w:tcBorders>
            <w:tcMar>
              <w:bottom w:w="30" w:type="dxa"/>
            </w:tcMar>
            <w:vAlign w:val="center"/>
          </w:tcPr>
          <w:p>
            <w:pPr>
              <w:pStyle w:val="TableContents"/>
              <w:bidi w:val="0"/>
              <w:spacing w:before="0" w:after="283"/>
              <w:jc w:val="righ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439" w:type="dxa"/>
            <w:tcBorders>
              <w:bottom w:val="single" w:sz="2" w:space="0" w:color="CBCAC8"/>
            </w:tcBorders>
            <w:tcMar>
              <w:bottom w:w="30" w:type="dxa"/>
            </w:tcMar>
            <w:vAlign w:val="center"/>
          </w:tcPr>
          <w:p>
            <w:pPr>
              <w:pStyle w:val="TableContents"/>
              <w:bidi w:val="0"/>
              <w:spacing w:lineRule="atLeast" w:line="142" w:before="0" w:after="0"/>
              <w:jc w:val="left"/>
              <w:rPr>
                <w:sz w:val="15"/>
              </w:rPr>
            </w:pPr>
            <w:r>
              <w:rPr>
                <w:spacing w:val="-2"/>
                <w:sz w:val="20"/>
              </w:rPr>
              <w:t>Ryan Israel</w:t>
            </w:r>
            <w:r>
              <w:rPr>
                <w:spacing w:val="-1"/>
                <w:sz w:val="13"/>
              </w:rPr>
              <w:t>(6)</w:t>
            </w:r>
            <w:r>
              <w:rPr>
                <w:sz w:val="15"/>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30" w:type="dxa"/>
            </w:tcMar>
            <w:vAlign w:val="center"/>
          </w:tcPr>
          <w:p>
            <w:pPr>
              <w:pStyle w:val="TableContents"/>
              <w:bidi w:val="0"/>
              <w:spacing w:before="0" w:after="283"/>
              <w:jc w:val="right"/>
              <w:rPr/>
            </w:pPr>
            <w:r>
              <w:rPr/>
              <w:t>​</w:t>
            </w:r>
          </w:p>
        </w:tc>
        <w:tc>
          <w:tcPr>
            <w:tcW w:w="1512" w:type="dxa"/>
            <w:tcBorders>
              <w:bottom w:val="single" w:sz="2" w:space="0" w:color="CBCAC8"/>
            </w:tcBorders>
            <w:tcMar>
              <w:bottom w:w="30" w:type="dxa"/>
            </w:tcMar>
            <w:vAlign w:val="center"/>
          </w:tcPr>
          <w:p>
            <w:pPr>
              <w:pStyle w:val="TableContents"/>
              <w:bidi w:val="0"/>
              <w:spacing w:before="0" w:after="283"/>
              <w:jc w:val="right"/>
              <w:rPr/>
            </w:pPr>
            <w:r>
              <w:rPr/>
              <w:t>–</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30" w:type="dxa"/>
            </w:tcMar>
            <w:vAlign w:val="center"/>
          </w:tcPr>
          <w:p>
            <w:pPr>
              <w:pStyle w:val="TableContents"/>
              <w:bidi w:val="0"/>
              <w:spacing w:before="0" w:after="283"/>
              <w:jc w:val="right"/>
              <w:rPr/>
            </w:pPr>
            <w:r>
              <w:rPr/>
              <w:t>​</w:t>
            </w:r>
          </w:p>
        </w:tc>
        <w:tc>
          <w:tcPr>
            <w:tcW w:w="1249" w:type="dxa"/>
            <w:tcBorders>
              <w:bottom w:val="single" w:sz="2" w:space="0" w:color="CBCAC8"/>
            </w:tcBorders>
            <w:tcMar>
              <w:bottom w:w="30" w:type="dxa"/>
            </w:tcMar>
            <w:vAlign w:val="center"/>
          </w:tcPr>
          <w:p>
            <w:pPr>
              <w:pStyle w:val="TableContents"/>
              <w:bidi w:val="0"/>
              <w:spacing w:before="0" w:after="283"/>
              <w:jc w:val="right"/>
              <w:rPr/>
            </w:pPr>
            <w:r>
              <w:rPr/>
              <w:t>–</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30" w:type="dxa"/>
            </w:tcMar>
            <w:vAlign w:val="center"/>
          </w:tcPr>
          <w:p>
            <w:pPr>
              <w:pStyle w:val="TableContents"/>
              <w:bidi w:val="0"/>
              <w:spacing w:before="0" w:after="283"/>
              <w:jc w:val="right"/>
              <w:rPr/>
            </w:pPr>
            <w:r>
              <w:rPr/>
              <w:t>​</w:t>
            </w:r>
          </w:p>
        </w:tc>
        <w:tc>
          <w:tcPr>
            <w:tcW w:w="886" w:type="dxa"/>
            <w:tcBorders>
              <w:bottom w:val="single" w:sz="2" w:space="0" w:color="CBCAC8"/>
            </w:tcBorders>
            <w:tcMar>
              <w:bottom w:w="30" w:type="dxa"/>
            </w:tcMar>
            <w:vAlign w:val="center"/>
          </w:tcPr>
          <w:p>
            <w:pPr>
              <w:pStyle w:val="TableContents"/>
              <w:bidi w:val="0"/>
              <w:spacing w:before="0" w:after="283"/>
              <w:jc w:val="righ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439" w:type="dxa"/>
            <w:tcBorders>
              <w:bottom w:val="single" w:sz="2" w:space="0" w:color="CBCAC8"/>
            </w:tcBorders>
            <w:tcMar>
              <w:bottom w:w="30" w:type="dxa"/>
            </w:tcMar>
            <w:vAlign w:val="center"/>
          </w:tcPr>
          <w:p>
            <w:pPr>
              <w:pStyle w:val="TableContents"/>
              <w:bidi w:val="0"/>
              <w:spacing w:lineRule="atLeast" w:line="142" w:before="0" w:after="0"/>
              <w:jc w:val="left"/>
              <w:rPr>
                <w:sz w:val="15"/>
              </w:rPr>
            </w:pPr>
            <w:r>
              <w:rPr>
                <w:spacing w:val="-2"/>
                <w:sz w:val="20"/>
              </w:rPr>
              <w:t>Dana Hamilton</w:t>
            </w:r>
            <w:r>
              <w:rPr>
                <w:spacing w:val="-1"/>
                <w:sz w:val="13"/>
              </w:rPr>
              <w:t>(7)</w:t>
            </w:r>
            <w:r>
              <w:rPr>
                <w:sz w:val="15"/>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30" w:type="dxa"/>
            </w:tcMar>
            <w:vAlign w:val="center"/>
          </w:tcPr>
          <w:p>
            <w:pPr>
              <w:pStyle w:val="TableContents"/>
              <w:bidi w:val="0"/>
              <w:spacing w:before="0" w:after="283"/>
              <w:jc w:val="right"/>
              <w:rPr/>
            </w:pPr>
            <w:r>
              <w:rPr/>
              <w:t>​</w:t>
            </w:r>
          </w:p>
        </w:tc>
        <w:tc>
          <w:tcPr>
            <w:tcW w:w="1512" w:type="dxa"/>
            <w:tcBorders>
              <w:bottom w:val="single" w:sz="2" w:space="0" w:color="CBCAC8"/>
            </w:tcBorders>
            <w:tcMar>
              <w:bottom w:w="30" w:type="dxa"/>
            </w:tcMar>
            <w:vAlign w:val="center"/>
          </w:tcPr>
          <w:p>
            <w:pPr>
              <w:pStyle w:val="TableContents"/>
              <w:bidi w:val="0"/>
              <w:spacing w:before="0" w:after="283"/>
              <w:jc w:val="right"/>
              <w:rPr/>
            </w:pPr>
            <w:r>
              <w:rPr/>
              <w:t>85,000</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30" w:type="dxa"/>
            </w:tcMar>
            <w:vAlign w:val="center"/>
          </w:tcPr>
          <w:p>
            <w:pPr>
              <w:pStyle w:val="TableContents"/>
              <w:bidi w:val="0"/>
              <w:spacing w:before="0" w:after="283"/>
              <w:jc w:val="right"/>
              <w:rPr/>
            </w:pPr>
            <w:r>
              <w:rPr/>
              <w:t>​</w:t>
            </w:r>
          </w:p>
        </w:tc>
        <w:tc>
          <w:tcPr>
            <w:tcW w:w="1249" w:type="dxa"/>
            <w:tcBorders>
              <w:bottom w:val="single" w:sz="2" w:space="0" w:color="CBCAC8"/>
            </w:tcBorders>
            <w:tcMar>
              <w:bottom w:w="30" w:type="dxa"/>
            </w:tcMar>
            <w:vAlign w:val="center"/>
          </w:tcPr>
          <w:p>
            <w:pPr>
              <w:pStyle w:val="TableContents"/>
              <w:bidi w:val="0"/>
              <w:spacing w:before="0" w:after="283"/>
              <w:jc w:val="right"/>
              <w:rPr/>
            </w:pPr>
            <w:r>
              <w:rPr/>
              <w:t>–</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30" w:type="dxa"/>
            </w:tcMar>
            <w:vAlign w:val="center"/>
          </w:tcPr>
          <w:p>
            <w:pPr>
              <w:pStyle w:val="TableContents"/>
              <w:bidi w:val="0"/>
              <w:spacing w:before="0" w:after="283"/>
              <w:jc w:val="right"/>
              <w:rPr/>
            </w:pPr>
            <w:r>
              <w:rPr/>
              <w:t>​</w:t>
            </w:r>
          </w:p>
        </w:tc>
        <w:tc>
          <w:tcPr>
            <w:tcW w:w="886" w:type="dxa"/>
            <w:tcBorders>
              <w:bottom w:val="single" w:sz="2" w:space="0" w:color="CBCAC8"/>
            </w:tcBorders>
            <w:tcMar>
              <w:bottom w:w="30" w:type="dxa"/>
            </w:tcMar>
            <w:vAlign w:val="center"/>
          </w:tcPr>
          <w:p>
            <w:pPr>
              <w:pStyle w:val="TableContents"/>
              <w:bidi w:val="0"/>
              <w:spacing w:before="0" w:after="283"/>
              <w:jc w:val="right"/>
              <w:rPr/>
            </w:pPr>
            <w:r>
              <w:rPr/>
              <w:t>85,000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439" w:type="dxa"/>
            <w:tcBorders>
              <w:bottom w:val="single" w:sz="2" w:space="0" w:color="CBCAC8"/>
            </w:tcBorders>
            <w:tcMar>
              <w:bottom w:w="30" w:type="dxa"/>
            </w:tcMar>
            <w:vAlign w:val="center"/>
          </w:tcPr>
          <w:p>
            <w:pPr>
              <w:pStyle w:val="TableContents"/>
              <w:bidi w:val="0"/>
              <w:spacing w:lineRule="atLeast" w:line="142" w:before="0" w:after="283"/>
              <w:jc w:val="left"/>
              <w:rPr/>
            </w:pPr>
            <w:r>
              <w:rPr>
                <w:spacing w:val="-2"/>
              </w:rPr>
              <w:t>Beth Kaplan</w:t>
            </w:r>
            <w:r>
              <w:rPr>
                <w:spacing w:val="-1"/>
                <w:sz w:val="13"/>
              </w:rPr>
              <w:t>(13)</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30" w:type="dxa"/>
            </w:tcMar>
            <w:vAlign w:val="center"/>
          </w:tcPr>
          <w:p>
            <w:pPr>
              <w:pStyle w:val="TableContents"/>
              <w:bidi w:val="0"/>
              <w:spacing w:before="0" w:after="283"/>
              <w:jc w:val="right"/>
              <w:rPr/>
            </w:pPr>
            <w:r>
              <w:rPr/>
              <w:t>​</w:t>
            </w:r>
          </w:p>
        </w:tc>
        <w:tc>
          <w:tcPr>
            <w:tcW w:w="1512" w:type="dxa"/>
            <w:tcBorders>
              <w:bottom w:val="single" w:sz="2" w:space="0" w:color="CBCAC8"/>
            </w:tcBorders>
            <w:tcMar>
              <w:bottom w:w="30" w:type="dxa"/>
            </w:tcMar>
            <w:vAlign w:val="center"/>
          </w:tcPr>
          <w:p>
            <w:pPr>
              <w:pStyle w:val="TableContents"/>
              <w:bidi w:val="0"/>
              <w:spacing w:before="0" w:after="283"/>
              <w:jc w:val="right"/>
              <w:rPr/>
            </w:pPr>
            <w:r>
              <w:rPr/>
              <w:t>200,516</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30" w:type="dxa"/>
            </w:tcMar>
            <w:vAlign w:val="center"/>
          </w:tcPr>
          <w:p>
            <w:pPr>
              <w:pStyle w:val="TableContents"/>
              <w:bidi w:val="0"/>
              <w:spacing w:before="0" w:after="283"/>
              <w:jc w:val="right"/>
              <w:rPr/>
            </w:pPr>
            <w:r>
              <w:rPr/>
              <w:t>​</w:t>
            </w:r>
          </w:p>
        </w:tc>
        <w:tc>
          <w:tcPr>
            <w:tcW w:w="1249" w:type="dxa"/>
            <w:tcBorders>
              <w:bottom w:val="single" w:sz="2" w:space="0" w:color="CBCAC8"/>
            </w:tcBorders>
            <w:tcMar>
              <w:bottom w:w="30" w:type="dxa"/>
            </w:tcMar>
            <w:vAlign w:val="center"/>
          </w:tcPr>
          <w:p>
            <w:pPr>
              <w:pStyle w:val="TableContents"/>
              <w:bidi w:val="0"/>
              <w:spacing w:before="0" w:after="283"/>
              <w:jc w:val="right"/>
              <w:rPr/>
            </w:pPr>
            <w:r>
              <w:rPr/>
              <w:t>–</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30" w:type="dxa"/>
            </w:tcMar>
            <w:vAlign w:val="center"/>
          </w:tcPr>
          <w:p>
            <w:pPr>
              <w:pStyle w:val="TableContents"/>
              <w:bidi w:val="0"/>
              <w:spacing w:before="0" w:after="283"/>
              <w:jc w:val="right"/>
              <w:rPr/>
            </w:pPr>
            <w:r>
              <w:rPr/>
              <w:t>​</w:t>
            </w:r>
          </w:p>
        </w:tc>
        <w:tc>
          <w:tcPr>
            <w:tcW w:w="886" w:type="dxa"/>
            <w:tcBorders>
              <w:bottom w:val="single" w:sz="2" w:space="0" w:color="CBCAC8"/>
            </w:tcBorders>
            <w:tcMar>
              <w:bottom w:w="30" w:type="dxa"/>
            </w:tcMar>
            <w:vAlign w:val="center"/>
          </w:tcPr>
          <w:p>
            <w:pPr>
              <w:pStyle w:val="TableContents"/>
              <w:bidi w:val="0"/>
              <w:spacing w:before="0" w:after="283"/>
              <w:jc w:val="right"/>
              <w:rPr/>
            </w:pPr>
            <w:r>
              <w:rPr/>
              <w:t>200,516</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439" w:type="dxa"/>
            <w:tcBorders>
              <w:bottom w:val="single" w:sz="2" w:space="0" w:color="CBCAC8"/>
            </w:tcBorders>
            <w:tcMar>
              <w:bottom w:w="30" w:type="dxa"/>
            </w:tcMar>
            <w:vAlign w:val="center"/>
          </w:tcPr>
          <w:p>
            <w:pPr>
              <w:pStyle w:val="TableContents"/>
              <w:bidi w:val="0"/>
              <w:spacing w:before="0" w:after="283"/>
              <w:jc w:val="left"/>
              <w:rPr>
                <w:spacing w:val="-2"/>
              </w:rPr>
            </w:pPr>
            <w:r>
              <w:rPr>
                <w:spacing w:val="-2"/>
              </w:rPr>
              <w:t xml:space="preserve">Thom Lachman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30" w:type="dxa"/>
            </w:tcMar>
            <w:vAlign w:val="center"/>
          </w:tcPr>
          <w:p>
            <w:pPr>
              <w:pStyle w:val="TableContents"/>
              <w:bidi w:val="0"/>
              <w:spacing w:before="0" w:after="283"/>
              <w:jc w:val="right"/>
              <w:rPr/>
            </w:pPr>
            <w:r>
              <w:rPr/>
              <w:t>​</w:t>
            </w:r>
          </w:p>
        </w:tc>
        <w:tc>
          <w:tcPr>
            <w:tcW w:w="1512" w:type="dxa"/>
            <w:tcBorders>
              <w:bottom w:val="single" w:sz="2" w:space="0" w:color="CBCAC8"/>
            </w:tcBorders>
            <w:tcMar>
              <w:bottom w:w="30" w:type="dxa"/>
            </w:tcMar>
            <w:vAlign w:val="center"/>
          </w:tcPr>
          <w:p>
            <w:pPr>
              <w:pStyle w:val="TableContents"/>
              <w:bidi w:val="0"/>
              <w:spacing w:before="0" w:after="283"/>
              <w:jc w:val="right"/>
              <w:rPr/>
            </w:pPr>
            <w:r>
              <w:rPr/>
              <w:t xml:space="preserve">61,250 </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30" w:type="dxa"/>
            </w:tcMar>
            <w:vAlign w:val="center"/>
          </w:tcPr>
          <w:p>
            <w:pPr>
              <w:pStyle w:val="TableContents"/>
              <w:bidi w:val="0"/>
              <w:spacing w:before="0" w:after="283"/>
              <w:jc w:val="right"/>
              <w:rPr/>
            </w:pPr>
            <w:r>
              <w:rPr/>
              <w:t>​</w:t>
            </w:r>
          </w:p>
        </w:tc>
        <w:tc>
          <w:tcPr>
            <w:tcW w:w="1249" w:type="dxa"/>
            <w:tcBorders>
              <w:bottom w:val="single" w:sz="2" w:space="0" w:color="CBCAC8"/>
            </w:tcBorders>
            <w:tcMar>
              <w:bottom w:w="30" w:type="dxa"/>
            </w:tcMar>
            <w:vAlign w:val="center"/>
          </w:tcPr>
          <w:p>
            <w:pPr>
              <w:pStyle w:val="TableContents"/>
              <w:bidi w:val="0"/>
              <w:spacing w:before="0" w:after="283"/>
              <w:jc w:val="right"/>
              <w:rPr/>
            </w:pPr>
            <w:r>
              <w:rPr/>
              <w:t>145,000</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30" w:type="dxa"/>
            </w:tcMar>
            <w:vAlign w:val="center"/>
          </w:tcPr>
          <w:p>
            <w:pPr>
              <w:pStyle w:val="TableContents"/>
              <w:bidi w:val="0"/>
              <w:spacing w:before="0" w:after="283"/>
              <w:jc w:val="right"/>
              <w:rPr/>
            </w:pPr>
            <w:r>
              <w:rPr/>
              <w:t>​</w:t>
            </w:r>
          </w:p>
        </w:tc>
        <w:tc>
          <w:tcPr>
            <w:tcW w:w="886" w:type="dxa"/>
            <w:tcBorders>
              <w:bottom w:val="single" w:sz="2" w:space="0" w:color="CBCAC8"/>
            </w:tcBorders>
            <w:tcMar>
              <w:bottom w:w="30" w:type="dxa"/>
            </w:tcMar>
            <w:vAlign w:val="center"/>
          </w:tcPr>
          <w:p>
            <w:pPr>
              <w:pStyle w:val="TableContents"/>
              <w:bidi w:val="0"/>
              <w:spacing w:before="0" w:after="283"/>
              <w:jc w:val="right"/>
              <w:rPr/>
            </w:pPr>
            <w:r>
              <w:rPr/>
              <w:t>206,250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439" w:type="dxa"/>
            <w:tcBorders>
              <w:bottom w:val="single" w:sz="2" w:space="0" w:color="CBCAC8"/>
            </w:tcBorders>
            <w:tcMar>
              <w:bottom w:w="30" w:type="dxa"/>
            </w:tcMar>
            <w:vAlign w:val="center"/>
          </w:tcPr>
          <w:p>
            <w:pPr>
              <w:pStyle w:val="TableContents"/>
              <w:bidi w:val="0"/>
              <w:spacing w:lineRule="atLeast" w:line="142" w:before="0" w:after="0"/>
              <w:jc w:val="left"/>
              <w:rPr>
                <w:sz w:val="15"/>
              </w:rPr>
            </w:pPr>
            <w:r>
              <w:rPr>
                <w:spacing w:val="-2"/>
                <w:sz w:val="20"/>
              </w:rPr>
              <w:t>Allen Model</w:t>
            </w:r>
            <w:r>
              <w:rPr>
                <w:spacing w:val="-1"/>
                <w:sz w:val="13"/>
              </w:rPr>
              <w:t>(8)</w:t>
            </w:r>
            <w:r>
              <w:rPr>
                <w:sz w:val="15"/>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30" w:type="dxa"/>
            </w:tcMar>
            <w:vAlign w:val="center"/>
          </w:tcPr>
          <w:p>
            <w:pPr>
              <w:pStyle w:val="TableContents"/>
              <w:bidi w:val="0"/>
              <w:spacing w:before="0" w:after="283"/>
              <w:jc w:val="right"/>
              <w:rPr/>
            </w:pPr>
            <w:r>
              <w:rPr/>
              <w:t>​</w:t>
            </w:r>
          </w:p>
        </w:tc>
        <w:tc>
          <w:tcPr>
            <w:tcW w:w="1512" w:type="dxa"/>
            <w:tcBorders>
              <w:bottom w:val="single" w:sz="2" w:space="0" w:color="CBCAC8"/>
            </w:tcBorders>
            <w:tcMar>
              <w:bottom w:w="30" w:type="dxa"/>
            </w:tcMar>
            <w:vAlign w:val="center"/>
          </w:tcPr>
          <w:p>
            <w:pPr>
              <w:pStyle w:val="TableContents"/>
              <w:bidi w:val="0"/>
              <w:spacing w:before="0" w:after="283"/>
              <w:jc w:val="right"/>
              <w:rPr/>
            </w:pPr>
            <w:r>
              <w:rPr/>
              <w:t>30,000</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30" w:type="dxa"/>
            </w:tcMar>
            <w:vAlign w:val="center"/>
          </w:tcPr>
          <w:p>
            <w:pPr>
              <w:pStyle w:val="TableContents"/>
              <w:bidi w:val="0"/>
              <w:spacing w:before="0" w:after="283"/>
              <w:jc w:val="right"/>
              <w:rPr/>
            </w:pPr>
            <w:r>
              <w:rPr/>
              <w:t>​</w:t>
            </w:r>
          </w:p>
        </w:tc>
        <w:tc>
          <w:tcPr>
            <w:tcW w:w="1249" w:type="dxa"/>
            <w:tcBorders>
              <w:bottom w:val="single" w:sz="2" w:space="0" w:color="CBCAC8"/>
            </w:tcBorders>
            <w:tcMar>
              <w:bottom w:w="30" w:type="dxa"/>
            </w:tcMar>
            <w:vAlign w:val="center"/>
          </w:tcPr>
          <w:p>
            <w:pPr>
              <w:pStyle w:val="TableContents"/>
              <w:bidi w:val="0"/>
              <w:spacing w:before="0" w:after="283"/>
              <w:jc w:val="right"/>
              <w:rPr/>
            </w:pPr>
            <w:r>
              <w:rPr/>
              <w:t>–</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30" w:type="dxa"/>
            </w:tcMar>
            <w:vAlign w:val="center"/>
          </w:tcPr>
          <w:p>
            <w:pPr>
              <w:pStyle w:val="TableContents"/>
              <w:bidi w:val="0"/>
              <w:spacing w:before="0" w:after="283"/>
              <w:jc w:val="right"/>
              <w:rPr/>
            </w:pPr>
            <w:r>
              <w:rPr/>
              <w:t>​</w:t>
            </w:r>
          </w:p>
        </w:tc>
        <w:tc>
          <w:tcPr>
            <w:tcW w:w="886" w:type="dxa"/>
            <w:tcBorders>
              <w:bottom w:val="single" w:sz="2" w:space="0" w:color="CBCAC8"/>
            </w:tcBorders>
            <w:tcMar>
              <w:bottom w:w="30" w:type="dxa"/>
            </w:tcMar>
            <w:vAlign w:val="center"/>
          </w:tcPr>
          <w:p>
            <w:pPr>
              <w:pStyle w:val="TableContents"/>
              <w:bidi w:val="0"/>
              <w:spacing w:before="0" w:after="283"/>
              <w:jc w:val="right"/>
              <w:rPr/>
            </w:pPr>
            <w:r>
              <w:rPr/>
              <w:t>30,000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439" w:type="dxa"/>
            <w:tcBorders>
              <w:bottom w:val="single" w:sz="2" w:space="0" w:color="CBCAC8"/>
            </w:tcBorders>
            <w:tcMar>
              <w:bottom w:w="30" w:type="dxa"/>
            </w:tcMar>
            <w:vAlign w:val="center"/>
          </w:tcPr>
          <w:p>
            <w:pPr>
              <w:pStyle w:val="TableContents"/>
              <w:bidi w:val="0"/>
              <w:spacing w:before="0" w:after="283"/>
              <w:jc w:val="left"/>
              <w:rPr>
                <w:spacing w:val="-2"/>
              </w:rPr>
            </w:pPr>
            <w:r>
              <w:rPr>
                <w:spacing w:val="-2"/>
              </w:rPr>
              <w:t xml:space="preserve">Susan Panuccio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30" w:type="dxa"/>
            </w:tcMar>
            <w:vAlign w:val="center"/>
          </w:tcPr>
          <w:p>
            <w:pPr>
              <w:pStyle w:val="TableContents"/>
              <w:bidi w:val="0"/>
              <w:spacing w:before="0" w:after="283"/>
              <w:jc w:val="right"/>
              <w:rPr/>
            </w:pPr>
            <w:r>
              <w:rPr/>
              <w:t>​</w:t>
            </w:r>
          </w:p>
        </w:tc>
        <w:tc>
          <w:tcPr>
            <w:tcW w:w="1512" w:type="dxa"/>
            <w:tcBorders>
              <w:bottom w:val="single" w:sz="2" w:space="0" w:color="CBCAC8"/>
            </w:tcBorders>
            <w:tcMar>
              <w:bottom w:w="30" w:type="dxa"/>
            </w:tcMar>
            <w:vAlign w:val="center"/>
          </w:tcPr>
          <w:p>
            <w:pPr>
              <w:pStyle w:val="TableContents"/>
              <w:bidi w:val="0"/>
              <w:spacing w:before="0" w:after="283"/>
              <w:jc w:val="right"/>
              <w:rPr/>
            </w:pPr>
            <w:r>
              <w:rPr/>
              <w:t xml:space="preserve">63,750 </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30" w:type="dxa"/>
            </w:tcMar>
            <w:vAlign w:val="center"/>
          </w:tcPr>
          <w:p>
            <w:pPr>
              <w:pStyle w:val="TableContents"/>
              <w:bidi w:val="0"/>
              <w:spacing w:before="0" w:after="283"/>
              <w:jc w:val="right"/>
              <w:rPr/>
            </w:pPr>
            <w:r>
              <w:rPr/>
              <w:t>​</w:t>
            </w:r>
          </w:p>
        </w:tc>
        <w:tc>
          <w:tcPr>
            <w:tcW w:w="1249" w:type="dxa"/>
            <w:tcBorders>
              <w:bottom w:val="single" w:sz="2" w:space="0" w:color="CBCAC8"/>
            </w:tcBorders>
            <w:tcMar>
              <w:bottom w:w="30" w:type="dxa"/>
            </w:tcMar>
            <w:vAlign w:val="center"/>
          </w:tcPr>
          <w:p>
            <w:pPr>
              <w:pStyle w:val="TableContents"/>
              <w:bidi w:val="0"/>
              <w:spacing w:before="0" w:after="283"/>
              <w:jc w:val="right"/>
              <w:rPr/>
            </w:pPr>
            <w:r>
              <w:rPr/>
              <w:t>145,000</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30" w:type="dxa"/>
            </w:tcMar>
            <w:vAlign w:val="center"/>
          </w:tcPr>
          <w:p>
            <w:pPr>
              <w:pStyle w:val="TableContents"/>
              <w:bidi w:val="0"/>
              <w:spacing w:before="0" w:after="283"/>
              <w:jc w:val="right"/>
              <w:rPr/>
            </w:pPr>
            <w:r>
              <w:rPr/>
              <w:t>​</w:t>
            </w:r>
          </w:p>
        </w:tc>
        <w:tc>
          <w:tcPr>
            <w:tcW w:w="886" w:type="dxa"/>
            <w:tcBorders>
              <w:bottom w:val="single" w:sz="2" w:space="0" w:color="CBCAC8"/>
            </w:tcBorders>
            <w:tcMar>
              <w:bottom w:w="30" w:type="dxa"/>
            </w:tcMar>
            <w:vAlign w:val="center"/>
          </w:tcPr>
          <w:p>
            <w:pPr>
              <w:pStyle w:val="TableContents"/>
              <w:bidi w:val="0"/>
              <w:spacing w:before="0" w:after="283"/>
              <w:jc w:val="right"/>
              <w:rPr/>
            </w:pPr>
            <w:r>
              <w:rPr/>
              <w:t>208,750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439" w:type="dxa"/>
            <w:tcBorders>
              <w:bottom w:val="single" w:sz="2" w:space="0" w:color="CBCAC8"/>
            </w:tcBorders>
            <w:tcMar>
              <w:bottom w:w="30" w:type="dxa"/>
            </w:tcMar>
            <w:vAlign w:val="center"/>
          </w:tcPr>
          <w:p>
            <w:pPr>
              <w:pStyle w:val="TableContents"/>
              <w:bidi w:val="0"/>
              <w:spacing w:lineRule="atLeast" w:line="142" w:before="0" w:after="0"/>
              <w:jc w:val="left"/>
              <w:rPr>
                <w:sz w:val="15"/>
              </w:rPr>
            </w:pPr>
            <w:r>
              <w:rPr>
                <w:spacing w:val="-2"/>
                <w:sz w:val="20"/>
              </w:rPr>
              <w:t>R. Scot Sellers</w:t>
            </w:r>
            <w:r>
              <w:rPr>
                <w:spacing w:val="-1"/>
                <w:sz w:val="13"/>
              </w:rPr>
              <w:t>(9)(10)(11)</w:t>
            </w:r>
            <w:r>
              <w:rPr>
                <w:sz w:val="15"/>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30" w:type="dxa"/>
            </w:tcMar>
            <w:vAlign w:val="center"/>
          </w:tcPr>
          <w:p>
            <w:pPr>
              <w:pStyle w:val="TableContents"/>
              <w:bidi w:val="0"/>
              <w:spacing w:before="0" w:after="283"/>
              <w:jc w:val="right"/>
              <w:rPr/>
            </w:pPr>
            <w:r>
              <w:rPr/>
              <w:t>​</w:t>
            </w:r>
          </w:p>
        </w:tc>
        <w:tc>
          <w:tcPr>
            <w:tcW w:w="1512" w:type="dxa"/>
            <w:tcBorders>
              <w:bottom w:val="single" w:sz="2" w:space="0" w:color="CBCAC8"/>
            </w:tcBorders>
            <w:tcMar>
              <w:bottom w:w="30" w:type="dxa"/>
            </w:tcMar>
            <w:vAlign w:val="center"/>
          </w:tcPr>
          <w:p>
            <w:pPr>
              <w:pStyle w:val="TableContents"/>
              <w:bidi w:val="0"/>
              <w:spacing w:before="0" w:after="283"/>
              <w:jc w:val="right"/>
              <w:rPr/>
            </w:pPr>
            <w:r>
              <w:rPr/>
              <w:t>240,000</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30" w:type="dxa"/>
            </w:tcMar>
            <w:vAlign w:val="center"/>
          </w:tcPr>
          <w:p>
            <w:pPr>
              <w:pStyle w:val="TableContents"/>
              <w:bidi w:val="0"/>
              <w:spacing w:before="0" w:after="283"/>
              <w:jc w:val="right"/>
              <w:rPr/>
            </w:pPr>
            <w:r>
              <w:rPr/>
              <w:t>​</w:t>
            </w:r>
          </w:p>
        </w:tc>
        <w:tc>
          <w:tcPr>
            <w:tcW w:w="1249" w:type="dxa"/>
            <w:tcBorders>
              <w:bottom w:val="single" w:sz="2" w:space="0" w:color="CBCAC8"/>
            </w:tcBorders>
            <w:tcMar>
              <w:bottom w:w="30" w:type="dxa"/>
            </w:tcMar>
            <w:vAlign w:val="center"/>
          </w:tcPr>
          <w:p>
            <w:pPr>
              <w:pStyle w:val="TableContents"/>
              <w:bidi w:val="0"/>
              <w:spacing w:before="0" w:after="283"/>
              <w:jc w:val="right"/>
              <w:rPr/>
            </w:pPr>
            <w:r>
              <w:rPr/>
              <w:t>145,000</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30" w:type="dxa"/>
            </w:tcMar>
            <w:vAlign w:val="center"/>
          </w:tcPr>
          <w:p>
            <w:pPr>
              <w:pStyle w:val="TableContents"/>
              <w:bidi w:val="0"/>
              <w:spacing w:before="0" w:after="283"/>
              <w:jc w:val="right"/>
              <w:rPr/>
            </w:pPr>
            <w:r>
              <w:rPr/>
              <w:t>​</w:t>
            </w:r>
          </w:p>
        </w:tc>
        <w:tc>
          <w:tcPr>
            <w:tcW w:w="886" w:type="dxa"/>
            <w:tcBorders>
              <w:bottom w:val="single" w:sz="2" w:space="0" w:color="CBCAC8"/>
            </w:tcBorders>
            <w:tcMar>
              <w:bottom w:w="30" w:type="dxa"/>
            </w:tcMar>
            <w:vAlign w:val="center"/>
          </w:tcPr>
          <w:p>
            <w:pPr>
              <w:pStyle w:val="TableContents"/>
              <w:bidi w:val="0"/>
              <w:spacing w:before="0" w:after="283"/>
              <w:jc w:val="right"/>
              <w:rPr/>
            </w:pPr>
            <w:r>
              <w:rPr/>
              <w:t>385,000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439" w:type="dxa"/>
            <w:tcBorders>
              <w:bottom w:val="single" w:sz="2" w:space="0" w:color="CBCAC8"/>
            </w:tcBorders>
            <w:tcMar>
              <w:bottom w:w="30" w:type="dxa"/>
            </w:tcMar>
            <w:vAlign w:val="center"/>
          </w:tcPr>
          <w:p>
            <w:pPr>
              <w:pStyle w:val="TableContents"/>
              <w:bidi w:val="0"/>
              <w:spacing w:lineRule="atLeast" w:line="142" w:before="0" w:after="283"/>
              <w:jc w:val="left"/>
              <w:rPr/>
            </w:pPr>
            <w:r>
              <w:rPr>
                <w:spacing w:val="-2"/>
              </w:rPr>
              <w:t>Steven Shepsman</w:t>
            </w:r>
            <w:r>
              <w:rPr>
                <w:spacing w:val="-1"/>
                <w:sz w:val="13"/>
              </w:rPr>
              <w:t>(14)</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30" w:type="dxa"/>
            </w:tcMar>
            <w:vAlign w:val="center"/>
          </w:tcPr>
          <w:p>
            <w:pPr>
              <w:pStyle w:val="TableContents"/>
              <w:bidi w:val="0"/>
              <w:spacing w:before="0" w:after="283"/>
              <w:jc w:val="right"/>
              <w:rPr/>
            </w:pPr>
            <w:r>
              <w:rPr/>
              <w:t>​</w:t>
            </w:r>
          </w:p>
        </w:tc>
        <w:tc>
          <w:tcPr>
            <w:tcW w:w="1512" w:type="dxa"/>
            <w:tcBorders>
              <w:bottom w:val="single" w:sz="2" w:space="0" w:color="CBCAC8"/>
            </w:tcBorders>
            <w:tcMar>
              <w:bottom w:w="30" w:type="dxa"/>
            </w:tcMar>
            <w:vAlign w:val="center"/>
          </w:tcPr>
          <w:p>
            <w:pPr>
              <w:pStyle w:val="TableContents"/>
              <w:bidi w:val="0"/>
              <w:spacing w:before="0" w:after="283"/>
              <w:jc w:val="right"/>
              <w:rPr/>
            </w:pPr>
            <w:r>
              <w:rPr/>
              <w:t>209,266</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30" w:type="dxa"/>
            </w:tcMar>
            <w:vAlign w:val="center"/>
          </w:tcPr>
          <w:p>
            <w:pPr>
              <w:pStyle w:val="TableContents"/>
              <w:bidi w:val="0"/>
              <w:spacing w:before="0" w:after="283"/>
              <w:jc w:val="right"/>
              <w:rPr/>
            </w:pPr>
            <w:r>
              <w:rPr/>
              <w:t>​</w:t>
            </w:r>
          </w:p>
        </w:tc>
        <w:tc>
          <w:tcPr>
            <w:tcW w:w="1249" w:type="dxa"/>
            <w:tcBorders>
              <w:bottom w:val="single" w:sz="2" w:space="0" w:color="CBCAC8"/>
            </w:tcBorders>
            <w:tcMar>
              <w:bottom w:w="30" w:type="dxa"/>
            </w:tcMar>
            <w:vAlign w:val="center"/>
          </w:tcPr>
          <w:p>
            <w:pPr>
              <w:pStyle w:val="TableContents"/>
              <w:bidi w:val="0"/>
              <w:spacing w:before="0" w:after="283"/>
              <w:jc w:val="right"/>
              <w:rPr/>
            </w:pPr>
            <w:r>
              <w:rPr/>
              <w:t>–</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30" w:type="dxa"/>
            </w:tcMar>
            <w:vAlign w:val="center"/>
          </w:tcPr>
          <w:p>
            <w:pPr>
              <w:pStyle w:val="TableContents"/>
              <w:bidi w:val="0"/>
              <w:spacing w:before="0" w:after="283"/>
              <w:jc w:val="right"/>
              <w:rPr/>
            </w:pPr>
            <w:r>
              <w:rPr/>
              <w:t>​</w:t>
            </w:r>
          </w:p>
        </w:tc>
        <w:tc>
          <w:tcPr>
            <w:tcW w:w="886" w:type="dxa"/>
            <w:tcBorders>
              <w:bottom w:val="single" w:sz="2" w:space="0" w:color="CBCAC8"/>
            </w:tcBorders>
            <w:tcMar>
              <w:bottom w:w="30" w:type="dxa"/>
            </w:tcMar>
            <w:vAlign w:val="center"/>
          </w:tcPr>
          <w:p>
            <w:pPr>
              <w:pStyle w:val="TableContents"/>
              <w:bidi w:val="0"/>
              <w:spacing w:before="0" w:after="283"/>
              <w:jc w:val="right"/>
              <w:rPr/>
            </w:pPr>
            <w:r>
              <w:rPr/>
              <w:t>209,266</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439" w:type="dxa"/>
            <w:tcBorders>
              <w:bottom w:val="single" w:sz="2" w:space="0" w:color="CBCAC8"/>
            </w:tcBorders>
            <w:tcMar>
              <w:bottom w:w="30" w:type="dxa"/>
            </w:tcMar>
            <w:vAlign w:val="center"/>
          </w:tcPr>
          <w:p>
            <w:pPr>
              <w:pStyle w:val="TableContents"/>
              <w:bidi w:val="0"/>
              <w:spacing w:lineRule="atLeast" w:line="142" w:before="0" w:after="283"/>
              <w:jc w:val="left"/>
              <w:rPr/>
            </w:pPr>
            <w:r>
              <w:rPr>
                <w:spacing w:val="-2"/>
              </w:rPr>
              <w:t>Mary Ann Tighe</w:t>
            </w:r>
            <w:r>
              <w:rPr>
                <w:spacing w:val="-1"/>
                <w:sz w:val="13"/>
              </w:rPr>
              <w:t>(17)</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30" w:type="dxa"/>
            </w:tcMar>
            <w:vAlign w:val="center"/>
          </w:tcPr>
          <w:p>
            <w:pPr>
              <w:pStyle w:val="TableContents"/>
              <w:bidi w:val="0"/>
              <w:spacing w:before="0" w:after="283"/>
              <w:jc w:val="right"/>
              <w:rPr/>
            </w:pPr>
            <w:r>
              <w:rPr/>
              <w:t>​</w:t>
            </w:r>
          </w:p>
        </w:tc>
        <w:tc>
          <w:tcPr>
            <w:tcW w:w="1512" w:type="dxa"/>
            <w:tcBorders>
              <w:bottom w:val="single" w:sz="2" w:space="0" w:color="CBCAC8"/>
            </w:tcBorders>
            <w:tcMar>
              <w:bottom w:w="30" w:type="dxa"/>
            </w:tcMar>
            <w:vAlign w:val="center"/>
          </w:tcPr>
          <w:p>
            <w:pPr>
              <w:pStyle w:val="TableContents"/>
              <w:bidi w:val="0"/>
              <w:spacing w:before="0" w:after="283"/>
              <w:jc w:val="right"/>
              <w:rPr/>
            </w:pPr>
            <w:r>
              <w:rPr/>
              <w:t>95,000</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30" w:type="dxa"/>
            </w:tcMar>
            <w:vAlign w:val="center"/>
          </w:tcPr>
          <w:p>
            <w:pPr>
              <w:pStyle w:val="TableContents"/>
              <w:bidi w:val="0"/>
              <w:spacing w:before="0" w:after="283"/>
              <w:jc w:val="right"/>
              <w:rPr/>
            </w:pPr>
            <w:r>
              <w:rPr/>
              <w:t>​</w:t>
            </w:r>
          </w:p>
        </w:tc>
        <w:tc>
          <w:tcPr>
            <w:tcW w:w="1249" w:type="dxa"/>
            <w:tcBorders>
              <w:bottom w:val="single" w:sz="2" w:space="0" w:color="CBCAC8"/>
            </w:tcBorders>
            <w:tcMar>
              <w:bottom w:w="30" w:type="dxa"/>
            </w:tcMar>
            <w:vAlign w:val="center"/>
          </w:tcPr>
          <w:p>
            <w:pPr>
              <w:pStyle w:val="TableContents"/>
              <w:bidi w:val="0"/>
              <w:spacing w:before="0" w:after="283"/>
              <w:jc w:val="right"/>
              <w:rPr/>
            </w:pPr>
            <w:r>
              <w:rPr/>
              <w:t>145,000</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30" w:type="dxa"/>
            </w:tcMar>
            <w:vAlign w:val="center"/>
          </w:tcPr>
          <w:p>
            <w:pPr>
              <w:pStyle w:val="TableContents"/>
              <w:bidi w:val="0"/>
              <w:spacing w:before="0" w:after="283"/>
              <w:jc w:val="right"/>
              <w:rPr/>
            </w:pPr>
            <w:r>
              <w:rPr/>
              <w:t>​</w:t>
            </w:r>
          </w:p>
        </w:tc>
        <w:tc>
          <w:tcPr>
            <w:tcW w:w="886" w:type="dxa"/>
            <w:tcBorders>
              <w:bottom w:val="single" w:sz="2" w:space="0" w:color="CBCAC8"/>
            </w:tcBorders>
            <w:tcMar>
              <w:bottom w:w="30" w:type="dxa"/>
            </w:tcMar>
            <w:vAlign w:val="center"/>
          </w:tcPr>
          <w:p>
            <w:pPr>
              <w:pStyle w:val="TableContents"/>
              <w:bidi w:val="0"/>
              <w:spacing w:before="0" w:after="283"/>
              <w:jc w:val="right"/>
              <w:rPr/>
            </w:pPr>
            <w:r>
              <w:rPr/>
              <w:t>240,000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439" w:type="dxa"/>
            <w:tcBorders>
              <w:bottom w:val="single" w:sz="2" w:space="0" w:color="CBCAC8"/>
            </w:tcBorders>
            <w:tcMar>
              <w:bottom w:w="30" w:type="dxa"/>
            </w:tcMar>
            <w:vAlign w:val="center"/>
          </w:tcPr>
          <w:p>
            <w:pPr>
              <w:pStyle w:val="TableContents"/>
              <w:bidi w:val="0"/>
              <w:spacing w:lineRule="atLeast" w:line="142" w:before="0" w:after="283"/>
              <w:jc w:val="left"/>
              <w:rPr/>
            </w:pPr>
            <w:r>
              <w:rPr>
                <w:spacing w:val="-2"/>
              </w:rPr>
              <w:t>Anthony Williams</w:t>
            </w:r>
            <w:r>
              <w:rPr>
                <w:spacing w:val="-1"/>
                <w:sz w:val="13"/>
              </w:rPr>
              <w:t>(15)</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86" w:type="dxa"/>
            <w:tcBorders>
              <w:bottom w:val="single" w:sz="2" w:space="0" w:color="CBCAC8"/>
            </w:tcBorders>
            <w:tcMar>
              <w:bottom w:w="30" w:type="dxa"/>
            </w:tcMar>
            <w:vAlign w:val="center"/>
          </w:tcPr>
          <w:p>
            <w:pPr>
              <w:pStyle w:val="TableContents"/>
              <w:bidi w:val="0"/>
              <w:spacing w:before="0" w:after="283"/>
              <w:jc w:val="right"/>
              <w:rPr/>
            </w:pPr>
            <w:r>
              <w:rPr/>
              <w:t>​</w:t>
            </w:r>
          </w:p>
        </w:tc>
        <w:tc>
          <w:tcPr>
            <w:tcW w:w="1512" w:type="dxa"/>
            <w:tcBorders>
              <w:bottom w:val="single" w:sz="2" w:space="0" w:color="CBCAC8"/>
            </w:tcBorders>
            <w:tcMar>
              <w:bottom w:w="30" w:type="dxa"/>
            </w:tcMar>
            <w:vAlign w:val="center"/>
          </w:tcPr>
          <w:p>
            <w:pPr>
              <w:pStyle w:val="TableContents"/>
              <w:bidi w:val="0"/>
              <w:spacing w:before="0" w:after="283"/>
              <w:jc w:val="right"/>
              <w:rPr/>
            </w:pPr>
            <w:r>
              <w:rPr/>
              <w:t>180,000</w:t>
            </w:r>
          </w:p>
        </w:tc>
        <w:tc>
          <w:tcPr>
            <w:tcW w:w="18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53" w:type="dxa"/>
            <w:tcBorders>
              <w:bottom w:val="single" w:sz="2" w:space="0" w:color="CBCAC8"/>
            </w:tcBorders>
            <w:tcMar>
              <w:bottom w:w="30" w:type="dxa"/>
            </w:tcMar>
            <w:vAlign w:val="center"/>
          </w:tcPr>
          <w:p>
            <w:pPr>
              <w:pStyle w:val="TableContents"/>
              <w:bidi w:val="0"/>
              <w:spacing w:before="0" w:after="283"/>
              <w:jc w:val="right"/>
              <w:rPr/>
            </w:pPr>
            <w:r>
              <w:rPr/>
              <w:t>​</w:t>
            </w:r>
          </w:p>
        </w:tc>
        <w:tc>
          <w:tcPr>
            <w:tcW w:w="1249" w:type="dxa"/>
            <w:tcBorders>
              <w:bottom w:val="single" w:sz="2" w:space="0" w:color="CBCAC8"/>
            </w:tcBorders>
            <w:tcMar>
              <w:bottom w:w="30" w:type="dxa"/>
            </w:tcMar>
            <w:vAlign w:val="center"/>
          </w:tcPr>
          <w:p>
            <w:pPr>
              <w:pStyle w:val="TableContents"/>
              <w:bidi w:val="0"/>
              <w:spacing w:before="0" w:after="283"/>
              <w:jc w:val="right"/>
              <w:rPr/>
            </w:pPr>
            <w:r>
              <w:rPr/>
              <w:t>145,000</w:t>
            </w:r>
          </w:p>
        </w:tc>
        <w:tc>
          <w:tcPr>
            <w:tcW w:w="153"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30" w:type="dxa"/>
            </w:tcMar>
            <w:vAlign w:val="center"/>
          </w:tcPr>
          <w:p>
            <w:pPr>
              <w:pStyle w:val="TableContents"/>
              <w:bidi w:val="0"/>
              <w:spacing w:before="0" w:after="283"/>
              <w:jc w:val="right"/>
              <w:rPr/>
            </w:pPr>
            <w:r>
              <w:rPr/>
              <w:t>​</w:t>
            </w:r>
          </w:p>
        </w:tc>
        <w:tc>
          <w:tcPr>
            <w:tcW w:w="886" w:type="dxa"/>
            <w:tcBorders>
              <w:bottom w:val="single" w:sz="2" w:space="0" w:color="CBCAC8"/>
            </w:tcBorders>
            <w:tcMar>
              <w:bottom w:w="30" w:type="dxa"/>
            </w:tcMar>
            <w:vAlign w:val="center"/>
          </w:tcPr>
          <w:p>
            <w:pPr>
              <w:pStyle w:val="TableContents"/>
              <w:bidi w:val="0"/>
              <w:spacing w:before="0" w:after="283"/>
              <w:jc w:val="right"/>
              <w:rPr/>
            </w:pPr>
            <w:r>
              <w:rPr/>
              <w:t>325,000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8" w:space="0" w:color="7F7F7F"/>
            </w:tcBorders>
            <w:tcMar>
              <w:bottom w:w="28" w:type="dxa"/>
            </w:tcMar>
            <w:vAlign w:val="center"/>
          </w:tcPr>
          <w:p>
            <w:pPr>
              <w:pStyle w:val="TableContents"/>
              <w:bidi w:val="0"/>
              <w:spacing w:before="0" w:after="283"/>
              <w:jc w:val="left"/>
              <w:rPr/>
            </w:pPr>
            <w:r>
              <w:rPr/>
              <w:t>​</w:t>
            </w:r>
          </w:p>
        </w:tc>
        <w:tc>
          <w:tcPr>
            <w:tcW w:w="2439" w:type="dxa"/>
            <w:tcBorders>
              <w:bottom w:val="single" w:sz="8" w:space="0" w:color="7F7F7F"/>
            </w:tcBorders>
            <w:tcMar>
              <w:bottom w:w="80" w:type="dxa"/>
            </w:tcMar>
            <w:vAlign w:val="center"/>
          </w:tcPr>
          <w:p>
            <w:pPr>
              <w:pStyle w:val="TableContents"/>
              <w:bidi w:val="0"/>
              <w:spacing w:lineRule="atLeast" w:line="142" w:before="0" w:after="283"/>
              <w:jc w:val="left"/>
              <w:rPr/>
            </w:pPr>
            <w:r>
              <w:rPr>
                <w:spacing w:val="-2"/>
              </w:rPr>
              <w:t>Jean-Baptiste Wautier</w:t>
            </w:r>
            <w:r>
              <w:rPr>
                <w:spacing w:val="-1"/>
                <w:sz w:val="13"/>
              </w:rPr>
              <w:t>(16)</w:t>
            </w:r>
            <w:r>
              <w:rPr/>
              <w:t xml:space="preserve">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86" w:type="dxa"/>
            <w:tcBorders>
              <w:bottom w:val="single" w:sz="8" w:space="0" w:color="7F7F7F"/>
            </w:tcBorders>
            <w:tcMar>
              <w:bottom w:w="28" w:type="dxa"/>
            </w:tcMar>
            <w:vAlign w:val="center"/>
          </w:tcPr>
          <w:p>
            <w:pPr>
              <w:pStyle w:val="TableContents"/>
              <w:bidi w:val="0"/>
              <w:spacing w:before="0" w:after="283"/>
              <w:jc w:val="left"/>
              <w:rPr/>
            </w:pPr>
            <w:r>
              <w:rPr/>
              <w:t>​</w:t>
            </w:r>
          </w:p>
        </w:tc>
        <w:tc>
          <w:tcPr>
            <w:tcW w:w="186" w:type="dxa"/>
            <w:tcBorders>
              <w:bottom w:val="single" w:sz="8" w:space="0" w:color="7F7F7F"/>
            </w:tcBorders>
            <w:tcMar>
              <w:bottom w:w="80" w:type="dxa"/>
            </w:tcMar>
            <w:vAlign w:val="center"/>
          </w:tcPr>
          <w:p>
            <w:pPr>
              <w:pStyle w:val="TableContents"/>
              <w:bidi w:val="0"/>
              <w:spacing w:before="0" w:after="283"/>
              <w:jc w:val="right"/>
              <w:rPr/>
            </w:pPr>
            <w:r>
              <w:rPr/>
              <w:t>​</w:t>
            </w:r>
          </w:p>
        </w:tc>
        <w:tc>
          <w:tcPr>
            <w:tcW w:w="1512" w:type="dxa"/>
            <w:tcBorders>
              <w:bottom w:val="single" w:sz="8" w:space="0" w:color="7F7F7F"/>
            </w:tcBorders>
            <w:tcMar>
              <w:bottom w:w="80" w:type="dxa"/>
            </w:tcMar>
            <w:vAlign w:val="center"/>
          </w:tcPr>
          <w:p>
            <w:pPr>
              <w:pStyle w:val="TableContents"/>
              <w:bidi w:val="0"/>
              <w:spacing w:before="0" w:after="283"/>
              <w:jc w:val="right"/>
              <w:rPr/>
            </w:pPr>
            <w:r>
              <w:rPr/>
              <w:t>50,000</w:t>
            </w:r>
          </w:p>
        </w:tc>
        <w:tc>
          <w:tcPr>
            <w:tcW w:w="186"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53" w:type="dxa"/>
            <w:tcBorders>
              <w:bottom w:val="single" w:sz="8" w:space="0" w:color="7F7F7F"/>
            </w:tcBorders>
            <w:tcMar>
              <w:bottom w:w="28" w:type="dxa"/>
            </w:tcMar>
            <w:vAlign w:val="center"/>
          </w:tcPr>
          <w:p>
            <w:pPr>
              <w:pStyle w:val="TableContents"/>
              <w:bidi w:val="0"/>
              <w:spacing w:before="0" w:after="283"/>
              <w:jc w:val="left"/>
              <w:rPr/>
            </w:pPr>
            <w:r>
              <w:rPr/>
              <w:t>​</w:t>
            </w:r>
          </w:p>
        </w:tc>
        <w:tc>
          <w:tcPr>
            <w:tcW w:w="153" w:type="dxa"/>
            <w:tcBorders>
              <w:bottom w:val="single" w:sz="8" w:space="0" w:color="7F7F7F"/>
            </w:tcBorders>
            <w:tcMar>
              <w:bottom w:w="80" w:type="dxa"/>
            </w:tcMar>
            <w:vAlign w:val="center"/>
          </w:tcPr>
          <w:p>
            <w:pPr>
              <w:pStyle w:val="TableContents"/>
              <w:bidi w:val="0"/>
              <w:spacing w:before="0" w:after="283"/>
              <w:jc w:val="right"/>
              <w:rPr/>
            </w:pPr>
            <w:r>
              <w:rPr/>
              <w:t>​</w:t>
            </w:r>
          </w:p>
        </w:tc>
        <w:tc>
          <w:tcPr>
            <w:tcW w:w="1249" w:type="dxa"/>
            <w:tcBorders>
              <w:bottom w:val="single" w:sz="8" w:space="0" w:color="7F7F7F"/>
            </w:tcBorders>
            <w:tcMar>
              <w:bottom w:w="80" w:type="dxa"/>
            </w:tcMar>
            <w:vAlign w:val="center"/>
          </w:tcPr>
          <w:p>
            <w:pPr>
              <w:pStyle w:val="TableContents"/>
              <w:bidi w:val="0"/>
              <w:spacing w:before="0" w:after="283"/>
              <w:jc w:val="right"/>
              <w:rPr/>
            </w:pPr>
            <w:r>
              <w:rPr/>
              <w:t>145,000</w:t>
            </w:r>
          </w:p>
        </w:tc>
        <w:tc>
          <w:tcPr>
            <w:tcW w:w="153"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80" w:type="dxa"/>
            </w:tcMar>
            <w:vAlign w:val="center"/>
          </w:tcPr>
          <w:p>
            <w:pPr>
              <w:pStyle w:val="TableContents"/>
              <w:bidi w:val="0"/>
              <w:spacing w:before="0" w:after="283"/>
              <w:jc w:val="right"/>
              <w:rPr/>
            </w:pPr>
            <w:r>
              <w:rPr/>
              <w:t>​</w:t>
            </w:r>
          </w:p>
        </w:tc>
        <w:tc>
          <w:tcPr>
            <w:tcW w:w="886" w:type="dxa"/>
            <w:tcBorders>
              <w:bottom w:val="single" w:sz="8" w:space="0" w:color="7F7F7F"/>
            </w:tcBorders>
            <w:tcMar>
              <w:bottom w:w="80" w:type="dxa"/>
            </w:tcMar>
            <w:vAlign w:val="center"/>
          </w:tcPr>
          <w:p>
            <w:pPr>
              <w:pStyle w:val="TableContents"/>
              <w:bidi w:val="0"/>
              <w:spacing w:before="0" w:after="283"/>
              <w:jc w:val="right"/>
              <w:rPr/>
            </w:pPr>
            <w:r>
              <w:rPr/>
              <w:t>195,000</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54" w:type="dxa"/>
            <w:tcBorders>
              <w:bottom w:val="single" w:sz="8" w:space="0" w:color="7F7F7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David O’Reilly, a director and Chief Executive Officer of the Company, is not included in this table because he is an employee of the Company and received no additional compensation for his service as a director. The compensation earned by Mr. O’Reilly as an employee of the Company during 2025 is shown below under “</w:t>
      </w:r>
      <w:r>
        <w:rPr>
          <w:rFonts w:ascii="Arial;Helvetica;sans-serif" w:hAnsi="Arial;Helvetica;sans-serif"/>
          <w:b w:val="false"/>
          <w:i/>
          <w:caps w:val="false"/>
          <w:smallCaps w:val="false"/>
          <w:color w:val="000000"/>
          <w:sz w:val="18"/>
        </w:rPr>
        <w:t>Executive Compensation – Summary Compensation Table</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97">
                <wp:simplePos x="0" y="0"/>
                <wp:positionH relativeFrom="column">
                  <wp:align>left</wp:align>
                </wp:positionH>
                <wp:positionV relativeFrom="line">
                  <wp:align>top</wp:align>
                </wp:positionV>
                <wp:extent cx="254000" cy="279400"/>
                <wp:effectExtent l="0" t="0" r="0" b="0"/>
                <wp:wrapSquare wrapText="right"/>
                <wp:docPr id="245" name="Frame165"/>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(1)</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Represents the aggregate grant date fair value of restricted stock granted to the Company’s non-employee directors (exclusive of annual cash retainer amounts elected to be received in the form of restricted stock as described below). The dollar amounts were computed in accordance with Financial Accounting Standards Board Accounting Standards Codification Topic 718 (“ASC 718”), Compensation – Stock Compensation, and exclude the effect of estimated forfeitures. As of December 31, 2025, the number of shares of restricted stock held by each of the non-management directors was as follows: Mr. Eun (2,094), Mr. Lachman (2,464), Ms. Panuccio (2,464), Mr. Sellers (3,898), Ms. Tighe (3,176), Mr. Wautier (2,094), and Mr. Williams (2,094). As noted above, the numbers in this column do not include annual cash retainers that certain directors elected to take in restricted stock.</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298">
                <wp:simplePos x="0" y="0"/>
                <wp:positionH relativeFrom="column">
                  <wp:align>left</wp:align>
                </wp:positionH>
                <wp:positionV relativeFrom="line">
                  <wp:align>top</wp:align>
                </wp:positionV>
                <wp:extent cx="254000" cy="279400"/>
                <wp:effectExtent l="0" t="0" r="0" b="0"/>
                <wp:wrapSquare wrapText="right"/>
                <wp:docPr id="246" name="Frame166"/>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(2)</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Ackman has waived all compensation relating to his service as a director and Executive Chairman of the Company and was not awarded any equity compensation.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299">
                <wp:simplePos x="0" y="0"/>
                <wp:positionH relativeFrom="column">
                  <wp:align>left</wp:align>
                </wp:positionH>
                <wp:positionV relativeFrom="line">
                  <wp:align>top</wp:align>
                </wp:positionV>
                <wp:extent cx="254000" cy="279400"/>
                <wp:effectExtent l="0" t="0" r="0" b="0"/>
                <wp:wrapSquare wrapText="right"/>
                <wp:docPr id="247" name="Frame167"/>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(3)</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Flatto received fees for serving as Chair of the Compensation Committee and a member of the Nominating and Corporate Governance Committee for the first and second quarters of 2025. Mr. Flatto left the Board in May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300">
                <wp:simplePos x="0" y="0"/>
                <wp:positionH relativeFrom="column">
                  <wp:align>left</wp:align>
                </wp:positionH>
                <wp:positionV relativeFrom="line">
                  <wp:align>top</wp:align>
                </wp:positionV>
                <wp:extent cx="254000" cy="279400"/>
                <wp:effectExtent l="0" t="0" r="0" b="0"/>
                <wp:wrapSquare wrapText="right"/>
                <wp:docPr id="248" name="Frame168"/>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(4)</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(4)</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Hakim waived all compensation relating to his service as a director of the Company and was not awarded any equity compensation. Mr. Hakim left the Board in May 2026.</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301">
                <wp:simplePos x="0" y="0"/>
                <wp:positionH relativeFrom="column">
                  <wp:align>left</wp:align>
                </wp:positionH>
                <wp:positionV relativeFrom="line">
                  <wp:align>top</wp:align>
                </wp:positionV>
                <wp:extent cx="254000" cy="279400"/>
                <wp:effectExtent l="0" t="0" r="0" b="0"/>
                <wp:wrapSquare wrapText="right"/>
                <wp:docPr id="249" name="Frame169"/>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(5)</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(5)</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Israel joined the Board in May 2025. Mr. Israel has waived all compensation relating to his service as a director and Chief Investment Officer of the Company and has not been awarded any equity compensation.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302">
                <wp:simplePos x="0" y="0"/>
                <wp:positionH relativeFrom="column">
                  <wp:align>left</wp:align>
                </wp:positionH>
                <wp:positionV relativeFrom="line">
                  <wp:align>top</wp:align>
                </wp:positionV>
                <wp:extent cx="254000" cy="279400"/>
                <wp:effectExtent l="0" t="0" r="0" b="0"/>
                <wp:wrapSquare wrapText="right"/>
                <wp:docPr id="250" name="Frame170"/>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(6)</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(6)</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Ms. Hamilton received fees for serving on the Board, Technology Committee, and Risk Committee in the first and second quarters of 2025. Ms. Hamilton left the Board in May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303">
                <wp:simplePos x="0" y="0"/>
                <wp:positionH relativeFrom="column">
                  <wp:align>left</wp:align>
                </wp:positionH>
                <wp:positionV relativeFrom="line">
                  <wp:align>top</wp:align>
                </wp:positionV>
                <wp:extent cx="254000" cy="279400"/>
                <wp:effectExtent l="0" t="0" r="0" b="0"/>
                <wp:wrapSquare wrapText="right"/>
                <wp:docPr id="251" name="Frame171"/>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(7)</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(7)</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Model left the Board in May 2025. Mr. Model received fees for his service as Chair of the Risk Committee for the first and second quarters of 2025 prior to the dissolution of such committee.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304">
                <wp:simplePos x="0" y="0"/>
                <wp:positionH relativeFrom="column">
                  <wp:align>left</wp:align>
                </wp:positionH>
                <wp:positionV relativeFrom="line">
                  <wp:align>top</wp:align>
                </wp:positionV>
                <wp:extent cx="254000" cy="279400"/>
                <wp:effectExtent l="0" t="0" r="0" b="0"/>
                <wp:wrapSquare wrapText="right"/>
                <wp:docPr id="252" name="Frame172"/>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(8)</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(8)</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Sellers received fees for his service as Presiding Director in the third and fourth quarter of 2025. Mr. Sellers elected to receive his $50,000 annual cash retainer for service as Presiding Director in the form of a restricted stock award.</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25400" distB="0" distL="0" distR="0" simplePos="0" locked="0" layoutInCell="1" allowOverlap="1" relativeHeight="305">
                <wp:simplePos x="0" y="0"/>
                <wp:positionH relativeFrom="column">
                  <wp:align>left</wp:align>
                </wp:positionH>
                <wp:positionV relativeFrom="line">
                  <wp:align>top</wp:align>
                </wp:positionV>
                <wp:extent cx="254000" cy="279400"/>
                <wp:effectExtent l="0" t="0" r="0" b="0"/>
                <wp:wrapSquare wrapText="right"/>
                <wp:docPr id="253" name="Frame173"/>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(9)</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(9)</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301"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Sellers elected to receive $75,000 of his annual cash retainer in the form of a restricted stock award.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306">
                <wp:simplePos x="0" y="0"/>
                <wp:positionH relativeFrom="column">
                  <wp:align>left</wp:align>
                </wp:positionH>
                <wp:positionV relativeFrom="line">
                  <wp:align>top</wp:align>
                </wp:positionV>
                <wp:extent cx="254000" cy="279400"/>
                <wp:effectExtent l="0" t="0" r="0" b="0"/>
                <wp:wrapSquare wrapText="right"/>
                <wp:docPr id="254" name="Frame174"/>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1"/>
                                <w:sz w:val="18"/>
                              </w:rPr>
                              <w:t>(10)</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1"/>
                          <w:sz w:val="18"/>
                        </w:rPr>
                        <w:t>(10)</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Sellers received fees for his service as a member of the Compensation Committee for the first and second quarters of 2025 and as Chair of the Compensation Committee for the third and fourth quarters of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307">
                <wp:simplePos x="0" y="0"/>
                <wp:positionH relativeFrom="column">
                  <wp:align>left</wp:align>
                </wp:positionH>
                <wp:positionV relativeFrom="line">
                  <wp:align>top</wp:align>
                </wp:positionV>
                <wp:extent cx="254000" cy="279400"/>
                <wp:effectExtent l="0" t="0" r="0" b="0"/>
                <wp:wrapSquare wrapText="right"/>
                <wp:docPr id="255" name="Frame175"/>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(11)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(11)</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301"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Mr. Eun joined the Audit Committee in June 2025. Mr. Eun received fees for his service as a member of the Risk Committee for the first and second quarters of 2025 prior to the dissolution of such committee. </w:t>
      </w:r>
      <w:r>
        <mc:AlternateContent>
          <mc:Choice Requires="wps">
            <w:drawing>
              <wp:anchor behindDoc="0" distT="25400" distB="0" distL="0" distR="0" simplePos="0" locked="0" layoutInCell="1" allowOverlap="1" relativeHeight="308">
                <wp:simplePos x="0" y="0"/>
                <wp:positionH relativeFrom="column">
                  <wp:align>left</wp:align>
                </wp:positionH>
                <wp:positionV relativeFrom="line">
                  <wp:align>top</wp:align>
                </wp:positionV>
                <wp:extent cx="254000" cy="279400"/>
                <wp:effectExtent l="0" t="0" r="0" b="0"/>
                <wp:wrapSquare wrapText="right"/>
                <wp:docPr id="256" name="Frame176"/>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(12)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(12)</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22 \ 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The Board, Its Committees and Its Compensation</w:t>
      </w:r>
      <w:r>
        <w:rPr>
          <w:rFonts w:ascii="Arial;Helvetica;sans-serif" w:hAnsi="Arial;Helvetica;sans-serif"/>
          <w:b/>
          <w:i w:val="false"/>
          <w:caps w:val="false"/>
          <w:smallCaps w:val="false"/>
          <w:color w:val="7F7F7F"/>
          <w:sz w:val="22"/>
        </w:rPr>
        <w:t>​</w:t>
      </w:r>
    </w:p>
    <w:p>
      <w:pPr>
        <w:pStyle w:val="TextBody"/>
        <w:bidi w:val="0"/>
        <w:spacing w:lineRule="atLeast" w:line="220" w:before="120" w:after="998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Ms. Kaplan left the Board in September 2025. Ms. Kaplan was paid an amount in cash equal to approximately $43,016 in lieu of her annual equity award upon her departure from the Board, which amount was prorated based on Ms. Kaplan’s time served as director during the 2025-2026 service year.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309">
                <wp:simplePos x="0" y="0"/>
                <wp:positionH relativeFrom="column">
                  <wp:align>left</wp:align>
                </wp:positionH>
                <wp:positionV relativeFrom="line">
                  <wp:posOffset>635</wp:posOffset>
                </wp:positionV>
                <wp:extent cx="254000" cy="525780"/>
                <wp:effectExtent l="0" t="0" r="0" b="0"/>
                <wp:wrapSquare wrapText="right"/>
                <wp:docPr id="257" name="Frame17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20" w:before="0" w:after="283"/>
                              <w:jc w:val="both"/>
                              <w:rPr/>
                            </w:pPr>
                            <w:r>
                              <w:rPr>
                                <w:spacing w:val="-1"/>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(13)</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Shepsman left the Board in September 2025. Mr. Shepsman received fees for his service as Chair of the Audit Committee for the first three quarters of 2025 and as a member of the Risk Committee for the first and second quarters of 2025. Mr. Shepsman was paid an amount in cash equal to approximately $43,016 in lieu of his annual equity award upon his departure from the Board, which amount was prorated based on Mr. Shepsman’s time served as director during the 2025 – 2026 service year.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310">
                <wp:simplePos x="0" y="0"/>
                <wp:positionH relativeFrom="column">
                  <wp:align>left</wp:align>
                </wp:positionH>
                <wp:positionV relativeFrom="line">
                  <wp:align>top</wp:align>
                </wp:positionV>
                <wp:extent cx="254000" cy="525780"/>
                <wp:effectExtent l="0" t="0" r="0" b="0"/>
                <wp:wrapSquare wrapText="right"/>
                <wp:docPr id="258" name="Frame17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20" w:before="0" w:after="283"/>
                              <w:jc w:val="both"/>
                              <w:rPr/>
                            </w:pPr>
                            <w:r>
                              <w:rPr>
                                <w:spacing w:val="-1"/>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(14)</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301"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Williams served as Chair of the Nominating and Corporate Governance Committee for the second half of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311">
                <wp:simplePos x="0" y="0"/>
                <wp:positionH relativeFrom="column">
                  <wp:align>left</wp:align>
                </wp:positionH>
                <wp:positionV relativeFrom="line">
                  <wp:align>top</wp:align>
                </wp:positionV>
                <wp:extent cx="254000" cy="525780"/>
                <wp:effectExtent l="0" t="0" r="0" b="0"/>
                <wp:wrapSquare wrapText="right"/>
                <wp:docPr id="259" name="Frame17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20" w:before="0" w:after="283"/>
                              <w:jc w:val="left"/>
                              <w:rPr/>
                            </w:pPr>
                            <w:r>
                              <w:rPr>
                                <w:spacing w:val="-1"/>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(15)</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301"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Wautier joined the Board in May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312">
                <wp:simplePos x="0" y="0"/>
                <wp:positionH relativeFrom="column">
                  <wp:align>left</wp:align>
                </wp:positionH>
                <wp:positionV relativeFrom="line">
                  <wp:align>top</wp:align>
                </wp:positionV>
                <wp:extent cx="254000" cy="525780"/>
                <wp:effectExtent l="0" t="0" r="0" b="0"/>
                <wp:wrapSquare wrapText="right"/>
                <wp:docPr id="260" name="Frame18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20" w:before="0" w:after="283"/>
                              <w:jc w:val="left"/>
                              <w:rPr/>
                            </w:pPr>
                            <w:r>
                              <w:rPr>
                                <w:spacing w:val="-1"/>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1"/>
                        </w:rPr>
                        <w:t>(16)</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301"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Ms. Tighe elected to receive $75,000 of her annual cash retainer in the form of a restricted stock award. </w:t>
      </w:r>
      <w:r>
        <mc:AlternateContent>
          <mc:Choice Requires="wps">
            <w:drawing>
              <wp:anchor behindDoc="0" distT="25400" distB="0" distL="0" distR="0" simplePos="0" locked="0" layoutInCell="1" allowOverlap="1" relativeHeight="313">
                <wp:simplePos x="0" y="0"/>
                <wp:positionH relativeFrom="column">
                  <wp:align>left</wp:align>
                </wp:positionH>
                <wp:positionV relativeFrom="line">
                  <wp:align>top</wp:align>
                </wp:positionV>
                <wp:extent cx="254000" cy="525780"/>
                <wp:effectExtent l="0" t="0" r="0" b="0"/>
                <wp:wrapSquare wrapText="right"/>
                <wp:docPr id="261" name="Frame18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20" w:before="0" w:after="283"/>
                              <w:jc w:val="left"/>
                              <w:rPr/>
                            </w:pPr>
                            <w:r>
                              <w:rPr>
                                <w:spacing w:val="-1"/>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(17)</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/ 23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SOGN"/>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The Board, Its Committees and Its Compensation</w:t>
      </w:r>
      <w:r>
        <w:rPr>
          <w:rFonts w:ascii="Arial;Helvetica;sans-serif" w:hAnsi="Arial;Helvetica;sans-serif"/>
          <w:b/>
          <w:i w:val="false"/>
          <w:caps w:val="false"/>
          <w:smallCaps w:val="false"/>
          <w:color w:val="7F7F7F"/>
          <w:spacing w:val="-3"/>
          <w:sz w:val="22"/>
        </w:rPr>
        <w:t xml:space="preserve"> </w:t>
      </w:r>
    </w:p>
    <w:p>
      <w:pPr>
        <w:pStyle w:val="TextBody"/>
        <w:bidi w:val="0"/>
        <w:spacing w:lineRule="atLeast" w:line="340" w:before="180" w:after="283"/>
        <w:ind w:left="901"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STOCK OWNERSHIP GUIDELINES (NON-MANAGEMENT DIRECTORS)</w:t>
      </w:r>
      <w:r>
        <w:rPr>
          <w:rFonts w:ascii="Arial;Helvetica;sans-serif" w:hAnsi="Arial;Helvetica;sans-serif"/>
          <w:b/>
          <w:i w:val="false"/>
          <w:caps w:val="false"/>
          <w:smallCaps w:val="false"/>
          <w:color w:val="000000"/>
          <w:spacing w:val="6"/>
          <w:sz w:val="3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314">
                <wp:simplePos x="0" y="0"/>
                <wp:positionH relativeFrom="column">
                  <wp:align>left</wp:align>
                </wp:positionH>
                <wp:positionV relativeFrom="line">
                  <wp:posOffset>635</wp:posOffset>
                </wp:positionV>
                <wp:extent cx="3055620" cy="2453640"/>
                <wp:effectExtent l="0" t="0" r="0" b="0"/>
                <wp:wrapSquare wrapText="right"/>
                <wp:docPr id="262" name="Frame182"/>
                <a:graphic xmlns:a="http://schemas.openxmlformats.org/drawingml/2006/main">
                  <a:graphicData uri="http://schemas.microsoft.com/office/word/2010/wordprocessingShape">
                    <wps:wsp>
                      <wps:cNvSpPr txBox="1"/>
                      <wps:spPr>
                        <a:xfrm>
                          <a:off x="0" y="0"/>
                          <a:ext cx="3055620" cy="2453640"/>
                        </a:xfrm>
                        <a:prstGeom prst="rect"/>
                        <a:solidFill>
                          <a:srgbClr val="FFFFFF"/>
                        </a:solidFill>
                      </wps:spPr>
                      <wps:txbx>
                        <w:txbxContent>
                          <w:p>
                            <w:pPr>
                              <w:pStyle w:val="TextBody"/>
                              <w:bidi w:val="0"/>
                              <w:spacing w:lineRule="atLeast" w:line="240" w:before="0" w:after="0"/>
                              <w:jc w:val="both"/>
                              <w:rPr>
                                <w:spacing w:val="-2"/>
                              </w:rPr>
                            </w:pPr>
                            <w:r>
                              <w:rPr>
                                <w:spacing w:val="-2"/>
                              </w:rPr>
                              <w:t xml:space="preserve">The stock ownership guidelines for non-management directors were adopted to align their interests with those of the Company’s stockholders and strengthen the Company’s commitment to sound corporate governance. The guidelines provide that (a) each non-management director who was a member of the Board prior to May 14, 2013, is required to own shares of Company common stock with a value equal to five times the original annual retainer ($112,000) for Board service within five years of the date of appointment, and (b) each non-management director appointed on or after May 14, 2013, is required to own shares of </w:t>
                            </w:r>
                          </w:p>
                        </w:txbxContent>
                      </wps:txbx>
                      <wps:bodyPr anchor="t" lIns="0" tIns="0" rIns="0" bIns="0">
                        <a:noAutofit/>
                      </wps:bodyPr>
                    </wps:wsp>
                  </a:graphicData>
                </a:graphic>
              </wp:anchor>
            </w:drawing>
          </mc:Choice>
          <mc:Fallback>
            <w:pict>
              <v:rect style="position:absolute;rotation:-0;width:240.6pt;height:193.2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jc w:val="both"/>
                        <w:rPr>
                          <w:spacing w:val="-2"/>
                        </w:rPr>
                      </w:pPr>
                      <w:r>
                        <w:rPr>
                          <w:spacing w:val="-2"/>
                        </w:rPr>
                        <w:t xml:space="preserve">The stock ownership guidelines for non-management directors were adopted to align their interests with those of the Company’s stockholders and strengthen the Company’s commitment to sound corporate governance. The guidelines provide that (a) each non-management director who was a member of the Board prior to May 14, 2013, is required to own shares of Company common stock with a value equal to five times the original annual retainer ($112,000) for Board service within five years of the date of appointment, and (b) each non-management director appointed on or after May 14, 2013, is required to own shares of </w:t>
                      </w:r>
                    </w:p>
                  </w:txbxContent>
                </v:textbox>
                <w10:wrap type="square" side="right"/>
              </v:rect>
            </w:pict>
          </mc:Fallback>
        </mc:AlternateContent>
      </w:r>
      <w:r>
        <mc:AlternateContent>
          <mc:Choice Requires="wps">
            <w:drawing>
              <wp:anchor behindDoc="0" distT="0" distB="0" distL="304800" distR="0" simplePos="0" locked="0" layoutInCell="1" allowOverlap="1" relativeHeight="315">
                <wp:simplePos x="0" y="0"/>
                <wp:positionH relativeFrom="column">
                  <wp:align>left</wp:align>
                </wp:positionH>
                <wp:positionV relativeFrom="line">
                  <wp:posOffset>635</wp:posOffset>
                </wp:positionV>
                <wp:extent cx="3055620" cy="2278380"/>
                <wp:effectExtent l="0" t="0" r="0" b="0"/>
                <wp:wrapSquare wrapText="right"/>
                <wp:docPr id="263" name="Frame183"/>
                <a:graphic xmlns:a="http://schemas.openxmlformats.org/drawingml/2006/main">
                  <a:graphicData uri="http://schemas.microsoft.com/office/word/2010/wordprocessingShape">
                    <wps:wsp>
                      <wps:cNvSpPr txBox="1"/>
                      <wps:spPr>
                        <a:xfrm>
                          <a:off x="0" y="0"/>
                          <a:ext cx="3055620" cy="2278380"/>
                        </a:xfrm>
                        <a:prstGeom prst="rect"/>
                        <a:solidFill>
                          <a:srgbClr val="FFFFFF"/>
                        </a:solidFill>
                      </wps:spPr>
                      <wps:txbx>
                        <w:txbxContent>
                          <w:p>
                            <w:pPr>
                              <w:pStyle w:val="TextBody"/>
                              <w:bidi w:val="0"/>
                              <w:spacing w:lineRule="atLeast" w:line="240" w:before="0" w:after="0"/>
                              <w:jc w:val="both"/>
                              <w:rPr/>
                            </w:pPr>
                            <w:r>
                              <w:rPr>
                                <w:spacing w:val="-2"/>
                              </w:rPr>
                              <w:t>Company common stock with a value equal to five times the annual retainer for Board service in effect on May 14, 2013 ($165,000) within five years of the date of appointment. In determining whether a director has met the minimum stock ownership guidelines, shares of common stock of the Company and restricted stock of the Company will be, in each case, valued based upon the closing price of the Company’s common stock on the applicable determination date. As of August 17, 2026, each director was compliant with the stock ownership guidelines and/or within the initial grace period.</w:t>
                            </w:r>
                            <w:r>
                              <w:rPr/>
                              <w:t xml:space="preserve"> </w:t>
                            </w:r>
                          </w:p>
                        </w:txbxContent>
                      </wps:txbx>
                      <wps:bodyPr anchor="t" lIns="0" tIns="0" rIns="0" bIns="0">
                        <a:noAutofit/>
                      </wps:bodyPr>
                    </wps:wsp>
                  </a:graphicData>
                </a:graphic>
              </wp:anchor>
            </w:drawing>
          </mc:Choice>
          <mc:Fallback>
            <w:pict>
              <v:rect style="position:absolute;rotation:-0;width:240.6pt;height:179.4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jc w:val="both"/>
                        <w:rPr/>
                      </w:pPr>
                      <w:r>
                        <w:rPr>
                          <w:spacing w:val="-2"/>
                        </w:rPr>
                        <w:t>Company common stock with a value equal to five times the annual retainer for Board service in effect on May 14, 2013 ($165,000) within five years of the date of appointment. In determining whether a director has met the minimum stock ownership guidelines, shares of common stock of the Company and restricted stock of the Company will be, in each case, valued based upon the closing price of the Company’s common stock on the applicable determination date. As of August 17, 2026, each director was compliant with the stock ownership guidelines and/or within the initial grace period.</w:t>
                      </w:r>
                      <w:r>
                        <w:rPr/>
                        <w:t xml:space="preserve"> </w:t>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24 \ 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SOOD"/>
      <w:bookmarkEnd w:id="35"/>
      <w:r>
        <w:rPr>
          <w:rFonts w:ascii="calibri;arial;sans-serif" w:hAnsi="calibri;arial;sans-serif"/>
          <w:b w:val="false"/>
          <w:i w:val="false"/>
          <w:caps w:val="false"/>
          <w:smallCaps w:val="false"/>
          <w:color w:val="000000"/>
          <w:sz w:val="16"/>
        </w:rPr>
        <w:t>​</w:t>
      </w:r>
      <w:bookmarkStart w:id="36" w:name="tDAEO"/>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480" w:before="200" w:after="283"/>
        <w:ind w:left="800" w:right="0" w:hanging="0"/>
        <w:jc w:val="left"/>
        <w:rPr>
          <w:caps w:val="false"/>
          <w:smallCaps w:val="false"/>
          <w:color w:val="000000"/>
        </w:rPr>
      </w:pPr>
      <w:r>
        <w:rPr>
          <w:caps w:val="false"/>
          <w:smallCaps w:val="false"/>
          <w:color w:val="000000"/>
          <w:spacing w:val="-6"/>
        </w:rPr>
        <w:t> </w:t>
      </w:r>
      <w:r>
        <w:rPr>
          <w:caps w:val="false"/>
          <w:smallCaps w:val="false"/>
          <w:color w:val="000000"/>
        </w:rPr>
        <w:t xml:space="preserve"> </w:t>
      </w:r>
    </w:p>
    <w:p>
      <w:pPr>
        <w:pStyle w:val="TextBody"/>
        <w:bidi w:val="0"/>
        <w:spacing w:lineRule="atLeast" w:line="480" w:before="300" w:after="283"/>
        <w:ind w:left="800" w:right="0" w:hanging="0"/>
        <w:jc w:val="left"/>
        <w:rPr>
          <w:rFonts w:ascii="Arial;Helvetica;sans-serif" w:hAnsi="Arial;Helvetica;sans-serif"/>
          <w:b/>
          <w:i w:val="false"/>
          <w:caps w:val="false"/>
          <w:smallCaps w:val="false"/>
          <w:color w:val="000000"/>
          <w:spacing w:val="-1"/>
          <w:sz w:val="44"/>
        </w:rPr>
      </w:pPr>
      <w:r>
        <w:rPr>
          <w:rFonts w:ascii="Arial;Helvetica;sans-serif" w:hAnsi="Arial;Helvetica;sans-serif"/>
          <w:b/>
          <w:i w:val="false"/>
          <w:caps w:val="false"/>
          <w:smallCaps w:val="false"/>
          <w:color w:val="000000"/>
          <w:spacing w:val="-1"/>
          <w:sz w:val="44"/>
        </w:rPr>
        <w:t xml:space="preserve">Security Ownership of Directors, Executive </w:t>
        <w:br/>
        <w:t xml:space="preserve">Officers and Certain Beneficial Holders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316">
                <wp:simplePos x="0" y="0"/>
                <wp:positionH relativeFrom="column">
                  <wp:align>left</wp:align>
                </wp:positionH>
                <wp:positionV relativeFrom="line">
                  <wp:posOffset>635</wp:posOffset>
                </wp:positionV>
                <wp:extent cx="3054350" cy="2865120"/>
                <wp:effectExtent l="0" t="0" r="0" b="0"/>
                <wp:wrapSquare wrapText="right"/>
                <wp:docPr id="264" name="Frame184"/>
                <a:graphic xmlns:a="http://schemas.openxmlformats.org/drawingml/2006/main">
                  <a:graphicData uri="http://schemas.microsoft.com/office/word/2010/wordprocessingShape">
                    <wps:wsp>
                      <wps:cNvSpPr txBox="1"/>
                      <wps:spPr>
                        <a:xfrm>
                          <a:off x="0" y="0"/>
                          <a:ext cx="3054350" cy="2865120"/>
                        </a:xfrm>
                        <a:prstGeom prst="rect"/>
                        <a:solidFill>
                          <a:srgbClr val="FFFFFF"/>
                        </a:solidFill>
                      </wps:spPr>
                      <wps:txbx>
                        <w:txbxContent>
                          <w:p>
                            <w:pPr>
                              <w:pStyle w:val="TextBody"/>
                              <w:bidi w:val="0"/>
                              <w:spacing w:lineRule="atLeast" w:line="240" w:before="0" w:after="0"/>
                              <w:jc w:val="both"/>
                              <w:rPr/>
                            </w:pPr>
                            <w:r>
                              <w:rPr>
                                <w:spacing w:val="-2"/>
                              </w:rPr>
                              <w:t>The tables below provide information regarding the beneficial ownership of the Company’s common stock as of August 17, 2026 (unless otherwise noted below), by:</w:t>
                            </w:r>
                            <w:r>
                              <w:rPr>
                                <w:spacing w:val="4"/>
                              </w:rPr>
                              <w:t xml:space="preserve"> </w:t>
                            </w:r>
                          </w:p>
                          <w:p>
                            <w:pPr>
                              <w:pStyle w:val="TextBody"/>
                              <w:bidi w:val="0"/>
                              <w:spacing w:lineRule="atLeast" w:line="240" w:before="240" w:after="0"/>
                              <w:ind w:left="760" w:right="0" w:hanging="0"/>
                              <w:jc w:val="both"/>
                              <w:rPr/>
                            </w:pPr>
                            <w:r>
                              <w:rPr>
                                <w:spacing w:val="-2"/>
                              </w:rPr>
                              <w:t>each director and director nominee of the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pPr>
                            <w:r>
                              <w:rPr>
                                <w:spacing w:val="-2"/>
                              </w:rPr>
                              <w:t>each of the named executive officers set forth in the Summary Compensation Table below;</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pPr>
                            <w:r>
                              <w:rPr>
                                <w:spacing w:val="-2"/>
                              </w:rPr>
                              <w:t>all directors and executive officers as a group; and</w:t>
                            </w:r>
                            <w:r>
                              <w:rPr>
                                <w:spacing w:val="4"/>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0.5pt;height:225.6pt;mso-wrap-distance-left:45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lineRule="atLeast" w:line="240" w:before="0" w:after="0"/>
                        <w:jc w:val="both"/>
                        <w:rPr/>
                      </w:pPr>
                      <w:r>
                        <w:rPr>
                          <w:spacing w:val="-2"/>
                        </w:rPr>
                        <w:t>The tables below provide information regarding the beneficial ownership of the Company’s common stock as of August 17, 2026 (unless otherwise noted below), by:</w:t>
                      </w:r>
                      <w:r>
                        <w:rPr>
                          <w:spacing w:val="4"/>
                        </w:rPr>
                        <w:t xml:space="preserve"> </w:t>
                      </w:r>
                    </w:p>
                    <w:p>
                      <w:pPr>
                        <w:pStyle w:val="TextBody"/>
                        <w:bidi w:val="0"/>
                        <w:spacing w:lineRule="atLeast" w:line="240" w:before="240" w:after="0"/>
                        <w:ind w:left="760" w:right="0" w:hanging="0"/>
                        <w:jc w:val="both"/>
                        <w:rPr/>
                      </w:pPr>
                      <w:r>
                        <w:rPr>
                          <w:spacing w:val="-2"/>
                        </w:rPr>
                        <w:t>each director and director nominee of the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pPr>
                      <w:r>
                        <w:rPr>
                          <w:spacing w:val="-2"/>
                        </w:rPr>
                        <w:t>each of the named executive officers set forth in the Summary Compensation Table below;</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pPr>
                      <w:r>
                        <w:rPr>
                          <w:spacing w:val="-2"/>
                        </w:rPr>
                        <w:t>all directors and executive officers as a group; and</w:t>
                      </w:r>
                      <w:r>
                        <w:rPr>
                          <w:spacing w:val="4"/>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304800" distR="0" simplePos="0" locked="0" layoutInCell="1" allowOverlap="1" relativeHeight="320">
                <wp:simplePos x="0" y="0"/>
                <wp:positionH relativeFrom="column">
                  <wp:align>left</wp:align>
                </wp:positionH>
                <wp:positionV relativeFrom="line">
                  <wp:posOffset>635</wp:posOffset>
                </wp:positionV>
                <wp:extent cx="3054350" cy="2555240"/>
                <wp:effectExtent l="0" t="0" r="0" b="0"/>
                <wp:wrapSquare wrapText="right"/>
                <wp:docPr id="265" name="Frame188"/>
                <a:graphic xmlns:a="http://schemas.openxmlformats.org/drawingml/2006/main">
                  <a:graphicData uri="http://schemas.microsoft.com/office/word/2010/wordprocessingShape">
                    <wps:wsp>
                      <wps:cNvSpPr txBox="1"/>
                      <wps:spPr>
                        <a:xfrm>
                          <a:off x="0" y="0"/>
                          <a:ext cx="3054350" cy="2555240"/>
                        </a:xfrm>
                        <a:prstGeom prst="rect"/>
                        <a:solidFill>
                          <a:srgbClr val="FFFFFF"/>
                        </a:solidFill>
                      </wps:spPr>
                      <wps:txbx>
                        <w:txbxContent>
                          <w:p>
                            <w:pPr>
                              <w:pStyle w:val="TextBody"/>
                              <w:bidi w:val="0"/>
                              <w:spacing w:lineRule="atLeast" w:line="240" w:before="0" w:after="0"/>
                              <w:ind w:left="760" w:right="0" w:hanging="0"/>
                              <w:jc w:val="both"/>
                              <w:rPr/>
                            </w:pPr>
                            <w:r>
                              <w:rPr>
                                <w:spacing w:val="-2"/>
                              </w:rPr>
                              <w:t>each beneficial owner of more than 5% of the Company’s common stock.</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2"/>
                              </w:rPr>
                              <w:t>The table below lists the number and percentage of shares beneficially owned based on 59,719,462 shares of common stock outstanding as of August 17, 2026. Beneficial ownership is determined in accordance with SEC rules and regulations. Unless otherwise indicated and subject to community property laws where applicable, the Company believes each stockholder named in the table below has sole voting and investment power with respect to the shares indicated as beneficially owned.</w:t>
                            </w:r>
                            <w:r>
                              <w:rPr/>
                              <w:t xml:space="preserve"> </w:t>
                            </w:r>
                          </w:p>
                        </w:txbxContent>
                      </wps:txbx>
                      <wps:bodyPr anchor="t" lIns="0" tIns="0" rIns="0" bIns="0">
                        <a:noAutofit/>
                      </wps:bodyPr>
                    </wps:wsp>
                  </a:graphicData>
                </a:graphic>
              </wp:anchor>
            </w:drawing>
          </mc:Choice>
          <mc:Fallback>
            <w:pict>
              <v:rect style="position:absolute;rotation:-0;width:240.5pt;height:201.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ind w:left="760" w:right="0" w:hanging="0"/>
                        <w:jc w:val="both"/>
                        <w:rPr/>
                      </w:pPr>
                      <w:r>
                        <w:rPr>
                          <w:spacing w:val="-2"/>
                        </w:rPr>
                        <w:t>each beneficial owner of more than 5% of the Company’s common stock.</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2"/>
                        </w:rPr>
                        <w:t>The table below lists the number and percentage of shares beneficially owned based on 59,719,462 shares of common stock outstanding as of August 17, 2026. Beneficial ownership is determined in accordance with SEC rules and regulations. Unless otherwise indicated and subject to community property laws where applicable, the Company believes each stockholder named in the table below has sole voting and investment power with respect to the shares indicated as beneficially owned.</w:t>
                      </w:r>
                      <w:r>
                        <w:rPr/>
                        <w:t xml:space="preserve"> </w:t>
                      </w:r>
                    </w:p>
                  </w:txbxContent>
                </v:textbox>
                <w10:wrap type="square" side="right"/>
              </v:rect>
            </w:pict>
          </mc:Fallback>
        </mc:AlternateContent>
      </w:r>
      <w:r>
        <mc:AlternateContent>
          <mc:Choice Requires="wps">
            <w:drawing>
              <wp:anchor behindDoc="0" distT="152400" distB="0" distL="254000" distR="0" simplePos="0" locked="0" layoutInCell="1" allowOverlap="1" relativeHeight="317">
                <wp:simplePos x="0" y="0"/>
                <wp:positionH relativeFrom="column">
                  <wp:align>left</wp:align>
                </wp:positionH>
                <wp:positionV relativeFrom="line">
                  <wp:align>top</wp:align>
                </wp:positionV>
                <wp:extent cx="228600" cy="350520"/>
                <wp:effectExtent l="0" t="0" r="0" b="0"/>
                <wp:wrapSquare wrapText="right"/>
                <wp:docPr id="266" name="Frame18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2400" distB="0" distL="254000" distR="0" simplePos="0" locked="0" layoutInCell="1" allowOverlap="1" relativeHeight="318">
                <wp:simplePos x="0" y="0"/>
                <wp:positionH relativeFrom="column">
                  <wp:align>left</wp:align>
                </wp:positionH>
                <wp:positionV relativeFrom="line">
                  <wp:align>top</wp:align>
                </wp:positionV>
                <wp:extent cx="228600" cy="350520"/>
                <wp:effectExtent l="0" t="0" r="0" b="0"/>
                <wp:wrapSquare wrapText="right"/>
                <wp:docPr id="267" name="Frame18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2400" distB="0" distL="254000" distR="0" simplePos="0" locked="0" layoutInCell="1" allowOverlap="1" relativeHeight="319">
                <wp:simplePos x="0" y="0"/>
                <wp:positionH relativeFrom="column">
                  <wp:align>left</wp:align>
                </wp:positionH>
                <wp:positionV relativeFrom="line">
                  <wp:align>top</wp:align>
                </wp:positionV>
                <wp:extent cx="228600" cy="350520"/>
                <wp:effectExtent l="0" t="0" r="0" b="0"/>
                <wp:wrapSquare wrapText="right"/>
                <wp:docPr id="268" name="Frame18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321">
                <wp:simplePos x="0" y="0"/>
                <wp:positionH relativeFrom="column">
                  <wp:align>left</wp:align>
                </wp:positionH>
                <wp:positionV relativeFrom="line">
                  <wp:posOffset>635</wp:posOffset>
                </wp:positionV>
                <wp:extent cx="228600" cy="350520"/>
                <wp:effectExtent l="0" t="0" r="0" b="0"/>
                <wp:wrapSquare wrapText="right"/>
                <wp:docPr id="269" name="Frame18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lineRule="atLeast" w:line="340" w:before="120" w:after="283"/>
        <w:ind w:left="900"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DIRECTORS AND EXECUTIVE OFFICERS</w:t>
      </w:r>
      <w:r>
        <w:rPr>
          <w:rFonts w:ascii="Arial;Helvetica;sans-serif" w:hAnsi="Arial;Helvetica;sans-serif"/>
          <w:b/>
          <w:i w:val="false"/>
          <w:caps w:val="false"/>
          <w:smallCaps w:val="false"/>
          <w:color w:val="000000"/>
          <w:spacing w:val="6"/>
          <w:sz w:val="30"/>
        </w:rPr>
        <w:t xml:space="preserve"> </w:t>
      </w:r>
    </w:p>
    <w:tbl>
      <w:tblPr>
        <w:tblW w:w="9305" w:type="dxa"/>
        <w:jc w:val="left"/>
        <w:tblInd w:w="900" w:type="dxa"/>
        <w:tblLayout w:type="fixed"/>
        <w:tblCellMar>
          <w:top w:w="0" w:type="dxa"/>
          <w:left w:w="0" w:type="dxa"/>
          <w:bottom w:w="0" w:type="dxa"/>
          <w:right w:w="0" w:type="dxa"/>
        </w:tblCellMar>
      </w:tblPr>
      <w:tblGrid>
        <w:gridCol w:w="124"/>
        <w:gridCol w:w="5175"/>
        <w:gridCol w:w="109"/>
        <w:gridCol w:w="109"/>
        <w:gridCol w:w="154"/>
        <w:gridCol w:w="154"/>
        <w:gridCol w:w="1758"/>
        <w:gridCol w:w="154"/>
        <w:gridCol w:w="109"/>
        <w:gridCol w:w="109"/>
        <w:gridCol w:w="149"/>
        <w:gridCol w:w="149"/>
        <w:gridCol w:w="742"/>
        <w:gridCol w:w="152"/>
        <w:gridCol w:w="158"/>
      </w:tblGrid>
      <w:tr>
        <w:trPr/>
        <w:tc>
          <w:tcPr>
            <w:tcW w:w="124" w:type="dxa"/>
            <w:tcBorders/>
            <w:shd w:fill="BAD8EA" w:val="clear"/>
            <w:vAlign w:val="center"/>
          </w:tcPr>
          <w:p>
            <w:pPr>
              <w:pStyle w:val="TableContents"/>
              <w:bidi w:val="0"/>
              <w:spacing w:before="0" w:after="283"/>
              <w:jc w:val="left"/>
              <w:rPr/>
            </w:pPr>
            <w:r>
              <w:rPr/>
              <w:t>​</w:t>
            </w:r>
          </w:p>
        </w:tc>
        <w:tc>
          <w:tcPr>
            <w:tcW w:w="5175" w:type="dxa"/>
            <w:tcBorders/>
            <w:shd w:fill="BAD8EA" w:val="clear"/>
            <w:vAlign w:val="center"/>
          </w:tcPr>
          <w:p>
            <w:pPr>
              <w:pStyle w:val="TableContents"/>
              <w:bidi w:val="0"/>
              <w:spacing w:before="0" w:after="0"/>
              <w:jc w:val="left"/>
              <w:rPr>
                <w:spacing w:val="0"/>
              </w:rPr>
            </w:pPr>
            <w:r>
              <w:rPr>
                <w:spacing w:val="0"/>
              </w:rPr>
              <w:t xml:space="preserve">Name of Beneficial Owner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2220" w:type="dxa"/>
            <w:gridSpan w:val="4"/>
            <w:tcBorders/>
            <w:shd w:fill="BAD8EA" w:val="clear"/>
            <w:vAlign w:val="center"/>
          </w:tcPr>
          <w:p>
            <w:pPr>
              <w:pStyle w:val="TableContents"/>
              <w:bidi w:val="0"/>
              <w:spacing w:lineRule="atLeast" w:line="202" w:before="0" w:after="0"/>
              <w:jc w:val="center"/>
              <w:rPr>
                <w:spacing w:val="0"/>
              </w:rPr>
            </w:pPr>
            <w:r>
              <w:rPr>
                <w:spacing w:val="0"/>
              </w:rPr>
              <w:t xml:space="preserve">Amount and Nature of </w:t>
              <w:br/>
              <w:t xml:space="preserve">Beneficial Ownership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192" w:type="dxa"/>
            <w:gridSpan w:val="4"/>
            <w:tcBorders/>
            <w:shd w:fill="BAD8EA" w:val="clear"/>
            <w:vAlign w:val="center"/>
          </w:tcPr>
          <w:p>
            <w:pPr>
              <w:pStyle w:val="TableContents"/>
              <w:bidi w:val="0"/>
              <w:spacing w:before="0" w:after="0"/>
              <w:jc w:val="center"/>
              <w:rPr>
                <w:spacing w:val="0"/>
              </w:rPr>
            </w:pPr>
            <w:r>
              <w:rPr>
                <w:spacing w:val="0"/>
              </w:rPr>
              <w:t xml:space="preserve">Percentage </w:t>
            </w:r>
          </w:p>
        </w:tc>
        <w:tc>
          <w:tcPr>
            <w:tcW w:w="158"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175" w:type="dxa"/>
            <w:tcBorders>
              <w:bottom w:val="single" w:sz="2" w:space="0" w:color="CBCAC8"/>
            </w:tcBorders>
            <w:tcMar>
              <w:bottom w:w="50" w:type="dxa"/>
            </w:tcMar>
            <w:vAlign w:val="center"/>
          </w:tcPr>
          <w:p>
            <w:pPr>
              <w:pStyle w:val="TableContents"/>
              <w:bidi w:val="0"/>
              <w:spacing w:lineRule="atLeast" w:line="142" w:before="0" w:after="283"/>
              <w:jc w:val="left"/>
              <w:rPr/>
            </w:pPr>
            <w:r>
              <w:rPr>
                <w:spacing w:val="-2"/>
              </w:rPr>
              <w:t>William Ackman</w:t>
            </w:r>
            <w:r>
              <w:rPr>
                <w:spacing w:val="-1"/>
                <w:sz w:val="13"/>
              </w:rPr>
              <w:t>(1)</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50" w:type="dxa"/>
            </w:tcMar>
            <w:vAlign w:val="center"/>
          </w:tcPr>
          <w:p>
            <w:pPr>
              <w:pStyle w:val="TableContents"/>
              <w:bidi w:val="0"/>
              <w:spacing w:before="0" w:after="283"/>
              <w:jc w:val="right"/>
              <w:rPr/>
            </w:pPr>
            <w:r>
              <w:rPr/>
              <w:t>​</w:t>
            </w:r>
          </w:p>
        </w:tc>
        <w:tc>
          <w:tcPr>
            <w:tcW w:w="1758" w:type="dxa"/>
            <w:tcBorders>
              <w:bottom w:val="single" w:sz="2" w:space="0" w:color="CBCAC8"/>
            </w:tcBorders>
            <w:tcMar>
              <w:bottom w:w="50" w:type="dxa"/>
            </w:tcMar>
            <w:vAlign w:val="center"/>
          </w:tcPr>
          <w:p>
            <w:pPr>
              <w:pStyle w:val="TableContents"/>
              <w:bidi w:val="0"/>
              <w:spacing w:before="0" w:after="283"/>
              <w:jc w:val="right"/>
              <w:rPr/>
            </w:pPr>
            <w:r>
              <w:rPr/>
              <w:t>27,852,064</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50" w:type="dxa"/>
            </w:tcMar>
            <w:vAlign w:val="center"/>
          </w:tcPr>
          <w:p>
            <w:pPr>
              <w:pStyle w:val="TableContents"/>
              <w:bidi w:val="0"/>
              <w:spacing w:before="0" w:after="283"/>
              <w:jc w:val="right"/>
              <w:rPr/>
            </w:pPr>
            <w:r>
              <w:rPr/>
              <w:t>​</w:t>
            </w:r>
          </w:p>
        </w:tc>
        <w:tc>
          <w:tcPr>
            <w:tcW w:w="742" w:type="dxa"/>
            <w:tcBorders>
              <w:bottom w:val="single" w:sz="2" w:space="0" w:color="CBCAC8"/>
            </w:tcBorders>
            <w:tcMar>
              <w:bottom w:w="50" w:type="dxa"/>
            </w:tcMar>
            <w:vAlign w:val="center"/>
          </w:tcPr>
          <w:p>
            <w:pPr>
              <w:pStyle w:val="TableContents"/>
              <w:bidi w:val="0"/>
              <w:spacing w:before="0" w:after="283"/>
              <w:jc w:val="right"/>
              <w:rPr/>
            </w:pPr>
            <w:r>
              <w:rPr/>
              <w:t>46.6%</w:t>
            </w:r>
          </w:p>
        </w:tc>
        <w:tc>
          <w:tcPr>
            <w:tcW w:w="152" w:type="dxa"/>
            <w:tcBorders>
              <w:bottom w:val="single" w:sz="2" w:space="0" w:color="CBCAC8"/>
            </w:tcBorders>
            <w:tcMar>
              <w:bottom w:w="28" w:type="dxa"/>
            </w:tcMar>
            <w:vAlign w:val="center"/>
          </w:tcPr>
          <w:p>
            <w:pPr>
              <w:pStyle w:val="TableContents"/>
              <w:bidi w:val="0"/>
              <w:spacing w:before="0" w:after="283"/>
              <w:jc w:val="left"/>
              <w:rPr/>
            </w:pPr>
            <w:r>
              <w:rPr/>
              <w:t>​</w:t>
            </w:r>
          </w:p>
        </w:tc>
        <w:tc>
          <w:tcPr>
            <w:tcW w:w="158"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175" w:type="dxa"/>
            <w:tcBorders>
              <w:bottom w:val="single" w:sz="2" w:space="0" w:color="CBCAC8"/>
            </w:tcBorders>
            <w:tcMar>
              <w:bottom w:w="50" w:type="dxa"/>
            </w:tcMar>
            <w:vAlign w:val="center"/>
          </w:tcPr>
          <w:p>
            <w:pPr>
              <w:pStyle w:val="TableContents"/>
              <w:bidi w:val="0"/>
              <w:spacing w:lineRule="atLeast" w:line="142" w:before="0" w:after="283"/>
              <w:jc w:val="left"/>
              <w:rPr/>
            </w:pPr>
            <w:r>
              <w:rPr>
                <w:spacing w:val="-2"/>
              </w:rPr>
              <w:t>David Eun</w:t>
            </w:r>
            <w:r>
              <w:rPr>
                <w:spacing w:val="-1"/>
                <w:sz w:val="13"/>
              </w:rPr>
              <w:t>(2)</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50" w:type="dxa"/>
            </w:tcMar>
            <w:vAlign w:val="center"/>
          </w:tcPr>
          <w:p>
            <w:pPr>
              <w:pStyle w:val="TableContents"/>
              <w:bidi w:val="0"/>
              <w:spacing w:before="0" w:after="283"/>
              <w:jc w:val="right"/>
              <w:rPr/>
            </w:pPr>
            <w:r>
              <w:rPr/>
              <w:t>​</w:t>
            </w:r>
          </w:p>
        </w:tc>
        <w:tc>
          <w:tcPr>
            <w:tcW w:w="1758" w:type="dxa"/>
            <w:tcBorders>
              <w:bottom w:val="single" w:sz="2" w:space="0" w:color="CBCAC8"/>
            </w:tcBorders>
            <w:tcMar>
              <w:bottom w:w="50" w:type="dxa"/>
            </w:tcMar>
            <w:vAlign w:val="center"/>
          </w:tcPr>
          <w:p>
            <w:pPr>
              <w:pStyle w:val="TableContents"/>
              <w:bidi w:val="0"/>
              <w:spacing w:before="0" w:after="283"/>
              <w:jc w:val="right"/>
              <w:rPr/>
            </w:pPr>
            <w:r>
              <w:rPr/>
              <w:t xml:space="preserve">9,720 </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50" w:type="dxa"/>
            </w:tcMar>
            <w:vAlign w:val="center"/>
          </w:tcPr>
          <w:p>
            <w:pPr>
              <w:pStyle w:val="TableContents"/>
              <w:bidi w:val="0"/>
              <w:spacing w:before="0" w:after="283"/>
              <w:jc w:val="right"/>
              <w:rPr/>
            </w:pPr>
            <w:r>
              <w:rPr/>
              <w:t>​</w:t>
            </w:r>
          </w:p>
        </w:tc>
        <w:tc>
          <w:tcPr>
            <w:tcW w:w="742" w:type="dxa"/>
            <w:tcBorders>
              <w:bottom w:val="single" w:sz="2" w:space="0" w:color="CBCAC8"/>
            </w:tcBorders>
            <w:tcMar>
              <w:bottom w:w="50" w:type="dxa"/>
            </w:tcMar>
            <w:vAlign w:val="center"/>
          </w:tcPr>
          <w:p>
            <w:pPr>
              <w:pStyle w:val="TableContents"/>
              <w:bidi w:val="0"/>
              <w:spacing w:before="0" w:after="283"/>
              <w:jc w:val="right"/>
              <w:rPr/>
            </w:pPr>
            <w:r>
              <w:rPr/>
              <w:t>*</w:t>
            </w:r>
          </w:p>
        </w:tc>
        <w:tc>
          <w:tcPr>
            <w:tcW w:w="152" w:type="dxa"/>
            <w:tcBorders>
              <w:bottom w:val="single" w:sz="2" w:space="0" w:color="CBCAC8"/>
            </w:tcBorders>
            <w:tcMar>
              <w:bottom w:w="28" w:type="dxa"/>
            </w:tcMar>
            <w:vAlign w:val="center"/>
          </w:tcPr>
          <w:p>
            <w:pPr>
              <w:pStyle w:val="TableContents"/>
              <w:bidi w:val="0"/>
              <w:spacing w:before="0" w:after="283"/>
              <w:jc w:val="left"/>
              <w:rPr/>
            </w:pPr>
            <w:r>
              <w:rPr/>
              <w:t>​</w:t>
            </w:r>
          </w:p>
        </w:tc>
        <w:tc>
          <w:tcPr>
            <w:tcW w:w="158"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175" w:type="dxa"/>
            <w:tcBorders>
              <w:bottom w:val="single" w:sz="2" w:space="0" w:color="CBCAC8"/>
            </w:tcBorders>
            <w:tcMar>
              <w:bottom w:w="50" w:type="dxa"/>
            </w:tcMar>
            <w:vAlign w:val="center"/>
          </w:tcPr>
          <w:p>
            <w:pPr>
              <w:pStyle w:val="TableContents"/>
              <w:bidi w:val="0"/>
              <w:spacing w:lineRule="atLeast" w:line="142" w:before="0" w:after="283"/>
              <w:jc w:val="left"/>
              <w:rPr/>
            </w:pPr>
            <w:r>
              <w:rPr>
                <w:spacing w:val="-2"/>
              </w:rPr>
              <w:t>Marc Grandisson</w:t>
            </w:r>
            <w:r>
              <w:rPr>
                <w:spacing w:val="-1"/>
                <w:sz w:val="13"/>
              </w:rPr>
              <w:t>(2)(3)</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50" w:type="dxa"/>
            </w:tcMar>
            <w:vAlign w:val="center"/>
          </w:tcPr>
          <w:p>
            <w:pPr>
              <w:pStyle w:val="TableContents"/>
              <w:bidi w:val="0"/>
              <w:spacing w:before="0" w:after="283"/>
              <w:jc w:val="right"/>
              <w:rPr/>
            </w:pPr>
            <w:r>
              <w:rPr/>
              <w:t>​</w:t>
            </w:r>
          </w:p>
        </w:tc>
        <w:tc>
          <w:tcPr>
            <w:tcW w:w="1758" w:type="dxa"/>
            <w:tcBorders>
              <w:bottom w:val="single" w:sz="2" w:space="0" w:color="CBCAC8"/>
            </w:tcBorders>
            <w:tcMar>
              <w:bottom w:w="50" w:type="dxa"/>
            </w:tcMar>
            <w:vAlign w:val="center"/>
          </w:tcPr>
          <w:p>
            <w:pPr>
              <w:pStyle w:val="TableContents"/>
              <w:bidi w:val="0"/>
              <w:spacing w:before="0" w:after="283"/>
              <w:jc w:val="right"/>
              <w:rPr/>
            </w:pPr>
            <w:r>
              <w:rPr/>
              <w:t xml:space="preserve">71,943 </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50" w:type="dxa"/>
            </w:tcMar>
            <w:vAlign w:val="center"/>
          </w:tcPr>
          <w:p>
            <w:pPr>
              <w:pStyle w:val="TableContents"/>
              <w:bidi w:val="0"/>
              <w:spacing w:before="0" w:after="283"/>
              <w:jc w:val="right"/>
              <w:rPr/>
            </w:pPr>
            <w:r>
              <w:rPr/>
              <w:t>​</w:t>
            </w:r>
          </w:p>
        </w:tc>
        <w:tc>
          <w:tcPr>
            <w:tcW w:w="742" w:type="dxa"/>
            <w:tcBorders>
              <w:bottom w:val="single" w:sz="2" w:space="0" w:color="CBCAC8"/>
            </w:tcBorders>
            <w:tcMar>
              <w:bottom w:w="50" w:type="dxa"/>
            </w:tcMar>
            <w:vAlign w:val="center"/>
          </w:tcPr>
          <w:p>
            <w:pPr>
              <w:pStyle w:val="TableContents"/>
              <w:bidi w:val="0"/>
              <w:spacing w:before="0" w:after="283"/>
              <w:jc w:val="right"/>
              <w:rPr/>
            </w:pPr>
            <w:r>
              <w:rPr/>
              <w:t xml:space="preserve">* </w:t>
            </w:r>
          </w:p>
        </w:tc>
        <w:tc>
          <w:tcPr>
            <w:tcW w:w="152" w:type="dxa"/>
            <w:tcBorders>
              <w:bottom w:val="single" w:sz="2" w:space="0" w:color="CBCAC8"/>
            </w:tcBorders>
            <w:tcMar>
              <w:bottom w:w="28" w:type="dxa"/>
            </w:tcMar>
            <w:vAlign w:val="center"/>
          </w:tcPr>
          <w:p>
            <w:pPr>
              <w:pStyle w:val="TableContents"/>
              <w:bidi w:val="0"/>
              <w:spacing w:before="0" w:after="283"/>
              <w:jc w:val="left"/>
              <w:rPr/>
            </w:pPr>
            <w:r>
              <w:rPr/>
              <w:t>​</w:t>
            </w:r>
          </w:p>
        </w:tc>
        <w:tc>
          <w:tcPr>
            <w:tcW w:w="158"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175" w:type="dxa"/>
            <w:tcBorders>
              <w:bottom w:val="single" w:sz="2" w:space="0" w:color="CBCAC8"/>
            </w:tcBorders>
            <w:tcMar>
              <w:bottom w:w="50" w:type="dxa"/>
            </w:tcMar>
            <w:vAlign w:val="center"/>
          </w:tcPr>
          <w:p>
            <w:pPr>
              <w:pStyle w:val="TableContents"/>
              <w:bidi w:val="0"/>
              <w:spacing w:lineRule="atLeast" w:line="142" w:before="0" w:after="283"/>
              <w:jc w:val="left"/>
              <w:rPr/>
            </w:pPr>
            <w:r>
              <w:rPr>
                <w:spacing w:val="-2"/>
              </w:rPr>
              <w:t>Ryan Israel</w:t>
            </w:r>
            <w:r>
              <w:rPr>
                <w:spacing w:val="-1"/>
                <w:sz w:val="13"/>
              </w:rPr>
              <w:t>(4)</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50" w:type="dxa"/>
            </w:tcMar>
            <w:vAlign w:val="center"/>
          </w:tcPr>
          <w:p>
            <w:pPr>
              <w:pStyle w:val="TableContents"/>
              <w:bidi w:val="0"/>
              <w:spacing w:before="0" w:after="283"/>
              <w:jc w:val="right"/>
              <w:rPr/>
            </w:pPr>
            <w:r>
              <w:rPr/>
              <w:t>​</w:t>
            </w:r>
          </w:p>
        </w:tc>
        <w:tc>
          <w:tcPr>
            <w:tcW w:w="1758" w:type="dxa"/>
            <w:tcBorders>
              <w:bottom w:val="single" w:sz="2" w:space="0" w:color="CBCAC8"/>
            </w:tcBorders>
            <w:tcMar>
              <w:bottom w:w="50" w:type="dxa"/>
            </w:tcMar>
            <w:vAlign w:val="center"/>
          </w:tcPr>
          <w:p>
            <w:pPr>
              <w:pStyle w:val="TableContents"/>
              <w:bidi w:val="0"/>
              <w:spacing w:before="0" w:after="283"/>
              <w:jc w:val="right"/>
              <w:rPr/>
            </w:pPr>
            <w:r>
              <w:rPr/>
              <w:t>970</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50" w:type="dxa"/>
            </w:tcMar>
            <w:vAlign w:val="center"/>
          </w:tcPr>
          <w:p>
            <w:pPr>
              <w:pStyle w:val="TableContents"/>
              <w:bidi w:val="0"/>
              <w:spacing w:before="0" w:after="283"/>
              <w:jc w:val="right"/>
              <w:rPr/>
            </w:pPr>
            <w:r>
              <w:rPr/>
              <w:t>​</w:t>
            </w:r>
          </w:p>
        </w:tc>
        <w:tc>
          <w:tcPr>
            <w:tcW w:w="742" w:type="dxa"/>
            <w:tcBorders>
              <w:bottom w:val="single" w:sz="2" w:space="0" w:color="CBCAC8"/>
            </w:tcBorders>
            <w:tcMar>
              <w:bottom w:w="50" w:type="dxa"/>
            </w:tcMar>
            <w:vAlign w:val="center"/>
          </w:tcPr>
          <w:p>
            <w:pPr>
              <w:pStyle w:val="TableContents"/>
              <w:bidi w:val="0"/>
              <w:spacing w:before="0" w:after="283"/>
              <w:jc w:val="right"/>
              <w:rPr/>
            </w:pPr>
            <w:r>
              <w:rPr/>
              <w:t>*</w:t>
            </w:r>
          </w:p>
        </w:tc>
        <w:tc>
          <w:tcPr>
            <w:tcW w:w="152" w:type="dxa"/>
            <w:tcBorders>
              <w:bottom w:val="single" w:sz="2" w:space="0" w:color="CBCAC8"/>
            </w:tcBorders>
            <w:tcMar>
              <w:bottom w:w="28" w:type="dxa"/>
            </w:tcMar>
            <w:vAlign w:val="center"/>
          </w:tcPr>
          <w:p>
            <w:pPr>
              <w:pStyle w:val="TableContents"/>
              <w:bidi w:val="0"/>
              <w:spacing w:before="0" w:after="283"/>
              <w:jc w:val="left"/>
              <w:rPr/>
            </w:pPr>
            <w:r>
              <w:rPr/>
              <w:t>​</w:t>
            </w:r>
          </w:p>
        </w:tc>
        <w:tc>
          <w:tcPr>
            <w:tcW w:w="158"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175" w:type="dxa"/>
            <w:tcBorders>
              <w:bottom w:val="single" w:sz="2" w:space="0" w:color="CBCAC8"/>
            </w:tcBorders>
            <w:tcMar>
              <w:bottom w:w="50" w:type="dxa"/>
            </w:tcMar>
            <w:vAlign w:val="center"/>
          </w:tcPr>
          <w:p>
            <w:pPr>
              <w:pStyle w:val="TableContents"/>
              <w:bidi w:val="0"/>
              <w:spacing w:lineRule="atLeast" w:line="142" w:before="0" w:after="283"/>
              <w:jc w:val="left"/>
              <w:rPr/>
            </w:pPr>
            <w:r>
              <w:rPr>
                <w:spacing w:val="-2"/>
              </w:rPr>
              <w:t>Thom Lachman</w:t>
            </w:r>
            <w:r>
              <w:rPr>
                <w:spacing w:val="-1"/>
                <w:sz w:val="13"/>
              </w:rPr>
              <w:t>(2)(5)</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50" w:type="dxa"/>
            </w:tcMar>
            <w:vAlign w:val="center"/>
          </w:tcPr>
          <w:p>
            <w:pPr>
              <w:pStyle w:val="TableContents"/>
              <w:bidi w:val="0"/>
              <w:spacing w:before="0" w:after="283"/>
              <w:jc w:val="right"/>
              <w:rPr/>
            </w:pPr>
            <w:r>
              <w:rPr/>
              <w:t>​</w:t>
            </w:r>
          </w:p>
        </w:tc>
        <w:tc>
          <w:tcPr>
            <w:tcW w:w="1758" w:type="dxa"/>
            <w:tcBorders>
              <w:bottom w:val="single" w:sz="2" w:space="0" w:color="CBCAC8"/>
            </w:tcBorders>
            <w:tcMar>
              <w:bottom w:w="50" w:type="dxa"/>
            </w:tcMar>
            <w:vAlign w:val="center"/>
          </w:tcPr>
          <w:p>
            <w:pPr>
              <w:pStyle w:val="TableContents"/>
              <w:bidi w:val="0"/>
              <w:spacing w:before="0" w:after="283"/>
              <w:jc w:val="right"/>
              <w:rPr/>
            </w:pPr>
            <w:r>
              <w:rPr/>
              <w:t xml:space="preserve">5,754 </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50" w:type="dxa"/>
            </w:tcMar>
            <w:vAlign w:val="center"/>
          </w:tcPr>
          <w:p>
            <w:pPr>
              <w:pStyle w:val="TableContents"/>
              <w:bidi w:val="0"/>
              <w:spacing w:before="0" w:after="283"/>
              <w:jc w:val="right"/>
              <w:rPr/>
            </w:pPr>
            <w:r>
              <w:rPr/>
              <w:t>​</w:t>
            </w:r>
          </w:p>
        </w:tc>
        <w:tc>
          <w:tcPr>
            <w:tcW w:w="742" w:type="dxa"/>
            <w:tcBorders>
              <w:bottom w:val="single" w:sz="2" w:space="0" w:color="CBCAC8"/>
            </w:tcBorders>
            <w:tcMar>
              <w:bottom w:w="50" w:type="dxa"/>
            </w:tcMar>
            <w:vAlign w:val="center"/>
          </w:tcPr>
          <w:p>
            <w:pPr>
              <w:pStyle w:val="TableContents"/>
              <w:bidi w:val="0"/>
              <w:spacing w:before="0" w:after="283"/>
              <w:jc w:val="right"/>
              <w:rPr/>
            </w:pPr>
            <w:r>
              <w:rPr/>
              <w:t>*</w:t>
            </w:r>
          </w:p>
        </w:tc>
        <w:tc>
          <w:tcPr>
            <w:tcW w:w="152" w:type="dxa"/>
            <w:tcBorders>
              <w:bottom w:val="single" w:sz="2" w:space="0" w:color="CBCAC8"/>
            </w:tcBorders>
            <w:tcMar>
              <w:bottom w:w="28" w:type="dxa"/>
            </w:tcMar>
            <w:vAlign w:val="center"/>
          </w:tcPr>
          <w:p>
            <w:pPr>
              <w:pStyle w:val="TableContents"/>
              <w:bidi w:val="0"/>
              <w:spacing w:before="0" w:after="283"/>
              <w:jc w:val="left"/>
              <w:rPr/>
            </w:pPr>
            <w:r>
              <w:rPr/>
              <w:t>​</w:t>
            </w:r>
          </w:p>
        </w:tc>
        <w:tc>
          <w:tcPr>
            <w:tcW w:w="158"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175" w:type="dxa"/>
            <w:tcBorders>
              <w:bottom w:val="single" w:sz="2" w:space="0" w:color="CBCAC8"/>
            </w:tcBorders>
            <w:tcMar>
              <w:bottom w:w="50" w:type="dxa"/>
            </w:tcMar>
            <w:vAlign w:val="center"/>
          </w:tcPr>
          <w:p>
            <w:pPr>
              <w:pStyle w:val="TableContents"/>
              <w:bidi w:val="0"/>
              <w:spacing w:lineRule="atLeast" w:line="142" w:before="0" w:after="283"/>
              <w:jc w:val="left"/>
              <w:rPr/>
            </w:pPr>
            <w:r>
              <w:rPr>
                <w:spacing w:val="-2"/>
              </w:rPr>
              <w:t>Jean-Baptiste Wautier</w:t>
            </w:r>
            <w:r>
              <w:rPr>
                <w:spacing w:val="-1"/>
                <w:sz w:val="13"/>
              </w:rPr>
              <w:t>(2)</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50" w:type="dxa"/>
            </w:tcMar>
            <w:vAlign w:val="center"/>
          </w:tcPr>
          <w:p>
            <w:pPr>
              <w:pStyle w:val="TableContents"/>
              <w:bidi w:val="0"/>
              <w:spacing w:before="0" w:after="283"/>
              <w:jc w:val="right"/>
              <w:rPr/>
            </w:pPr>
            <w:r>
              <w:rPr/>
              <w:t>​</w:t>
            </w:r>
          </w:p>
        </w:tc>
        <w:tc>
          <w:tcPr>
            <w:tcW w:w="1758" w:type="dxa"/>
            <w:tcBorders>
              <w:bottom w:val="single" w:sz="2" w:space="0" w:color="CBCAC8"/>
            </w:tcBorders>
            <w:tcMar>
              <w:bottom w:w="50" w:type="dxa"/>
            </w:tcMar>
            <w:vAlign w:val="center"/>
          </w:tcPr>
          <w:p>
            <w:pPr>
              <w:pStyle w:val="TableContents"/>
              <w:bidi w:val="0"/>
              <w:spacing w:before="0" w:after="283"/>
              <w:jc w:val="right"/>
              <w:rPr/>
            </w:pPr>
            <w:r>
              <w:rPr/>
              <w:t xml:space="preserve">4,263 </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50" w:type="dxa"/>
            </w:tcMar>
            <w:vAlign w:val="center"/>
          </w:tcPr>
          <w:p>
            <w:pPr>
              <w:pStyle w:val="TableContents"/>
              <w:bidi w:val="0"/>
              <w:spacing w:before="0" w:after="283"/>
              <w:jc w:val="right"/>
              <w:rPr/>
            </w:pPr>
            <w:r>
              <w:rPr/>
              <w:t>​</w:t>
            </w:r>
          </w:p>
        </w:tc>
        <w:tc>
          <w:tcPr>
            <w:tcW w:w="742" w:type="dxa"/>
            <w:tcBorders>
              <w:bottom w:val="single" w:sz="2" w:space="0" w:color="CBCAC8"/>
            </w:tcBorders>
            <w:tcMar>
              <w:bottom w:w="50" w:type="dxa"/>
            </w:tcMar>
            <w:vAlign w:val="center"/>
          </w:tcPr>
          <w:p>
            <w:pPr>
              <w:pStyle w:val="TableContents"/>
              <w:bidi w:val="0"/>
              <w:spacing w:before="0" w:after="283"/>
              <w:jc w:val="right"/>
              <w:rPr/>
            </w:pPr>
            <w:r>
              <w:rPr/>
              <w:t>*</w:t>
            </w:r>
          </w:p>
        </w:tc>
        <w:tc>
          <w:tcPr>
            <w:tcW w:w="152" w:type="dxa"/>
            <w:tcBorders>
              <w:bottom w:val="single" w:sz="2" w:space="0" w:color="CBCAC8"/>
            </w:tcBorders>
            <w:tcMar>
              <w:bottom w:w="28" w:type="dxa"/>
            </w:tcMar>
            <w:vAlign w:val="center"/>
          </w:tcPr>
          <w:p>
            <w:pPr>
              <w:pStyle w:val="TableContents"/>
              <w:bidi w:val="0"/>
              <w:spacing w:before="0" w:after="283"/>
              <w:jc w:val="left"/>
              <w:rPr/>
            </w:pPr>
            <w:r>
              <w:rPr/>
              <w:t>​</w:t>
            </w:r>
          </w:p>
        </w:tc>
        <w:tc>
          <w:tcPr>
            <w:tcW w:w="158"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175" w:type="dxa"/>
            <w:tcBorders>
              <w:bottom w:val="single" w:sz="2" w:space="0" w:color="CBCAC8"/>
            </w:tcBorders>
            <w:tcMar>
              <w:bottom w:w="50" w:type="dxa"/>
            </w:tcMar>
            <w:vAlign w:val="center"/>
          </w:tcPr>
          <w:p>
            <w:pPr>
              <w:pStyle w:val="TableContents"/>
              <w:bidi w:val="0"/>
              <w:spacing w:lineRule="atLeast" w:line="142" w:before="0" w:after="283"/>
              <w:jc w:val="left"/>
              <w:rPr/>
            </w:pPr>
            <w:r>
              <w:rPr>
                <w:spacing w:val="-2"/>
              </w:rPr>
              <w:t>R. Scot Sellers</w:t>
            </w:r>
            <w:r>
              <w:rPr>
                <w:spacing w:val="-1"/>
                <w:sz w:val="13"/>
              </w:rPr>
              <w:t>(2)</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50" w:type="dxa"/>
            </w:tcMar>
            <w:vAlign w:val="center"/>
          </w:tcPr>
          <w:p>
            <w:pPr>
              <w:pStyle w:val="TableContents"/>
              <w:bidi w:val="0"/>
              <w:spacing w:before="0" w:after="283"/>
              <w:jc w:val="right"/>
              <w:rPr/>
            </w:pPr>
            <w:r>
              <w:rPr/>
              <w:t>​</w:t>
            </w:r>
          </w:p>
        </w:tc>
        <w:tc>
          <w:tcPr>
            <w:tcW w:w="1758" w:type="dxa"/>
            <w:tcBorders>
              <w:bottom w:val="single" w:sz="2" w:space="0" w:color="CBCAC8"/>
            </w:tcBorders>
            <w:tcMar>
              <w:bottom w:w="50" w:type="dxa"/>
            </w:tcMar>
            <w:vAlign w:val="center"/>
          </w:tcPr>
          <w:p>
            <w:pPr>
              <w:pStyle w:val="TableContents"/>
              <w:bidi w:val="0"/>
              <w:spacing w:before="0" w:after="283"/>
              <w:jc w:val="right"/>
              <w:rPr/>
            </w:pPr>
            <w:r>
              <w:rPr/>
              <w:t xml:space="preserve">71,555 </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50" w:type="dxa"/>
            </w:tcMar>
            <w:vAlign w:val="center"/>
          </w:tcPr>
          <w:p>
            <w:pPr>
              <w:pStyle w:val="TableContents"/>
              <w:bidi w:val="0"/>
              <w:spacing w:before="0" w:after="283"/>
              <w:jc w:val="right"/>
              <w:rPr/>
            </w:pPr>
            <w:r>
              <w:rPr/>
              <w:t>​</w:t>
            </w:r>
          </w:p>
        </w:tc>
        <w:tc>
          <w:tcPr>
            <w:tcW w:w="742" w:type="dxa"/>
            <w:tcBorders>
              <w:bottom w:val="single" w:sz="2" w:space="0" w:color="CBCAC8"/>
            </w:tcBorders>
            <w:tcMar>
              <w:bottom w:w="50" w:type="dxa"/>
            </w:tcMar>
            <w:vAlign w:val="center"/>
          </w:tcPr>
          <w:p>
            <w:pPr>
              <w:pStyle w:val="TableContents"/>
              <w:bidi w:val="0"/>
              <w:spacing w:before="0" w:after="283"/>
              <w:jc w:val="right"/>
              <w:rPr/>
            </w:pPr>
            <w:r>
              <w:rPr/>
              <w:t>*</w:t>
            </w:r>
          </w:p>
        </w:tc>
        <w:tc>
          <w:tcPr>
            <w:tcW w:w="152" w:type="dxa"/>
            <w:tcBorders>
              <w:bottom w:val="single" w:sz="2" w:space="0" w:color="CBCAC8"/>
            </w:tcBorders>
            <w:tcMar>
              <w:bottom w:w="28" w:type="dxa"/>
            </w:tcMar>
            <w:vAlign w:val="center"/>
          </w:tcPr>
          <w:p>
            <w:pPr>
              <w:pStyle w:val="TableContents"/>
              <w:bidi w:val="0"/>
              <w:spacing w:before="0" w:after="283"/>
              <w:jc w:val="left"/>
              <w:rPr/>
            </w:pPr>
            <w:r>
              <w:rPr/>
              <w:t>​</w:t>
            </w:r>
          </w:p>
        </w:tc>
        <w:tc>
          <w:tcPr>
            <w:tcW w:w="158"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175" w:type="dxa"/>
            <w:tcBorders>
              <w:bottom w:val="single" w:sz="2" w:space="0" w:color="CBCAC8"/>
            </w:tcBorders>
            <w:tcMar>
              <w:bottom w:w="50" w:type="dxa"/>
            </w:tcMar>
            <w:vAlign w:val="center"/>
          </w:tcPr>
          <w:p>
            <w:pPr>
              <w:pStyle w:val="TableContents"/>
              <w:bidi w:val="0"/>
              <w:spacing w:lineRule="atLeast" w:line="142" w:before="0" w:after="283"/>
              <w:jc w:val="left"/>
              <w:rPr/>
            </w:pPr>
            <w:r>
              <w:rPr>
                <w:spacing w:val="-2"/>
              </w:rPr>
              <w:t>Susan Panuccio</w:t>
            </w:r>
            <w:r>
              <w:rPr>
                <w:spacing w:val="-1"/>
                <w:sz w:val="13"/>
              </w:rPr>
              <w:t>(2)(5)</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50" w:type="dxa"/>
            </w:tcMar>
            <w:vAlign w:val="center"/>
          </w:tcPr>
          <w:p>
            <w:pPr>
              <w:pStyle w:val="TableContents"/>
              <w:bidi w:val="0"/>
              <w:spacing w:before="0" w:after="283"/>
              <w:jc w:val="right"/>
              <w:rPr/>
            </w:pPr>
            <w:r>
              <w:rPr/>
              <w:t>​</w:t>
            </w:r>
          </w:p>
        </w:tc>
        <w:tc>
          <w:tcPr>
            <w:tcW w:w="1758" w:type="dxa"/>
            <w:tcBorders>
              <w:bottom w:val="single" w:sz="2" w:space="0" w:color="CBCAC8"/>
            </w:tcBorders>
            <w:tcMar>
              <w:bottom w:w="50" w:type="dxa"/>
            </w:tcMar>
            <w:vAlign w:val="center"/>
          </w:tcPr>
          <w:p>
            <w:pPr>
              <w:pStyle w:val="TableContents"/>
              <w:bidi w:val="0"/>
              <w:spacing w:before="0" w:after="283"/>
              <w:jc w:val="right"/>
              <w:rPr/>
            </w:pPr>
            <w:r>
              <w:rPr/>
              <w:t xml:space="preserve">5,754 </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50" w:type="dxa"/>
            </w:tcMar>
            <w:vAlign w:val="center"/>
          </w:tcPr>
          <w:p>
            <w:pPr>
              <w:pStyle w:val="TableContents"/>
              <w:bidi w:val="0"/>
              <w:spacing w:before="0" w:after="283"/>
              <w:jc w:val="right"/>
              <w:rPr/>
            </w:pPr>
            <w:r>
              <w:rPr/>
              <w:t>​</w:t>
            </w:r>
          </w:p>
        </w:tc>
        <w:tc>
          <w:tcPr>
            <w:tcW w:w="742" w:type="dxa"/>
            <w:tcBorders>
              <w:bottom w:val="single" w:sz="2" w:space="0" w:color="CBCAC8"/>
            </w:tcBorders>
            <w:tcMar>
              <w:bottom w:w="50" w:type="dxa"/>
            </w:tcMar>
            <w:vAlign w:val="center"/>
          </w:tcPr>
          <w:p>
            <w:pPr>
              <w:pStyle w:val="TableContents"/>
              <w:bidi w:val="0"/>
              <w:spacing w:before="0" w:after="283"/>
              <w:jc w:val="right"/>
              <w:rPr/>
            </w:pPr>
            <w:r>
              <w:rPr/>
              <w:t>*</w:t>
            </w:r>
          </w:p>
        </w:tc>
        <w:tc>
          <w:tcPr>
            <w:tcW w:w="152" w:type="dxa"/>
            <w:tcBorders>
              <w:bottom w:val="single" w:sz="2" w:space="0" w:color="CBCAC8"/>
            </w:tcBorders>
            <w:tcMar>
              <w:bottom w:w="28" w:type="dxa"/>
            </w:tcMar>
            <w:vAlign w:val="center"/>
          </w:tcPr>
          <w:p>
            <w:pPr>
              <w:pStyle w:val="TableContents"/>
              <w:bidi w:val="0"/>
              <w:spacing w:before="0" w:after="283"/>
              <w:jc w:val="left"/>
              <w:rPr/>
            </w:pPr>
            <w:r>
              <w:rPr/>
              <w:t>​</w:t>
            </w:r>
          </w:p>
        </w:tc>
        <w:tc>
          <w:tcPr>
            <w:tcW w:w="158"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175" w:type="dxa"/>
            <w:tcBorders>
              <w:bottom w:val="single" w:sz="2" w:space="0" w:color="CBCAC8"/>
            </w:tcBorders>
            <w:tcMar>
              <w:bottom w:w="50" w:type="dxa"/>
            </w:tcMar>
            <w:vAlign w:val="center"/>
          </w:tcPr>
          <w:p>
            <w:pPr>
              <w:pStyle w:val="TableContents"/>
              <w:bidi w:val="0"/>
              <w:spacing w:lineRule="atLeast" w:line="142" w:before="0" w:after="283"/>
              <w:jc w:val="left"/>
              <w:rPr/>
            </w:pPr>
            <w:r>
              <w:rPr>
                <w:spacing w:val="-2"/>
              </w:rPr>
              <w:t>Mary Ann Tighe</w:t>
            </w:r>
            <w:r>
              <w:rPr>
                <w:spacing w:val="-1"/>
                <w:sz w:val="13"/>
              </w:rPr>
              <w:t>(2)</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50" w:type="dxa"/>
            </w:tcMar>
            <w:vAlign w:val="center"/>
          </w:tcPr>
          <w:p>
            <w:pPr>
              <w:pStyle w:val="TableContents"/>
              <w:bidi w:val="0"/>
              <w:spacing w:before="0" w:after="283"/>
              <w:jc w:val="right"/>
              <w:rPr/>
            </w:pPr>
            <w:r>
              <w:rPr/>
              <w:t>​</w:t>
            </w:r>
          </w:p>
        </w:tc>
        <w:tc>
          <w:tcPr>
            <w:tcW w:w="1758" w:type="dxa"/>
            <w:tcBorders>
              <w:bottom w:val="single" w:sz="2" w:space="0" w:color="CBCAC8"/>
            </w:tcBorders>
            <w:tcMar>
              <w:bottom w:w="50" w:type="dxa"/>
            </w:tcMar>
            <w:vAlign w:val="center"/>
          </w:tcPr>
          <w:p>
            <w:pPr>
              <w:pStyle w:val="TableContents"/>
              <w:bidi w:val="0"/>
              <w:spacing w:before="0" w:after="283"/>
              <w:jc w:val="right"/>
              <w:rPr/>
            </w:pPr>
            <w:r>
              <w:rPr/>
              <w:t xml:space="preserve">37,371 </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50" w:type="dxa"/>
            </w:tcMar>
            <w:vAlign w:val="center"/>
          </w:tcPr>
          <w:p>
            <w:pPr>
              <w:pStyle w:val="TableContents"/>
              <w:bidi w:val="0"/>
              <w:spacing w:before="0" w:after="283"/>
              <w:jc w:val="right"/>
              <w:rPr/>
            </w:pPr>
            <w:r>
              <w:rPr/>
              <w:t>​</w:t>
            </w:r>
          </w:p>
        </w:tc>
        <w:tc>
          <w:tcPr>
            <w:tcW w:w="742" w:type="dxa"/>
            <w:tcBorders>
              <w:bottom w:val="single" w:sz="2" w:space="0" w:color="CBCAC8"/>
            </w:tcBorders>
            <w:tcMar>
              <w:bottom w:w="50" w:type="dxa"/>
            </w:tcMar>
            <w:vAlign w:val="center"/>
          </w:tcPr>
          <w:p>
            <w:pPr>
              <w:pStyle w:val="TableContents"/>
              <w:bidi w:val="0"/>
              <w:spacing w:before="0" w:after="283"/>
              <w:jc w:val="right"/>
              <w:rPr/>
            </w:pPr>
            <w:r>
              <w:rPr/>
              <w:t>*</w:t>
            </w:r>
          </w:p>
        </w:tc>
        <w:tc>
          <w:tcPr>
            <w:tcW w:w="152" w:type="dxa"/>
            <w:tcBorders>
              <w:bottom w:val="single" w:sz="2" w:space="0" w:color="CBCAC8"/>
            </w:tcBorders>
            <w:tcMar>
              <w:bottom w:w="28" w:type="dxa"/>
            </w:tcMar>
            <w:vAlign w:val="center"/>
          </w:tcPr>
          <w:p>
            <w:pPr>
              <w:pStyle w:val="TableContents"/>
              <w:bidi w:val="0"/>
              <w:spacing w:before="0" w:after="283"/>
              <w:jc w:val="left"/>
              <w:rPr/>
            </w:pPr>
            <w:r>
              <w:rPr/>
              <w:t>​</w:t>
            </w:r>
          </w:p>
        </w:tc>
        <w:tc>
          <w:tcPr>
            <w:tcW w:w="158"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175" w:type="dxa"/>
            <w:tcBorders>
              <w:bottom w:val="single" w:sz="2" w:space="0" w:color="CBCAC8"/>
            </w:tcBorders>
            <w:tcMar>
              <w:bottom w:w="50" w:type="dxa"/>
            </w:tcMar>
            <w:vAlign w:val="center"/>
          </w:tcPr>
          <w:p>
            <w:pPr>
              <w:pStyle w:val="TableContents"/>
              <w:bidi w:val="0"/>
              <w:spacing w:lineRule="atLeast" w:line="142" w:before="0" w:after="283"/>
              <w:jc w:val="left"/>
              <w:rPr/>
            </w:pPr>
            <w:r>
              <w:rPr>
                <w:spacing w:val="-2"/>
              </w:rPr>
              <w:t>Anthony Williams</w:t>
            </w:r>
            <w:r>
              <w:rPr>
                <w:spacing w:val="-1"/>
                <w:sz w:val="13"/>
              </w:rPr>
              <w:t>(2)</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50" w:type="dxa"/>
            </w:tcMar>
            <w:vAlign w:val="center"/>
          </w:tcPr>
          <w:p>
            <w:pPr>
              <w:pStyle w:val="TableContents"/>
              <w:bidi w:val="0"/>
              <w:spacing w:before="0" w:after="283"/>
              <w:jc w:val="right"/>
              <w:rPr/>
            </w:pPr>
            <w:r>
              <w:rPr/>
              <w:t>​</w:t>
            </w:r>
          </w:p>
        </w:tc>
        <w:tc>
          <w:tcPr>
            <w:tcW w:w="1758" w:type="dxa"/>
            <w:tcBorders>
              <w:bottom w:val="single" w:sz="2" w:space="0" w:color="CBCAC8"/>
            </w:tcBorders>
            <w:tcMar>
              <w:bottom w:w="50" w:type="dxa"/>
            </w:tcMar>
            <w:vAlign w:val="center"/>
          </w:tcPr>
          <w:p>
            <w:pPr>
              <w:pStyle w:val="TableContents"/>
              <w:bidi w:val="0"/>
              <w:spacing w:before="0" w:after="283"/>
              <w:jc w:val="right"/>
              <w:rPr/>
            </w:pPr>
            <w:r>
              <w:rPr/>
              <w:t xml:space="preserve">10,271 </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50" w:type="dxa"/>
            </w:tcMar>
            <w:vAlign w:val="center"/>
          </w:tcPr>
          <w:p>
            <w:pPr>
              <w:pStyle w:val="TableContents"/>
              <w:bidi w:val="0"/>
              <w:spacing w:before="0" w:after="283"/>
              <w:jc w:val="right"/>
              <w:rPr/>
            </w:pPr>
            <w:r>
              <w:rPr/>
              <w:t>​</w:t>
            </w:r>
          </w:p>
        </w:tc>
        <w:tc>
          <w:tcPr>
            <w:tcW w:w="742" w:type="dxa"/>
            <w:tcBorders>
              <w:bottom w:val="single" w:sz="2" w:space="0" w:color="CBCAC8"/>
            </w:tcBorders>
            <w:tcMar>
              <w:bottom w:w="50" w:type="dxa"/>
            </w:tcMar>
            <w:vAlign w:val="center"/>
          </w:tcPr>
          <w:p>
            <w:pPr>
              <w:pStyle w:val="TableContents"/>
              <w:bidi w:val="0"/>
              <w:spacing w:before="0" w:after="283"/>
              <w:jc w:val="right"/>
              <w:rPr/>
            </w:pPr>
            <w:r>
              <w:rPr/>
              <w:t>*</w:t>
            </w:r>
          </w:p>
        </w:tc>
        <w:tc>
          <w:tcPr>
            <w:tcW w:w="152" w:type="dxa"/>
            <w:tcBorders>
              <w:bottom w:val="single" w:sz="2" w:space="0" w:color="CBCAC8"/>
            </w:tcBorders>
            <w:tcMar>
              <w:bottom w:w="28" w:type="dxa"/>
            </w:tcMar>
            <w:vAlign w:val="center"/>
          </w:tcPr>
          <w:p>
            <w:pPr>
              <w:pStyle w:val="TableContents"/>
              <w:bidi w:val="0"/>
              <w:spacing w:before="0" w:after="283"/>
              <w:jc w:val="left"/>
              <w:rPr/>
            </w:pPr>
            <w:r>
              <w:rPr/>
              <w:t>​</w:t>
            </w:r>
          </w:p>
        </w:tc>
        <w:tc>
          <w:tcPr>
            <w:tcW w:w="158"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175" w:type="dxa"/>
            <w:tcBorders>
              <w:bottom w:val="single" w:sz="2" w:space="0" w:color="CBCAC8"/>
            </w:tcBorders>
            <w:tcMar>
              <w:bottom w:w="50" w:type="dxa"/>
            </w:tcMar>
            <w:vAlign w:val="center"/>
          </w:tcPr>
          <w:p>
            <w:pPr>
              <w:pStyle w:val="TableContents"/>
              <w:bidi w:val="0"/>
              <w:spacing w:lineRule="atLeast" w:line="142" w:before="0" w:after="0"/>
              <w:jc w:val="left"/>
              <w:rPr>
                <w:sz w:val="15"/>
              </w:rPr>
            </w:pPr>
            <w:r>
              <w:rPr>
                <w:spacing w:val="-2"/>
                <w:sz w:val="20"/>
              </w:rPr>
              <w:t>David O’Reilly</w:t>
            </w:r>
            <w:r>
              <w:rPr>
                <w:spacing w:val="-1"/>
                <w:sz w:val="13"/>
              </w:rPr>
              <w:t>(6)</w:t>
            </w:r>
            <w:r>
              <w:rPr>
                <w:sz w:val="15"/>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50" w:type="dxa"/>
            </w:tcMar>
            <w:vAlign w:val="center"/>
          </w:tcPr>
          <w:p>
            <w:pPr>
              <w:pStyle w:val="TableContents"/>
              <w:bidi w:val="0"/>
              <w:spacing w:before="0" w:after="283"/>
              <w:jc w:val="right"/>
              <w:rPr/>
            </w:pPr>
            <w:r>
              <w:rPr/>
              <w:t>​</w:t>
            </w:r>
          </w:p>
        </w:tc>
        <w:tc>
          <w:tcPr>
            <w:tcW w:w="1758" w:type="dxa"/>
            <w:tcBorders>
              <w:bottom w:val="single" w:sz="2" w:space="0" w:color="CBCAC8"/>
            </w:tcBorders>
            <w:tcMar>
              <w:bottom w:w="50" w:type="dxa"/>
            </w:tcMar>
            <w:vAlign w:val="center"/>
          </w:tcPr>
          <w:p>
            <w:pPr>
              <w:pStyle w:val="TableContents"/>
              <w:bidi w:val="0"/>
              <w:spacing w:before="0" w:after="283"/>
              <w:jc w:val="right"/>
              <w:rPr/>
            </w:pPr>
            <w:r>
              <w:rPr/>
              <w:t>227,439</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50" w:type="dxa"/>
            </w:tcMar>
            <w:vAlign w:val="center"/>
          </w:tcPr>
          <w:p>
            <w:pPr>
              <w:pStyle w:val="TableContents"/>
              <w:bidi w:val="0"/>
              <w:spacing w:before="0" w:after="283"/>
              <w:jc w:val="right"/>
              <w:rPr/>
            </w:pPr>
            <w:r>
              <w:rPr/>
              <w:t>​</w:t>
            </w:r>
          </w:p>
        </w:tc>
        <w:tc>
          <w:tcPr>
            <w:tcW w:w="742" w:type="dxa"/>
            <w:tcBorders>
              <w:bottom w:val="single" w:sz="2" w:space="0" w:color="CBCAC8"/>
            </w:tcBorders>
            <w:tcMar>
              <w:bottom w:w="50" w:type="dxa"/>
            </w:tcMar>
            <w:vAlign w:val="center"/>
          </w:tcPr>
          <w:p>
            <w:pPr>
              <w:pStyle w:val="TableContents"/>
              <w:bidi w:val="0"/>
              <w:spacing w:before="0" w:after="283"/>
              <w:jc w:val="right"/>
              <w:rPr/>
            </w:pPr>
            <w:r>
              <w:rPr/>
              <w:t xml:space="preserve">* </w:t>
            </w:r>
          </w:p>
        </w:tc>
        <w:tc>
          <w:tcPr>
            <w:tcW w:w="152" w:type="dxa"/>
            <w:tcBorders>
              <w:bottom w:val="single" w:sz="2" w:space="0" w:color="CBCAC8"/>
            </w:tcBorders>
            <w:tcMar>
              <w:bottom w:w="28" w:type="dxa"/>
            </w:tcMar>
            <w:vAlign w:val="center"/>
          </w:tcPr>
          <w:p>
            <w:pPr>
              <w:pStyle w:val="TableContents"/>
              <w:bidi w:val="0"/>
              <w:spacing w:before="0" w:after="283"/>
              <w:jc w:val="left"/>
              <w:rPr/>
            </w:pPr>
            <w:r>
              <w:rPr/>
              <w:t>​</w:t>
            </w:r>
          </w:p>
        </w:tc>
        <w:tc>
          <w:tcPr>
            <w:tcW w:w="158"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175" w:type="dxa"/>
            <w:tcBorders>
              <w:bottom w:val="single" w:sz="2" w:space="0" w:color="CBCAC8"/>
            </w:tcBorders>
            <w:tcMar>
              <w:bottom w:w="50" w:type="dxa"/>
            </w:tcMar>
            <w:vAlign w:val="center"/>
          </w:tcPr>
          <w:p>
            <w:pPr>
              <w:pStyle w:val="TableContents"/>
              <w:bidi w:val="0"/>
              <w:spacing w:lineRule="atLeast" w:line="142" w:before="0" w:after="0"/>
              <w:jc w:val="left"/>
              <w:rPr>
                <w:sz w:val="15"/>
              </w:rPr>
            </w:pPr>
            <w:r>
              <w:rPr>
                <w:spacing w:val="-2"/>
                <w:sz w:val="20"/>
              </w:rPr>
              <w:t>Andrew Davis</w:t>
            </w:r>
            <w:r>
              <w:rPr>
                <w:spacing w:val="-1"/>
                <w:sz w:val="13"/>
              </w:rPr>
              <w:t>(7)</w:t>
            </w:r>
            <w:r>
              <w:rPr>
                <w:sz w:val="15"/>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50" w:type="dxa"/>
            </w:tcMar>
            <w:vAlign w:val="center"/>
          </w:tcPr>
          <w:p>
            <w:pPr>
              <w:pStyle w:val="TableContents"/>
              <w:bidi w:val="0"/>
              <w:spacing w:before="0" w:after="283"/>
              <w:jc w:val="right"/>
              <w:rPr/>
            </w:pPr>
            <w:r>
              <w:rPr/>
              <w:t>​</w:t>
            </w:r>
          </w:p>
        </w:tc>
        <w:tc>
          <w:tcPr>
            <w:tcW w:w="1758" w:type="dxa"/>
            <w:tcBorders>
              <w:bottom w:val="single" w:sz="2" w:space="0" w:color="CBCAC8"/>
            </w:tcBorders>
            <w:tcMar>
              <w:bottom w:w="50" w:type="dxa"/>
            </w:tcMar>
            <w:vAlign w:val="center"/>
          </w:tcPr>
          <w:p>
            <w:pPr>
              <w:pStyle w:val="TableContents"/>
              <w:bidi w:val="0"/>
              <w:spacing w:before="0" w:after="283"/>
              <w:jc w:val="right"/>
              <w:rPr/>
            </w:pPr>
            <w:r>
              <w:rPr/>
              <w:t xml:space="preserve">31,530 </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50" w:type="dxa"/>
            </w:tcMar>
            <w:vAlign w:val="center"/>
          </w:tcPr>
          <w:p>
            <w:pPr>
              <w:pStyle w:val="TableContents"/>
              <w:bidi w:val="0"/>
              <w:spacing w:before="0" w:after="283"/>
              <w:jc w:val="right"/>
              <w:rPr/>
            </w:pPr>
            <w:r>
              <w:rPr/>
              <w:t>​</w:t>
            </w:r>
          </w:p>
        </w:tc>
        <w:tc>
          <w:tcPr>
            <w:tcW w:w="742" w:type="dxa"/>
            <w:tcBorders>
              <w:bottom w:val="single" w:sz="2" w:space="0" w:color="CBCAC8"/>
            </w:tcBorders>
            <w:tcMar>
              <w:bottom w:w="50" w:type="dxa"/>
            </w:tcMar>
            <w:vAlign w:val="center"/>
          </w:tcPr>
          <w:p>
            <w:pPr>
              <w:pStyle w:val="TableContents"/>
              <w:bidi w:val="0"/>
              <w:spacing w:before="0" w:after="283"/>
              <w:jc w:val="right"/>
              <w:rPr/>
            </w:pPr>
            <w:r>
              <w:rPr/>
              <w:t>*</w:t>
            </w:r>
          </w:p>
        </w:tc>
        <w:tc>
          <w:tcPr>
            <w:tcW w:w="152" w:type="dxa"/>
            <w:tcBorders>
              <w:bottom w:val="single" w:sz="2" w:space="0" w:color="CBCAC8"/>
            </w:tcBorders>
            <w:tcMar>
              <w:bottom w:w="28" w:type="dxa"/>
            </w:tcMar>
            <w:vAlign w:val="center"/>
          </w:tcPr>
          <w:p>
            <w:pPr>
              <w:pStyle w:val="TableContents"/>
              <w:bidi w:val="0"/>
              <w:spacing w:before="0" w:after="283"/>
              <w:jc w:val="left"/>
              <w:rPr/>
            </w:pPr>
            <w:r>
              <w:rPr/>
              <w:t>​</w:t>
            </w:r>
          </w:p>
        </w:tc>
        <w:tc>
          <w:tcPr>
            <w:tcW w:w="158"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175" w:type="dxa"/>
            <w:tcBorders>
              <w:bottom w:val="single" w:sz="2" w:space="0" w:color="CBCAC8"/>
            </w:tcBorders>
            <w:tcMar>
              <w:bottom w:w="50" w:type="dxa"/>
            </w:tcMar>
            <w:vAlign w:val="center"/>
          </w:tcPr>
          <w:p>
            <w:pPr>
              <w:pStyle w:val="TableContents"/>
              <w:bidi w:val="0"/>
              <w:spacing w:lineRule="atLeast" w:line="142" w:before="0" w:after="0"/>
              <w:jc w:val="left"/>
              <w:rPr>
                <w:sz w:val="15"/>
              </w:rPr>
            </w:pPr>
            <w:r>
              <w:rPr>
                <w:spacing w:val="-2"/>
                <w:sz w:val="20"/>
              </w:rPr>
              <w:t>Carlos Olea</w:t>
            </w:r>
            <w:r>
              <w:rPr>
                <w:spacing w:val="-1"/>
                <w:sz w:val="13"/>
              </w:rPr>
              <w:t>(8)</w:t>
            </w:r>
            <w:r>
              <w:rPr>
                <w:sz w:val="15"/>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50" w:type="dxa"/>
            </w:tcMar>
            <w:vAlign w:val="center"/>
          </w:tcPr>
          <w:p>
            <w:pPr>
              <w:pStyle w:val="TableContents"/>
              <w:bidi w:val="0"/>
              <w:spacing w:before="0" w:after="283"/>
              <w:jc w:val="right"/>
              <w:rPr/>
            </w:pPr>
            <w:r>
              <w:rPr/>
              <w:t>​</w:t>
            </w:r>
          </w:p>
        </w:tc>
        <w:tc>
          <w:tcPr>
            <w:tcW w:w="1758" w:type="dxa"/>
            <w:tcBorders>
              <w:bottom w:val="single" w:sz="2" w:space="0" w:color="CBCAC8"/>
            </w:tcBorders>
            <w:tcMar>
              <w:bottom w:w="50" w:type="dxa"/>
            </w:tcMar>
            <w:vAlign w:val="center"/>
          </w:tcPr>
          <w:p>
            <w:pPr>
              <w:pStyle w:val="TableContents"/>
              <w:bidi w:val="0"/>
              <w:spacing w:before="0" w:after="283"/>
              <w:jc w:val="right"/>
              <w:rPr/>
            </w:pPr>
            <w:r>
              <w:rPr/>
              <w:t>67,055</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50" w:type="dxa"/>
            </w:tcMar>
            <w:vAlign w:val="center"/>
          </w:tcPr>
          <w:p>
            <w:pPr>
              <w:pStyle w:val="TableContents"/>
              <w:bidi w:val="0"/>
              <w:spacing w:before="0" w:after="283"/>
              <w:jc w:val="right"/>
              <w:rPr/>
            </w:pPr>
            <w:r>
              <w:rPr/>
              <w:t>​</w:t>
            </w:r>
          </w:p>
        </w:tc>
        <w:tc>
          <w:tcPr>
            <w:tcW w:w="742" w:type="dxa"/>
            <w:tcBorders>
              <w:bottom w:val="single" w:sz="2" w:space="0" w:color="CBCAC8"/>
            </w:tcBorders>
            <w:tcMar>
              <w:bottom w:w="50" w:type="dxa"/>
            </w:tcMar>
            <w:vAlign w:val="center"/>
          </w:tcPr>
          <w:p>
            <w:pPr>
              <w:pStyle w:val="TableContents"/>
              <w:bidi w:val="0"/>
              <w:spacing w:before="0" w:after="283"/>
              <w:jc w:val="right"/>
              <w:rPr/>
            </w:pPr>
            <w:r>
              <w:rPr/>
              <w:t>*</w:t>
            </w:r>
          </w:p>
        </w:tc>
        <w:tc>
          <w:tcPr>
            <w:tcW w:w="152" w:type="dxa"/>
            <w:tcBorders>
              <w:bottom w:val="single" w:sz="2" w:space="0" w:color="CBCAC8"/>
            </w:tcBorders>
            <w:tcMar>
              <w:bottom w:w="28" w:type="dxa"/>
            </w:tcMar>
            <w:vAlign w:val="center"/>
          </w:tcPr>
          <w:p>
            <w:pPr>
              <w:pStyle w:val="TableContents"/>
              <w:bidi w:val="0"/>
              <w:spacing w:before="0" w:after="283"/>
              <w:jc w:val="left"/>
              <w:rPr/>
            </w:pPr>
            <w:r>
              <w:rPr/>
              <w:t>​</w:t>
            </w:r>
          </w:p>
        </w:tc>
        <w:tc>
          <w:tcPr>
            <w:tcW w:w="158"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175" w:type="dxa"/>
            <w:tcBorders>
              <w:bottom w:val="single" w:sz="2" w:space="0" w:color="CBCAC8"/>
            </w:tcBorders>
            <w:tcMar>
              <w:bottom w:w="50" w:type="dxa"/>
            </w:tcMar>
            <w:vAlign w:val="center"/>
          </w:tcPr>
          <w:p>
            <w:pPr>
              <w:pStyle w:val="TableContents"/>
              <w:bidi w:val="0"/>
              <w:spacing w:lineRule="atLeast" w:line="142" w:before="0" w:after="0"/>
              <w:jc w:val="left"/>
              <w:rPr>
                <w:sz w:val="15"/>
              </w:rPr>
            </w:pPr>
            <w:r>
              <w:rPr>
                <w:spacing w:val="-2"/>
                <w:sz w:val="20"/>
              </w:rPr>
              <w:t>Joseph Valane</w:t>
            </w:r>
            <w:r>
              <w:rPr>
                <w:spacing w:val="-1"/>
                <w:sz w:val="13"/>
              </w:rPr>
              <w:t>(9)</w:t>
            </w:r>
            <w:r>
              <w:rPr>
                <w:sz w:val="15"/>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50" w:type="dxa"/>
            </w:tcMar>
            <w:vAlign w:val="center"/>
          </w:tcPr>
          <w:p>
            <w:pPr>
              <w:pStyle w:val="TableContents"/>
              <w:bidi w:val="0"/>
              <w:spacing w:before="0" w:after="283"/>
              <w:jc w:val="right"/>
              <w:rPr/>
            </w:pPr>
            <w:r>
              <w:rPr/>
              <w:t>​</w:t>
            </w:r>
          </w:p>
        </w:tc>
        <w:tc>
          <w:tcPr>
            <w:tcW w:w="1758" w:type="dxa"/>
            <w:tcBorders>
              <w:bottom w:val="single" w:sz="2" w:space="0" w:color="CBCAC8"/>
            </w:tcBorders>
            <w:tcMar>
              <w:bottom w:w="50" w:type="dxa"/>
            </w:tcMar>
            <w:vAlign w:val="center"/>
          </w:tcPr>
          <w:p>
            <w:pPr>
              <w:pStyle w:val="TableContents"/>
              <w:bidi w:val="0"/>
              <w:spacing w:before="0" w:after="283"/>
              <w:jc w:val="right"/>
              <w:rPr/>
            </w:pPr>
            <w:r>
              <w:rPr/>
              <w:t xml:space="preserve">28,523 </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50" w:type="dxa"/>
            </w:tcMar>
            <w:vAlign w:val="center"/>
          </w:tcPr>
          <w:p>
            <w:pPr>
              <w:pStyle w:val="TableContents"/>
              <w:bidi w:val="0"/>
              <w:spacing w:before="0" w:after="283"/>
              <w:jc w:val="right"/>
              <w:rPr/>
            </w:pPr>
            <w:r>
              <w:rPr/>
              <w:t>​</w:t>
            </w:r>
          </w:p>
        </w:tc>
        <w:tc>
          <w:tcPr>
            <w:tcW w:w="742" w:type="dxa"/>
            <w:tcBorders>
              <w:bottom w:val="single" w:sz="2" w:space="0" w:color="CBCAC8"/>
            </w:tcBorders>
            <w:tcMar>
              <w:bottom w:w="50" w:type="dxa"/>
            </w:tcMar>
            <w:vAlign w:val="center"/>
          </w:tcPr>
          <w:p>
            <w:pPr>
              <w:pStyle w:val="TableContents"/>
              <w:bidi w:val="0"/>
              <w:spacing w:before="0" w:after="283"/>
              <w:jc w:val="right"/>
              <w:rPr/>
            </w:pPr>
            <w:r>
              <w:rPr/>
              <w:t>*</w:t>
            </w:r>
          </w:p>
        </w:tc>
        <w:tc>
          <w:tcPr>
            <w:tcW w:w="152" w:type="dxa"/>
            <w:tcBorders>
              <w:bottom w:val="single" w:sz="2" w:space="0" w:color="CBCAC8"/>
            </w:tcBorders>
            <w:tcMar>
              <w:bottom w:w="28" w:type="dxa"/>
            </w:tcMar>
            <w:vAlign w:val="center"/>
          </w:tcPr>
          <w:p>
            <w:pPr>
              <w:pStyle w:val="TableContents"/>
              <w:bidi w:val="0"/>
              <w:spacing w:before="0" w:after="283"/>
              <w:jc w:val="left"/>
              <w:rPr/>
            </w:pPr>
            <w:r>
              <w:rPr/>
              <w:t>​</w:t>
            </w:r>
          </w:p>
        </w:tc>
        <w:tc>
          <w:tcPr>
            <w:tcW w:w="158"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175" w:type="dxa"/>
            <w:tcBorders>
              <w:bottom w:val="single" w:sz="2" w:space="0" w:color="CBCAC8"/>
            </w:tcBorders>
            <w:tcMar>
              <w:bottom w:w="50" w:type="dxa"/>
            </w:tcMar>
            <w:vAlign w:val="center"/>
          </w:tcPr>
          <w:p>
            <w:pPr>
              <w:pStyle w:val="TableContents"/>
              <w:bidi w:val="0"/>
              <w:spacing w:lineRule="atLeast" w:line="142" w:before="0" w:after="0"/>
              <w:jc w:val="left"/>
              <w:rPr>
                <w:sz w:val="15"/>
              </w:rPr>
            </w:pPr>
            <w:r>
              <w:rPr>
                <w:spacing w:val="-2"/>
                <w:sz w:val="20"/>
              </w:rPr>
              <w:t>Doug Johnstone</w:t>
            </w:r>
            <w:r>
              <w:rPr>
                <w:spacing w:val="-1"/>
                <w:sz w:val="13"/>
              </w:rPr>
              <w:t>(10)</w:t>
            </w:r>
            <w:r>
              <w:rPr>
                <w:sz w:val="15"/>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50" w:type="dxa"/>
            </w:tcMar>
            <w:vAlign w:val="center"/>
          </w:tcPr>
          <w:p>
            <w:pPr>
              <w:pStyle w:val="TableContents"/>
              <w:bidi w:val="0"/>
              <w:spacing w:before="0" w:after="283"/>
              <w:jc w:val="right"/>
              <w:rPr/>
            </w:pPr>
            <w:r>
              <w:rPr/>
              <w:t>​</w:t>
            </w:r>
          </w:p>
        </w:tc>
        <w:tc>
          <w:tcPr>
            <w:tcW w:w="1758" w:type="dxa"/>
            <w:tcBorders>
              <w:bottom w:val="single" w:sz="2" w:space="0" w:color="CBCAC8"/>
            </w:tcBorders>
            <w:tcMar>
              <w:bottom w:w="50" w:type="dxa"/>
            </w:tcMar>
            <w:vAlign w:val="center"/>
          </w:tcPr>
          <w:p>
            <w:pPr>
              <w:pStyle w:val="TableContents"/>
              <w:bidi w:val="0"/>
              <w:spacing w:before="0" w:after="283"/>
              <w:jc w:val="right"/>
              <w:rPr/>
            </w:pPr>
            <w:r>
              <w:rPr/>
              <w:t>26,839</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50" w:type="dxa"/>
            </w:tcMar>
            <w:vAlign w:val="center"/>
          </w:tcPr>
          <w:p>
            <w:pPr>
              <w:pStyle w:val="TableContents"/>
              <w:bidi w:val="0"/>
              <w:spacing w:before="0" w:after="283"/>
              <w:jc w:val="right"/>
              <w:rPr/>
            </w:pPr>
            <w:r>
              <w:rPr/>
              <w:t>​</w:t>
            </w:r>
          </w:p>
        </w:tc>
        <w:tc>
          <w:tcPr>
            <w:tcW w:w="742" w:type="dxa"/>
            <w:tcBorders>
              <w:bottom w:val="single" w:sz="2" w:space="0" w:color="CBCAC8"/>
            </w:tcBorders>
            <w:tcMar>
              <w:bottom w:w="50" w:type="dxa"/>
            </w:tcMar>
            <w:vAlign w:val="center"/>
          </w:tcPr>
          <w:p>
            <w:pPr>
              <w:pStyle w:val="TableContents"/>
              <w:bidi w:val="0"/>
              <w:spacing w:before="0" w:after="283"/>
              <w:jc w:val="right"/>
              <w:rPr/>
            </w:pPr>
            <w:r>
              <w:rPr/>
              <w:t xml:space="preserve">* </w:t>
            </w:r>
          </w:p>
        </w:tc>
        <w:tc>
          <w:tcPr>
            <w:tcW w:w="152" w:type="dxa"/>
            <w:tcBorders>
              <w:bottom w:val="single" w:sz="2" w:space="0" w:color="CBCAC8"/>
            </w:tcBorders>
            <w:tcMar>
              <w:bottom w:w="28" w:type="dxa"/>
            </w:tcMar>
            <w:vAlign w:val="center"/>
          </w:tcPr>
          <w:p>
            <w:pPr>
              <w:pStyle w:val="TableContents"/>
              <w:bidi w:val="0"/>
              <w:spacing w:before="0" w:after="283"/>
              <w:jc w:val="left"/>
              <w:rPr/>
            </w:pPr>
            <w:r>
              <w:rPr/>
              <w:t>​</w:t>
            </w:r>
          </w:p>
        </w:tc>
        <w:tc>
          <w:tcPr>
            <w:tcW w:w="158"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175" w:type="dxa"/>
            <w:tcBorders>
              <w:bottom w:val="single" w:sz="2" w:space="0" w:color="CBCAC8"/>
            </w:tcBorders>
            <w:tcMar>
              <w:bottom w:w="50" w:type="dxa"/>
            </w:tcMar>
            <w:vAlign w:val="center"/>
          </w:tcPr>
          <w:p>
            <w:pPr>
              <w:pStyle w:val="TableContents"/>
              <w:bidi w:val="0"/>
              <w:spacing w:before="0" w:after="283"/>
              <w:jc w:val="left"/>
              <w:rPr/>
            </w:pPr>
            <w:r>
              <w:rPr>
                <w:spacing w:val="-2"/>
              </w:rPr>
              <w:t>Greg Hendrick</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50" w:type="dxa"/>
            </w:tcMar>
            <w:vAlign w:val="center"/>
          </w:tcPr>
          <w:p>
            <w:pPr>
              <w:pStyle w:val="TableContents"/>
              <w:bidi w:val="0"/>
              <w:spacing w:before="0" w:after="283"/>
              <w:jc w:val="right"/>
              <w:rPr/>
            </w:pPr>
            <w:r>
              <w:rPr/>
              <w:t>​</w:t>
            </w:r>
          </w:p>
        </w:tc>
        <w:tc>
          <w:tcPr>
            <w:tcW w:w="1758" w:type="dxa"/>
            <w:tcBorders>
              <w:bottom w:val="single" w:sz="2" w:space="0" w:color="CBCAC8"/>
            </w:tcBorders>
            <w:tcMar>
              <w:bottom w:w="50" w:type="dxa"/>
            </w:tcMar>
            <w:vAlign w:val="center"/>
          </w:tcPr>
          <w:p>
            <w:pPr>
              <w:pStyle w:val="TableContents"/>
              <w:bidi w:val="0"/>
              <w:spacing w:before="0" w:after="283"/>
              <w:jc w:val="right"/>
              <w:rPr/>
            </w:pPr>
            <w:r>
              <w:rPr/>
              <w:t xml:space="preserve">— </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50" w:type="dxa"/>
            </w:tcMar>
            <w:vAlign w:val="center"/>
          </w:tcPr>
          <w:p>
            <w:pPr>
              <w:pStyle w:val="TableContents"/>
              <w:bidi w:val="0"/>
              <w:spacing w:before="0" w:after="283"/>
              <w:jc w:val="right"/>
              <w:rPr/>
            </w:pPr>
            <w:r>
              <w:rPr/>
              <w:t>​</w:t>
            </w:r>
          </w:p>
        </w:tc>
        <w:tc>
          <w:tcPr>
            <w:tcW w:w="742" w:type="dxa"/>
            <w:tcBorders>
              <w:bottom w:val="single" w:sz="2" w:space="0" w:color="CBCAC8"/>
            </w:tcBorders>
            <w:tcMar>
              <w:bottom w:w="50" w:type="dxa"/>
            </w:tcMar>
            <w:vAlign w:val="center"/>
          </w:tcPr>
          <w:p>
            <w:pPr>
              <w:pStyle w:val="TableContents"/>
              <w:bidi w:val="0"/>
              <w:spacing w:before="0" w:after="283"/>
              <w:jc w:val="right"/>
              <w:rPr/>
            </w:pPr>
            <w:r>
              <w:rPr/>
              <w:t xml:space="preserve">* </w:t>
            </w:r>
          </w:p>
        </w:tc>
        <w:tc>
          <w:tcPr>
            <w:tcW w:w="152" w:type="dxa"/>
            <w:tcBorders>
              <w:bottom w:val="single" w:sz="2" w:space="0" w:color="CBCAC8"/>
            </w:tcBorders>
            <w:tcMar>
              <w:bottom w:w="28" w:type="dxa"/>
            </w:tcMar>
            <w:vAlign w:val="center"/>
          </w:tcPr>
          <w:p>
            <w:pPr>
              <w:pStyle w:val="TableContents"/>
              <w:bidi w:val="0"/>
              <w:spacing w:before="0" w:after="283"/>
              <w:jc w:val="left"/>
              <w:rPr/>
            </w:pPr>
            <w:r>
              <w:rPr/>
              <w:t>​</w:t>
            </w:r>
          </w:p>
        </w:tc>
        <w:tc>
          <w:tcPr>
            <w:tcW w:w="158"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175" w:type="dxa"/>
            <w:tcBorders>
              <w:bottom w:val="single" w:sz="2" w:space="0" w:color="CBCAC8"/>
            </w:tcBorders>
            <w:tcMar>
              <w:bottom w:w="50" w:type="dxa"/>
            </w:tcMar>
            <w:vAlign w:val="center"/>
          </w:tcPr>
          <w:p>
            <w:pPr>
              <w:pStyle w:val="TableContents"/>
              <w:bidi w:val="0"/>
              <w:spacing w:before="0" w:after="283"/>
              <w:jc w:val="left"/>
              <w:rPr/>
            </w:pPr>
            <w:r>
              <w:rPr>
                <w:spacing w:val="-2"/>
              </w:rPr>
              <w:t>All directors and executive officers as a group (17 persons)</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50" w:type="dxa"/>
            </w:tcMar>
            <w:vAlign w:val="center"/>
          </w:tcPr>
          <w:p>
            <w:pPr>
              <w:pStyle w:val="TableContents"/>
              <w:bidi w:val="0"/>
              <w:spacing w:before="0" w:after="283"/>
              <w:jc w:val="right"/>
              <w:rPr/>
            </w:pPr>
            <w:r>
              <w:rPr/>
              <w:t>​</w:t>
            </w:r>
          </w:p>
        </w:tc>
        <w:tc>
          <w:tcPr>
            <w:tcW w:w="1758" w:type="dxa"/>
            <w:tcBorders>
              <w:bottom w:val="single" w:sz="2" w:space="0" w:color="CBCAC8"/>
            </w:tcBorders>
            <w:tcMar>
              <w:bottom w:w="50" w:type="dxa"/>
            </w:tcMar>
            <w:vAlign w:val="center"/>
          </w:tcPr>
          <w:p>
            <w:pPr>
              <w:pStyle w:val="TableContents"/>
              <w:bidi w:val="0"/>
              <w:spacing w:before="0" w:after="283"/>
              <w:jc w:val="right"/>
              <w:rPr/>
            </w:pPr>
            <w:r>
              <w:rPr/>
              <w:t xml:space="preserve">28,460,906 </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28" w:type="dxa"/>
            </w:tcMar>
            <w:vAlign w:val="center"/>
          </w:tcPr>
          <w:p>
            <w:pPr>
              <w:pStyle w:val="TableContents"/>
              <w:bidi w:val="0"/>
              <w:spacing w:before="0" w:after="283"/>
              <w:jc w:val="left"/>
              <w:rPr/>
            </w:pPr>
            <w:r>
              <w:rPr/>
              <w:t>​</w:t>
            </w:r>
          </w:p>
        </w:tc>
        <w:tc>
          <w:tcPr>
            <w:tcW w:w="149" w:type="dxa"/>
            <w:tcBorders>
              <w:bottom w:val="single" w:sz="2" w:space="0" w:color="CBCAC8"/>
            </w:tcBorders>
            <w:tcMar>
              <w:bottom w:w="50" w:type="dxa"/>
            </w:tcMar>
            <w:vAlign w:val="center"/>
          </w:tcPr>
          <w:p>
            <w:pPr>
              <w:pStyle w:val="TableContents"/>
              <w:bidi w:val="0"/>
              <w:spacing w:before="0" w:after="283"/>
              <w:jc w:val="right"/>
              <w:rPr/>
            </w:pPr>
            <w:r>
              <w:rPr/>
              <w:t>​</w:t>
            </w:r>
          </w:p>
        </w:tc>
        <w:tc>
          <w:tcPr>
            <w:tcW w:w="742" w:type="dxa"/>
            <w:tcBorders>
              <w:bottom w:val="single" w:sz="2" w:space="0" w:color="CBCAC8"/>
            </w:tcBorders>
            <w:tcMar>
              <w:bottom w:w="50" w:type="dxa"/>
            </w:tcMar>
            <w:vAlign w:val="center"/>
          </w:tcPr>
          <w:p>
            <w:pPr>
              <w:pStyle w:val="TableContents"/>
              <w:bidi w:val="0"/>
              <w:spacing w:before="0" w:after="283"/>
              <w:jc w:val="right"/>
              <w:rPr/>
            </w:pPr>
            <w:r>
              <w:rPr/>
              <w:t>47.7%</w:t>
            </w:r>
          </w:p>
        </w:tc>
        <w:tc>
          <w:tcPr>
            <w:tcW w:w="152" w:type="dxa"/>
            <w:tcBorders>
              <w:bottom w:val="single" w:sz="2" w:space="0" w:color="CBCAC8"/>
            </w:tcBorders>
            <w:tcMar>
              <w:bottom w:w="28" w:type="dxa"/>
            </w:tcMar>
            <w:vAlign w:val="center"/>
          </w:tcPr>
          <w:p>
            <w:pPr>
              <w:pStyle w:val="TableContents"/>
              <w:bidi w:val="0"/>
              <w:spacing w:before="0" w:after="283"/>
              <w:jc w:val="left"/>
              <w:rPr/>
            </w:pPr>
            <w:r>
              <w:rPr/>
              <w:t>​</w:t>
            </w:r>
          </w:p>
        </w:tc>
        <w:tc>
          <w:tcPr>
            <w:tcW w:w="158" w:type="dxa"/>
            <w:tcBorders>
              <w:bottom w:val="single" w:sz="2" w:space="0" w:color="CBCAC8"/>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98" w:after="0"/>
        <w:ind w:left="13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Less than 1%.</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2230" distB="0" distL="0" distR="0" simplePos="0" locked="0" layoutInCell="1" allowOverlap="1" relativeHeight="322">
                <wp:simplePos x="0" y="0"/>
                <wp:positionH relativeFrom="column">
                  <wp:align>left</wp:align>
                </wp:positionH>
                <wp:positionV relativeFrom="line">
                  <wp:align>top</wp:align>
                </wp:positionV>
                <wp:extent cx="254000" cy="279400"/>
                <wp:effectExtent l="0" t="0" r="0" b="0"/>
                <wp:wrapSquare wrapText="right"/>
                <wp:docPr id="270" name="Frame190"/>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1"/>
                                <w:sz w:val="18"/>
                              </w:rPr>
                              <w:t>*</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1"/>
                          <w:sz w:val="18"/>
                        </w:rPr>
                        <w:t>*</w:t>
                      </w:r>
                      <w:r>
                        <w:rPr>
                          <w:sz w:val="18"/>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300"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Mr. Ackman, who is a director of the Company, may be deemed to be the beneficial owner of the 27,852,064 shares by virtue of his positions as (i) Chief Executive Officer of PSCM, which serves as investment advisor to the Pershing Square Affiliated Funds (as defined below) and is the parent company of Pershing Square HHH Holdings, LLC, a Nevada limited liability company (“PS HHH Holdings”), and (ii) Chief Executive Officer and Chairman of the Board of Pershing Square Inc., a Nevada corporation (“PS Inc.”), the parent company of PSCM. Of the 27,852,064 shares, 9,000,000 shares are held directly by PS HHH Holdings, which is wholly owned by PSCM, and the remaining 18,852,064 shares are beneficially owned through the Pershing Square Affiliated Funds. PSCM’s principal business is to serve as investment advisor to certain affiliated funds, </w:t>
      </w:r>
      <w:r>
        <mc:AlternateContent>
          <mc:Choice Requires="wps">
            <w:drawing>
              <wp:anchor behindDoc="0" distT="74930" distB="0" distL="0" distR="0" simplePos="0" locked="0" layoutInCell="1" allowOverlap="1" relativeHeight="323">
                <wp:simplePos x="0" y="0"/>
                <wp:positionH relativeFrom="column">
                  <wp:align>left</wp:align>
                </wp:positionH>
                <wp:positionV relativeFrom="line">
                  <wp:align>top</wp:align>
                </wp:positionV>
                <wp:extent cx="254000" cy="279400"/>
                <wp:effectExtent l="0" t="0" r="0" b="0"/>
                <wp:wrapSquare wrapText="right"/>
                <wp:docPr id="271" name="Frame191"/>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(1)</w:t>
                      </w:r>
                      <w:r>
                        <w:rPr>
                          <w:sz w:val="18"/>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/ 25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both"/>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Security Ownership of Directors, Executive Officers and Certain Beneficial Holders</w:t>
      </w:r>
      <w:r>
        <w:rPr>
          <w:rFonts w:ascii="Arial;Helvetica;sans-serif" w:hAnsi="Arial;Helvetica;sans-serif"/>
          <w:b/>
          <w:i w:val="false"/>
          <w:caps w:val="false"/>
          <w:smallCaps w:val="false"/>
          <w:color w:val="7F7F7F"/>
          <w:spacing w:val="-3"/>
          <w:sz w:val="22"/>
        </w:rPr>
        <w:t xml:space="preserve"> </w:t>
      </w:r>
    </w:p>
    <w:p>
      <w:pPr>
        <w:pStyle w:val="TextBody"/>
        <w:bidi w:val="0"/>
        <w:spacing w:lineRule="atLeast" w:line="220" w:before="120" w:after="4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including Pershing Square, L.P., a Delaware limited partnership (“PSLP”), Pershing Square International, Ltd., a Cayman Islands exempted company (“PS International”), PS Redemption, L.P., a Delaware limited partnership (“RedemptionCo”), and Pershing Square Holdings, Ltd., a limited liability company incorporated in Guernsey (“PSH” and together with PSLP, PS International and RedemptionCo, the “Pershing Square Affiliated Funds”). Mr. Ackman disclaims beneficial ownership of these shares except to the extent of his pecuniary interest therein.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Includes shares of restricted stock for which the following directors have sole voting power, but no dispositive power: Mr. Eun (3,290), Mr. Grandisson (3,290), Mr. Lachman (5,754), Ms. Panuccio (5,754), Mr. Sellers (4,038), Ms. Tighe (3,290), Mr. Williams (2,169), and Mr. Wautier (2,169). These shares of restricted stock are expected to vest on the earlier of the 2027 annual meeting of stockholders or June 1, 2027.</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24">
                <wp:simplePos x="0" y="0"/>
                <wp:positionH relativeFrom="column">
                  <wp:align>left</wp:align>
                </wp:positionH>
                <wp:positionV relativeFrom="line">
                  <wp:align>top</wp:align>
                </wp:positionV>
                <wp:extent cx="254000" cy="350520"/>
                <wp:effectExtent l="0" t="0" r="0" b="0"/>
                <wp:wrapSquare wrapText="right"/>
                <wp:docPr id="272" name="Frame1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(2)</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Includes 68,653 shares of restricted stock granted to Mr. Grandisson in July 2026. These shares will vest in equal installments with 20% vesting on each of the first five anniversaries of the date of grant. Mr. Grandisson also holds warrants to purchase 1,131,273 shares of common stock through MGFT Investments LLC. These warrants are not exercisable until April 20, 2030, and are therefore not included in the beneficial ownership count as of the Record Date pursuant to SEC Rule 13d-3.</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25">
                <wp:simplePos x="0" y="0"/>
                <wp:positionH relativeFrom="column">
                  <wp:align>left</wp:align>
                </wp:positionH>
                <wp:positionV relativeFrom="line">
                  <wp:align>top</wp:align>
                </wp:positionV>
                <wp:extent cx="254000" cy="350520"/>
                <wp:effectExtent l="0" t="0" r="0" b="0"/>
                <wp:wrapSquare wrapText="right"/>
                <wp:docPr id="273" name="Frame1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(3)</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Israel is Chief Investment Officer at Pershing Square, the investment advisor to the Pershing Square Affiliated Funds and the parent company of PS HHH Holdings. Mr. Israel disclaims beneficial ownership of the 27,852,064 shares held by the Pershing Square Affiliated Funds except to the extent of his pecuniary interest therein.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26">
                <wp:simplePos x="0" y="0"/>
                <wp:positionH relativeFrom="column">
                  <wp:align>left</wp:align>
                </wp:positionH>
                <wp:positionV relativeFrom="line">
                  <wp:align>top</wp:align>
                </wp:positionV>
                <wp:extent cx="254000" cy="350520"/>
                <wp:effectExtent l="0" t="0" r="0" b="0"/>
                <wp:wrapSquare wrapText="right"/>
                <wp:docPr id="274" name="Frame1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(4)</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Includes shares of restricted stock for which the following directors have sole voting power, but no dispositive power: Mr. Lachman (2,464) and Ms. Panuccio (2,464). These shares of restricted stock are expected to vest on the earlier of the Company’s 2026 annual meeting of stockholders or October 24, 2026 (but not less than 50 weeks).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27">
                <wp:simplePos x="0" y="0"/>
                <wp:positionH relativeFrom="column">
                  <wp:align>left</wp:align>
                </wp:positionH>
                <wp:positionV relativeFrom="line">
                  <wp:align>top</wp:align>
                </wp:positionV>
                <wp:extent cx="254000" cy="350520"/>
                <wp:effectExtent l="0" t="0" r="0" b="0"/>
                <wp:wrapSquare wrapText="right"/>
                <wp:docPr id="275" name="Frame1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1"/>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(5)</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Includes: (a) 16,942 shares of performance-based restricted stock granted to Mr. O’Reilly in March 2023 for which he has sole voting power, but no dispositive power; (b) 6,503 shares of time-based restricted stock granted and 19,010 shares of performance-based restricted stock to Mr. O’Reilly in February 2024 for which he has sole voting power, but no dispositive power; (c) 19,859 shares of time-based restricted stock granted and 29,640 shares of performance-based restricted stock to Mr. O’Reilly in February 2025 for which he has sole voting power, but no dispositive power; (d) 13,492 shares of time-based restricted stock and 53,966 shares of performance-based restricted stock granted to Mr. O’Reilly in February 2026 for which he has sole voting power, but no dispositive power; and (e) 19,358 shares underlying options expiring on November 30, 2030.</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28">
                <wp:simplePos x="0" y="0"/>
                <wp:positionH relativeFrom="column">
                  <wp:align>left</wp:align>
                </wp:positionH>
                <wp:positionV relativeFrom="line">
                  <wp:align>top</wp:align>
                </wp:positionV>
                <wp:extent cx="254000" cy="350520"/>
                <wp:effectExtent l="0" t="0" r="0" b="0"/>
                <wp:wrapSquare wrapText="right"/>
                <wp:docPr id="276" name="Frame1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1"/>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(6)</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Includes: (a) 3,011 shares of performance-based restricted stock granted to Mr. Davis in March 2023 for which he has sole voting power, but no dispositive power; (b) 2,751 shares of performance-based restricted stock granted to Mr. Davis in January 2024 for which he has sole voting power, but no dispositive power; (c) 3,310 shares of time-based restricted stock and 4,940 shares of performance-based restricted stock granted to Mr. Davis in February 2025 for which he has sole voting power, but no dispositive power; and (d) 2,498 shares of time-based restricted stock and 9,994 shares of performance-based restricted stock granted to Mr. Davis in February 2026 for which he has sole voting power, but no dispositive power.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29">
                <wp:simplePos x="0" y="0"/>
                <wp:positionH relativeFrom="column">
                  <wp:align>left</wp:align>
                </wp:positionH>
                <wp:positionV relativeFrom="line">
                  <wp:align>top</wp:align>
                </wp:positionV>
                <wp:extent cx="254000" cy="350520"/>
                <wp:effectExtent l="0" t="0" r="0" b="0"/>
                <wp:wrapSquare wrapText="right"/>
                <wp:docPr id="277" name="Frame1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1"/>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(7)</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Includes: (a) 7,153 shares of performance-based restricted stock granted to Mr. Olea in March 2023 for which he has sole voting power, but no dispositive power; (b) 2,388 shares of time-based restricted stock and 6,979 shares of performance-based restricted stock granted to Mr. Olea in February 2024 for which he has sole voting power, but no dispositive power; (c) 5,958 shares of time-based restricted stock and 8,892 shares of performance-based restricted stock granted to Mr. Olea in February 2025 for which he has sole voting power, but no dispositive power; and (d) 4,047 shares of time-based restricted stock and 16,190 shares of performance-based restricted stock granted to Mr. Olea in February 2026 for which he has sole voting power, but no dispositive power.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30">
                <wp:simplePos x="0" y="0"/>
                <wp:positionH relativeFrom="column">
                  <wp:align>left</wp:align>
                </wp:positionH>
                <wp:positionV relativeFrom="line">
                  <wp:align>top</wp:align>
                </wp:positionV>
                <wp:extent cx="254000" cy="350520"/>
                <wp:effectExtent l="0" t="0" r="0" b="0"/>
                <wp:wrapSquare wrapText="right"/>
                <wp:docPr id="278" name="Frame1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1"/>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(8)</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Includes: (a) 5,332 shares of time-based restricted stock granted to Mr. Valane in April 2024 for which he has sole voting power, but no dispositive power; (b) 3,310 shares of time-based restricted stock and 4,940 shares of performance-based restricted stock granted to Mr. Valane in February 2025 for which he has sole voting power, but no dispositive power; and (c) 2,249 shares of time-based restricted stock and 8,994 shares of performance-based restricted stock granted to Mr. Valane in February 2026 for which he has sole voting power, but no dispositive power.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31">
                <wp:simplePos x="0" y="0"/>
                <wp:positionH relativeFrom="column">
                  <wp:align>left</wp:align>
                </wp:positionH>
                <wp:positionV relativeFrom="line">
                  <wp:align>top</wp:align>
                </wp:positionV>
                <wp:extent cx="254000" cy="350520"/>
                <wp:effectExtent l="0" t="0" r="0" b="0"/>
                <wp:wrapSquare wrapText="right"/>
                <wp:docPr id="279"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1"/>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(9)</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Includes: (a) 2,314 shares of performance-based restricted stock granted to Mr. Johnstone in March 2023 for which he has sole voting power, but no dispositive power; (b) 1,118 shares of time-based restricted stock and 3,268 shares of performance-based restricted stock granted to Mr. Johnstone in January 2024 for which he has sole voting power, but no dispositive power; (c) 2,648 shares of time-based restricted stock and 3,952 shares of performance-based restricted stock granted to Mr. Johnstone in February 2025 for which he has sole voting power, but no dispositive power; and (d) 3,904 shares of time-based restricted stock and 3,904 shares of performance-based restricted stock granted to Mr. Johnstone in February 2026 for which he has sole voting power, but no dispositive power. </w:t>
      </w:r>
      <w:r>
        <mc:AlternateContent>
          <mc:Choice Requires="wps">
            <w:drawing>
              <wp:anchor behindDoc="0" distT="76200" distB="0" distL="0" distR="0" simplePos="0" locked="0" layoutInCell="1" allowOverlap="1" relativeHeight="332">
                <wp:simplePos x="0" y="0"/>
                <wp:positionH relativeFrom="column">
                  <wp:align>left</wp:align>
                </wp:positionH>
                <wp:positionV relativeFrom="line">
                  <wp:align>top</wp:align>
                </wp:positionV>
                <wp:extent cx="254000" cy="525780"/>
                <wp:effectExtent l="0" t="0" r="0" b="0"/>
                <wp:wrapSquare wrapText="right"/>
                <wp:docPr id="280" name="Frame20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20" w:before="0" w:after="283"/>
                              <w:jc w:val="both"/>
                              <w:rPr/>
                            </w:pPr>
                            <w:r>
                              <w:rPr>
                                <w:spacing w:val="-1"/>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(10)</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26 \ 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FPH"/>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Security Ownership of Directors, Executive Officers and Certain Beneficial Holders</w:t>
      </w:r>
      <w:r>
        <w:rPr>
          <w:rFonts w:ascii="Arial;Helvetica;sans-serif" w:hAnsi="Arial;Helvetica;sans-serif"/>
          <w:b/>
          <w:i w:val="false"/>
          <w:caps w:val="false"/>
          <w:smallCaps w:val="false"/>
          <w:color w:val="7F7F7F"/>
          <w:sz w:val="22"/>
        </w:rPr>
        <w:t>​</w:t>
      </w:r>
    </w:p>
    <w:p>
      <w:pPr>
        <w:pStyle w:val="TextBody"/>
        <w:bidi w:val="0"/>
        <w:spacing w:lineRule="atLeast" w:line="340" w:before="120" w:after="283"/>
        <w:ind w:left="901"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FIVE PERCENT HOLDERS</w:t>
      </w:r>
      <w:r>
        <w:rPr>
          <w:rFonts w:ascii="Arial;Helvetica;sans-serif" w:hAnsi="Arial;Helvetica;sans-serif"/>
          <w:b/>
          <w:i w:val="false"/>
          <w:caps w:val="false"/>
          <w:smallCaps w:val="false"/>
          <w:color w:val="000000"/>
          <w:spacing w:val="6"/>
          <w:sz w:val="3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333">
                <wp:simplePos x="0" y="0"/>
                <wp:positionH relativeFrom="column">
                  <wp:align>left</wp:align>
                </wp:positionH>
                <wp:positionV relativeFrom="line">
                  <wp:posOffset>635</wp:posOffset>
                </wp:positionV>
                <wp:extent cx="3055620" cy="1066800"/>
                <wp:effectExtent l="0" t="0" r="0" b="0"/>
                <wp:wrapSquare wrapText="right"/>
                <wp:docPr id="281" name="Frame201"/>
                <a:graphic xmlns:a="http://schemas.openxmlformats.org/drawingml/2006/main">
                  <a:graphicData uri="http://schemas.microsoft.com/office/word/2010/wordprocessingShape">
                    <wps:wsp>
                      <wps:cNvSpPr txBox="1"/>
                      <wps:spPr>
                        <a:xfrm>
                          <a:off x="0" y="0"/>
                          <a:ext cx="3055620" cy="1066800"/>
                        </a:xfrm>
                        <a:prstGeom prst="rect"/>
                        <a:solidFill>
                          <a:srgbClr val="FFFFFF"/>
                        </a:solidFill>
                      </wps:spPr>
                      <wps:txbx>
                        <w:txbxContent>
                          <w:p>
                            <w:pPr>
                              <w:pStyle w:val="TextBody"/>
                              <w:bidi w:val="0"/>
                              <w:spacing w:lineRule="atLeast" w:line="240" w:before="0" w:after="0"/>
                              <w:jc w:val="both"/>
                              <w:rPr>
                                <w:spacing w:val="-2"/>
                                <w:sz w:val="20"/>
                              </w:rPr>
                            </w:pPr>
                            <w:r>
                              <w:rPr>
                                <w:spacing w:val="-2"/>
                                <w:sz w:val="20"/>
                              </w:rPr>
                              <w:t xml:space="preserve">The following table sets forth information regarding the number and percentage of shares of common stock held by all persons and entities, other than directors and officers of the Company, known by the Company to beneficially own 5% or more of the Company’s outstanding common stock. The information regarding beneficial ownership of common stock by each entity </w:t>
                            </w:r>
                          </w:p>
                        </w:txbxContent>
                      </wps:txbx>
                      <wps:bodyPr anchor="t" lIns="0" tIns="0" rIns="0" bIns="0">
                        <a:noAutofit/>
                      </wps:bodyPr>
                    </wps:wsp>
                  </a:graphicData>
                </a:graphic>
              </wp:anchor>
            </w:drawing>
          </mc:Choice>
          <mc:Fallback>
            <w:pict>
              <v:rect style="position:absolute;rotation:-0;width:240.6pt;height:84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jc w:val="both"/>
                        <w:rPr>
                          <w:spacing w:val="-2"/>
                          <w:sz w:val="20"/>
                        </w:rPr>
                      </w:pPr>
                      <w:r>
                        <w:rPr>
                          <w:spacing w:val="-2"/>
                          <w:sz w:val="20"/>
                        </w:rPr>
                        <w:t xml:space="preserve">The following table sets forth information regarding the number and percentage of shares of common stock held by all persons and entities, other than directors and officers of the Company, known by the Company to beneficially own 5% or more of the Company’s outstanding common stock. The information regarding beneficial ownership of common stock by each entity </w:t>
                      </w:r>
                    </w:p>
                  </w:txbxContent>
                </v:textbox>
                <w10:wrap type="square" side="right"/>
              </v:rect>
            </w:pict>
          </mc:Fallback>
        </mc:AlternateContent>
      </w:r>
      <w:r>
        <mc:AlternateContent>
          <mc:Choice Requires="wps">
            <w:drawing>
              <wp:anchor behindDoc="0" distT="0" distB="0" distL="304800" distR="0" simplePos="0" locked="0" layoutInCell="1" allowOverlap="1" relativeHeight="334">
                <wp:simplePos x="0" y="0"/>
                <wp:positionH relativeFrom="column">
                  <wp:align>left</wp:align>
                </wp:positionH>
                <wp:positionV relativeFrom="line">
                  <wp:posOffset>635</wp:posOffset>
                </wp:positionV>
                <wp:extent cx="3055620" cy="914400"/>
                <wp:effectExtent l="0" t="0" r="0" b="0"/>
                <wp:wrapSquare wrapText="right"/>
                <wp:docPr id="282" name="Frame202"/>
                <a:graphic xmlns:a="http://schemas.openxmlformats.org/drawingml/2006/main">
                  <a:graphicData uri="http://schemas.microsoft.com/office/word/2010/wordprocessingShape">
                    <wps:wsp>
                      <wps:cNvSpPr txBox="1"/>
                      <wps:spPr>
                        <a:xfrm>
                          <a:off x="0" y="0"/>
                          <a:ext cx="3055620" cy="914400"/>
                        </a:xfrm>
                        <a:prstGeom prst="rect"/>
                        <a:solidFill>
                          <a:srgbClr val="FFFFFF"/>
                        </a:solidFill>
                      </wps:spPr>
                      <wps:txbx>
                        <w:txbxContent>
                          <w:p>
                            <w:pPr>
                              <w:pStyle w:val="TextBody"/>
                              <w:bidi w:val="0"/>
                              <w:spacing w:lineRule="atLeast" w:line="240" w:before="0" w:after="0"/>
                              <w:jc w:val="both"/>
                              <w:rPr>
                                <w:sz w:val="20"/>
                              </w:rPr>
                            </w:pPr>
                            <w:r>
                              <w:rPr>
                                <w:spacing w:val="-2"/>
                                <w:sz w:val="20"/>
                              </w:rPr>
                              <w:t>identified below is included in reliance on a report filed by the entity with the SEC, except that the percentage is based upon the Company’s calculations made in reliance upon the number of shares reported to be beneficially owned by the entity in such report and 59,719,462 shares of common stock outstanding on August 17, 2026.</w:t>
                            </w:r>
                            <w:r>
                              <w:rPr>
                                <w:sz w:val="20"/>
                              </w:rPr>
                              <w:t xml:space="preserve"> </w:t>
                            </w:r>
                          </w:p>
                        </w:txbxContent>
                      </wps:txbx>
                      <wps:bodyPr anchor="t" lIns="0" tIns="0" rIns="0" bIns="0">
                        <a:noAutofit/>
                      </wps:bodyPr>
                    </wps:wsp>
                  </a:graphicData>
                </a:graphic>
              </wp:anchor>
            </w:drawing>
          </mc:Choice>
          <mc:Fallback>
            <w:pict>
              <v:rect style="position:absolute;rotation:-0;width:240.6pt;height:7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jc w:val="both"/>
                        <w:rPr>
                          <w:sz w:val="20"/>
                        </w:rPr>
                      </w:pPr>
                      <w:r>
                        <w:rPr>
                          <w:spacing w:val="-2"/>
                          <w:sz w:val="20"/>
                        </w:rPr>
                        <w:t>identified below is included in reliance on a report filed by the entity with the SEC, except that the percentage is based upon the Company’s calculations made in reliance upon the number of shares reported to be beneficially owned by the entity in such report and 59,719,462 shares of common stock outstanding on August 17, 2026.</w:t>
                      </w:r>
                      <w:r>
                        <w:rPr>
                          <w:sz w:val="20"/>
                        </w:rPr>
                        <w:t xml:space="preserve"> </w:t>
                      </w:r>
                    </w:p>
                  </w:txbxContent>
                </v:textbox>
                <w10:wrap type="square" side="right"/>
              </v:rect>
            </w:pict>
          </mc:Fallback>
        </mc:AlternateContent>
      </w:r>
    </w:p>
    <w:tbl>
      <w:tblPr>
        <w:tblW w:w="8434" w:type="dxa"/>
        <w:jc w:val="left"/>
        <w:tblInd w:w="901" w:type="dxa"/>
        <w:tblLayout w:type="fixed"/>
        <w:tblCellMar>
          <w:top w:w="0" w:type="dxa"/>
          <w:left w:w="0" w:type="dxa"/>
          <w:bottom w:w="0" w:type="dxa"/>
          <w:right w:w="0" w:type="dxa"/>
        </w:tblCellMar>
      </w:tblPr>
      <w:tblGrid>
        <w:gridCol w:w="124"/>
        <w:gridCol w:w="4363"/>
        <w:gridCol w:w="109"/>
        <w:gridCol w:w="109"/>
        <w:gridCol w:w="166"/>
        <w:gridCol w:w="166"/>
        <w:gridCol w:w="1811"/>
        <w:gridCol w:w="166"/>
        <w:gridCol w:w="109"/>
        <w:gridCol w:w="109"/>
        <w:gridCol w:w="109"/>
        <w:gridCol w:w="109"/>
        <w:gridCol w:w="721"/>
        <w:gridCol w:w="109"/>
        <w:gridCol w:w="154"/>
      </w:tblGrid>
      <w:tr>
        <w:trPr/>
        <w:tc>
          <w:tcPr>
            <w:tcW w:w="124" w:type="dxa"/>
            <w:tcBorders/>
            <w:shd w:fill="BAD8EA" w:val="clear"/>
            <w:vAlign w:val="center"/>
          </w:tcPr>
          <w:p>
            <w:pPr>
              <w:pStyle w:val="TableContents"/>
              <w:bidi w:val="0"/>
              <w:spacing w:before="0" w:after="283"/>
              <w:jc w:val="left"/>
              <w:rPr/>
            </w:pPr>
            <w:r>
              <w:rPr/>
              <w:t>​</w:t>
            </w:r>
          </w:p>
        </w:tc>
        <w:tc>
          <w:tcPr>
            <w:tcW w:w="4363" w:type="dxa"/>
            <w:tcBorders/>
            <w:shd w:fill="BAD8EA" w:val="clear"/>
            <w:vAlign w:val="center"/>
          </w:tcPr>
          <w:p>
            <w:pPr>
              <w:pStyle w:val="TableContents"/>
              <w:bidi w:val="0"/>
              <w:spacing w:before="0" w:after="0"/>
              <w:jc w:val="left"/>
              <w:rPr>
                <w:spacing w:val="0"/>
              </w:rPr>
            </w:pPr>
            <w:r>
              <w:rPr>
                <w:spacing w:val="0"/>
              </w:rPr>
              <w:t xml:space="preserve">Name and Address of Beneficial Owner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2309" w:type="dxa"/>
            <w:gridSpan w:val="4"/>
            <w:tcBorders/>
            <w:shd w:fill="BAD8EA" w:val="clear"/>
            <w:vAlign w:val="center"/>
          </w:tcPr>
          <w:p>
            <w:pPr>
              <w:pStyle w:val="TableContents"/>
              <w:bidi w:val="0"/>
              <w:spacing w:lineRule="atLeast" w:line="202" w:before="0" w:after="0"/>
              <w:jc w:val="center"/>
              <w:rPr>
                <w:spacing w:val="0"/>
              </w:rPr>
            </w:pPr>
            <w:r>
              <w:rPr>
                <w:spacing w:val="0"/>
              </w:rPr>
              <w:t xml:space="preserve">Amount and Nature of </w:t>
              <w:br/>
              <w:t xml:space="preserve">Beneficial Ownership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48" w:type="dxa"/>
            <w:gridSpan w:val="4"/>
            <w:tcBorders/>
            <w:shd w:fill="BAD8EA" w:val="clear"/>
            <w:vAlign w:val="center"/>
          </w:tcPr>
          <w:p>
            <w:pPr>
              <w:pStyle w:val="TableContents"/>
              <w:bidi w:val="0"/>
              <w:spacing w:before="0" w:after="0"/>
              <w:jc w:val="center"/>
              <w:rPr>
                <w:spacing w:val="0"/>
              </w:rPr>
            </w:pPr>
            <w:r>
              <w:rPr>
                <w:spacing w:val="0"/>
              </w:rPr>
              <w:t xml:space="preserve">Percent </w:t>
            </w:r>
          </w:p>
        </w:tc>
        <w:tc>
          <w:tcPr>
            <w:tcW w:w="154"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4363" w:type="dxa"/>
            <w:tcBorders>
              <w:bottom w:val="single" w:sz="2" w:space="0" w:color="CBCAC8"/>
            </w:tcBorders>
            <w:tcMar>
              <w:bottom w:w="80" w:type="dxa"/>
            </w:tcMar>
            <w:vAlign w:val="center"/>
          </w:tcPr>
          <w:p>
            <w:pPr>
              <w:pStyle w:val="TableContents"/>
              <w:bidi w:val="0"/>
              <w:spacing w:before="0" w:after="283"/>
              <w:jc w:val="left"/>
              <w:rPr/>
            </w:pPr>
            <w:r>
              <w:rPr>
                <w:spacing w:val="-2"/>
              </w:rPr>
              <w:t>Pershing Square Capital Management, L.P.</w:t>
            </w:r>
            <w:r>
              <w:rPr>
                <w:spacing w:val="-1"/>
                <w:szCs w:val="13"/>
              </w:rPr>
              <w:t>﻿</w:t>
            </w:r>
            <w:r>
              <w:rPr>
                <w:spacing w:val="-1"/>
                <w:sz w:val="13"/>
              </w:rPr>
              <w:t>(1)</w:t>
            </w:r>
            <w:r>
              <w:rPr>
                <w:spacing w:val="-2"/>
              </w:rPr>
              <w:t xml:space="preserve"> </w:t>
              <w:br/>
              <w:t>   787 Eleventh Avenue, 9</w:t>
            </w:r>
            <w:r>
              <w:rPr>
                <w:spacing w:val="-1"/>
                <w:sz w:val="13"/>
              </w:rPr>
              <w:t>th</w:t>
            </w:r>
            <w:r>
              <w:rPr>
                <w:spacing w:val="-2"/>
              </w:rPr>
              <w:t xml:space="preserve"> Floor </w:t>
              <w:br/>
              <w:t xml:space="preserve">   New York, New York 10019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66" w:type="dxa"/>
            <w:tcBorders>
              <w:bottom w:val="single" w:sz="2" w:space="0" w:color="CBCAC8"/>
            </w:tcBorders>
            <w:tcMar>
              <w:bottom w:w="28" w:type="dxa"/>
            </w:tcMar>
            <w:vAlign w:val="center"/>
          </w:tcPr>
          <w:p>
            <w:pPr>
              <w:pStyle w:val="TableContents"/>
              <w:bidi w:val="0"/>
              <w:spacing w:before="0" w:after="283"/>
              <w:jc w:val="left"/>
              <w:rPr/>
            </w:pPr>
            <w:r>
              <w:rPr/>
              <w:t>​</w:t>
            </w:r>
          </w:p>
        </w:tc>
        <w:tc>
          <w:tcPr>
            <w:tcW w:w="166" w:type="dxa"/>
            <w:tcBorders>
              <w:bottom w:val="single" w:sz="2" w:space="0" w:color="CBCAC8"/>
            </w:tcBorders>
            <w:tcMar>
              <w:bottom w:w="28" w:type="dxa"/>
            </w:tcMar>
            <w:vAlign w:val="center"/>
          </w:tcPr>
          <w:p>
            <w:pPr>
              <w:pStyle w:val="TableContents"/>
              <w:bidi w:val="0"/>
              <w:spacing w:before="0" w:after="283"/>
              <w:jc w:val="right"/>
              <w:rPr/>
            </w:pPr>
            <w:r>
              <w:rPr/>
              <w:t>​</w:t>
            </w:r>
          </w:p>
        </w:tc>
        <w:tc>
          <w:tcPr>
            <w:tcW w:w="1811" w:type="dxa"/>
            <w:tcBorders>
              <w:bottom w:val="single" w:sz="2" w:space="0" w:color="CBCAC8"/>
            </w:tcBorders>
            <w:tcMar>
              <w:bottom w:w="28" w:type="dxa"/>
            </w:tcMar>
            <w:vAlign w:val="center"/>
          </w:tcPr>
          <w:p>
            <w:pPr>
              <w:pStyle w:val="TableContents"/>
              <w:bidi w:val="0"/>
              <w:spacing w:before="0" w:after="283"/>
              <w:jc w:val="right"/>
              <w:rPr/>
            </w:pPr>
            <w:r>
              <w:rPr/>
              <w:t>27,852,064</w:t>
            </w:r>
          </w:p>
        </w:tc>
        <w:tc>
          <w:tcPr>
            <w:tcW w:w="16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right"/>
              <w:rPr/>
            </w:pPr>
            <w:r>
              <w:rPr/>
              <w:t>​</w:t>
            </w:r>
          </w:p>
        </w:tc>
        <w:tc>
          <w:tcPr>
            <w:tcW w:w="721" w:type="dxa"/>
            <w:tcBorders>
              <w:bottom w:val="single" w:sz="2" w:space="0" w:color="CBCAC8"/>
            </w:tcBorders>
            <w:tcMar>
              <w:bottom w:w="28" w:type="dxa"/>
            </w:tcMar>
            <w:vAlign w:val="center"/>
          </w:tcPr>
          <w:p>
            <w:pPr>
              <w:pStyle w:val="TableContents"/>
              <w:bidi w:val="0"/>
              <w:spacing w:before="0" w:after="283"/>
              <w:jc w:val="right"/>
              <w:rPr/>
            </w:pPr>
            <w:r>
              <w:rPr/>
              <w:t>46.6%</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301"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According to a Schedule 13D/A filed by (i) PSCM, (ii) PS HHH Holdings, (iii) PS Inc., (iv) Pershing Square Partner Group, LLC; (v) Pershing Square Management, LLC; and William Ackman (collectively, the “Pershing Reporting Persons”) with the SEC on June 8, 2026. Of the 27,852,064 shares, 9,000,000 shares are held directly by PS HHH Holdings, which is wholly owned by PSCM, and the remaining 18,852,064 shares are beneficially owned through the Pershing Square Affiliated Funds. The Pershing Reporting Persons share voting and investment power with respect to these shares. </w:t>
      </w:r>
      <w:r>
        <mc:AlternateContent>
          <mc:Choice Requires="wps">
            <w:drawing>
              <wp:anchor behindDoc="0" distT="38100" distB="0" distL="0" distR="0" simplePos="0" locked="0" layoutInCell="1" allowOverlap="1" relativeHeight="335">
                <wp:simplePos x="0" y="0"/>
                <wp:positionH relativeFrom="column">
                  <wp:align>left</wp:align>
                </wp:positionH>
                <wp:positionV relativeFrom="line">
                  <wp:align>top</wp:align>
                </wp:positionV>
                <wp:extent cx="254000" cy="350520"/>
                <wp:effectExtent l="0" t="0" r="0" b="0"/>
                <wp:wrapSquare wrapText="right"/>
                <wp:docPr id="283"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(1)</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/ 27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S1BO"/>
      <w:bookmarkEnd w:id="38"/>
      <w:r>
        <w:rPr>
          <w:rFonts w:ascii="calibri;arial;sans-serif" w:hAnsi="calibri;arial;sans-serif"/>
          <w:b w:val="false"/>
          <w:i w:val="false"/>
          <w:caps w:val="false"/>
          <w:smallCaps w:val="false"/>
          <w:color w:val="000000"/>
          <w:sz w:val="16"/>
        </w:rPr>
        <w:t>​</w:t>
      </w:r>
      <w:bookmarkStart w:id="39" w:name="tCCIA"/>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480" w:before="200" w:after="283"/>
        <w:ind w:left="800" w:right="0" w:hanging="0"/>
        <w:jc w:val="left"/>
        <w:rPr>
          <w:caps w:val="false"/>
          <w:smallCaps w:val="false"/>
          <w:color w:val="000000"/>
        </w:rPr>
      </w:pPr>
      <w:r>
        <w:rPr>
          <w:caps w:val="false"/>
          <w:smallCaps w:val="false"/>
          <w:color w:val="000000"/>
          <w:spacing w:val="-6"/>
        </w:rPr>
        <w:t> </w:t>
      </w:r>
      <w:r>
        <w:rPr>
          <w:caps w:val="false"/>
          <w:smallCaps w:val="false"/>
          <w:color w:val="000000"/>
        </w:rPr>
        <w:t xml:space="preserve"> </w:t>
      </w:r>
    </w:p>
    <w:p>
      <w:pPr>
        <w:pStyle w:val="TextBody"/>
        <w:bidi w:val="0"/>
        <w:spacing w:lineRule="atLeast" w:line="480" w:before="360" w:after="283"/>
        <w:ind w:left="800" w:right="0" w:hanging="0"/>
        <w:jc w:val="left"/>
        <w:rPr>
          <w:rFonts w:ascii="Arial;Helvetica;sans-serif" w:hAnsi="Arial;Helvetica;sans-serif"/>
          <w:b/>
          <w:i w:val="false"/>
          <w:caps w:val="false"/>
          <w:smallCaps w:val="false"/>
          <w:color w:val="000000"/>
          <w:sz w:val="44"/>
        </w:rPr>
      </w:pPr>
      <w:r>
        <w:rPr>
          <w:rFonts w:ascii="Arial;Helvetica;sans-serif" w:hAnsi="Arial;Helvetica;sans-serif"/>
          <w:b/>
          <w:i w:val="false"/>
          <w:caps w:val="false"/>
          <w:smallCaps w:val="false"/>
          <w:color w:val="000000"/>
          <w:spacing w:val="-1"/>
          <w:sz w:val="44"/>
        </w:rPr>
        <w:t xml:space="preserve">Section 16(a) Beneficial Ownership Reporting </w:t>
        <w:br/>
        <w:t>Compliance</w:t>
      </w:r>
      <w:r>
        <w:rPr>
          <w:rFonts w:ascii="Arial;Helvetica;sans-serif" w:hAnsi="Arial;Helvetica;sans-serif"/>
          <w:b/>
          <w:i w:val="false"/>
          <w:caps w:val="false"/>
          <w:smallCaps w:val="false"/>
          <w:color w:val="000000"/>
          <w:spacing w:val="9"/>
          <w:sz w:val="44"/>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336">
                <wp:simplePos x="0" y="0"/>
                <wp:positionH relativeFrom="column">
                  <wp:align>left</wp:align>
                </wp:positionH>
                <wp:positionV relativeFrom="line">
                  <wp:posOffset>635</wp:posOffset>
                </wp:positionV>
                <wp:extent cx="3054350" cy="2806700"/>
                <wp:effectExtent l="0" t="0" r="0" b="0"/>
                <wp:wrapSquare wrapText="right"/>
                <wp:docPr id="284" name="Frame204"/>
                <a:graphic xmlns:a="http://schemas.openxmlformats.org/drawingml/2006/main">
                  <a:graphicData uri="http://schemas.microsoft.com/office/word/2010/wordprocessingShape">
                    <wps:wsp>
                      <wps:cNvSpPr txBox="1"/>
                      <wps:spPr>
                        <a:xfrm>
                          <a:off x="0" y="0"/>
                          <a:ext cx="3054350" cy="2806700"/>
                        </a:xfrm>
                        <a:prstGeom prst="rect"/>
                        <a:solidFill>
                          <a:srgbClr val="FFFFFF"/>
                        </a:solidFill>
                      </wps:spPr>
                      <wps:txbx>
                        <w:txbxContent>
                          <w:p>
                            <w:pPr>
                              <w:pStyle w:val="TextBody"/>
                              <w:bidi w:val="0"/>
                              <w:spacing w:lineRule="atLeast" w:line="240" w:before="0" w:after="0"/>
                              <w:jc w:val="both"/>
                              <w:rPr/>
                            </w:pPr>
                            <w:r>
                              <w:rPr>
                                <w:spacing w:val="-2"/>
                              </w:rPr>
                              <w:t>Compliance with Section 16(a) of the Exchange Act requires the Company’s directors and executive officers, and persons who own more than 10% of a registered class of its equity securities, to file reports of ownership and changes in ownership with the SEC. These reporting persons are required by SEC rules to furnish the Company with copies of all Section 16(a) forms they file.</w:t>
                            </w:r>
                            <w:r>
                              <w:rPr>
                                <w:spacing w:val="4"/>
                              </w:rPr>
                              <w:t xml:space="preserve"> </w:t>
                            </w:r>
                          </w:p>
                          <w:p>
                            <w:pPr>
                              <w:pStyle w:val="TextBody"/>
                              <w:bidi w:val="0"/>
                              <w:spacing w:lineRule="atLeast" w:line="340" w:before="240" w:after="283"/>
                              <w:jc w:val="left"/>
                              <w:rPr>
                                <w:b/>
                                <w:color w:val="7F7F7F"/>
                                <w:sz w:val="30"/>
                              </w:rPr>
                            </w:pPr>
                            <w:r>
                              <w:rPr>
                                <w:b/>
                                <w:color w:val="7F7F7F"/>
                                <w:spacing w:val="-1"/>
                                <w:sz w:val="30"/>
                              </w:rPr>
                              <w:t>Delinquent Section 16(a) Reports</w:t>
                            </w:r>
                            <w:r>
                              <w:rPr>
                                <w:b/>
                                <w:color w:val="000000"/>
                                <w:spacing w:val="6"/>
                                <w:sz w:val="30"/>
                              </w:rPr>
                              <w:t xml:space="preserve"> </w:t>
                            </w:r>
                          </w:p>
                          <w:p>
                            <w:pPr>
                              <w:pStyle w:val="TextBody"/>
                              <w:bidi w:val="0"/>
                              <w:spacing w:lineRule="atLeast" w:line="240" w:before="240" w:after="283"/>
                              <w:jc w:val="both"/>
                              <w:rPr>
                                <w:spacing w:val="-2"/>
                              </w:rPr>
                            </w:pPr>
                            <w:r>
                              <w:rPr>
                                <w:spacing w:val="-2"/>
                              </w:rPr>
                              <w:t xml:space="preserve">Based solely on a review of the copies of such forms furnished to the Company, the Company believes that </w:t>
                            </w:r>
                          </w:p>
                        </w:txbxContent>
                      </wps:txbx>
                      <wps:bodyPr anchor="t" lIns="0" tIns="0" rIns="0" bIns="0">
                        <a:noAutofit/>
                      </wps:bodyPr>
                    </wps:wsp>
                  </a:graphicData>
                </a:graphic>
              </wp:anchor>
            </w:drawing>
          </mc:Choice>
          <mc:Fallback>
            <w:pict>
              <v:rect style="position:absolute;rotation:-0;width:240.5pt;height:221pt;mso-wrap-distance-left:45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lineRule="atLeast" w:line="240" w:before="0" w:after="0"/>
                        <w:jc w:val="both"/>
                        <w:rPr/>
                      </w:pPr>
                      <w:r>
                        <w:rPr>
                          <w:spacing w:val="-2"/>
                        </w:rPr>
                        <w:t>Compliance with Section 16(a) of the Exchange Act requires the Company’s directors and executive officers, and persons who own more than 10% of a registered class of its equity securities, to file reports of ownership and changes in ownership with the SEC. These reporting persons are required by SEC rules to furnish the Company with copies of all Section 16(a) forms they file.</w:t>
                      </w:r>
                      <w:r>
                        <w:rPr>
                          <w:spacing w:val="4"/>
                        </w:rPr>
                        <w:t xml:space="preserve"> </w:t>
                      </w:r>
                    </w:p>
                    <w:p>
                      <w:pPr>
                        <w:pStyle w:val="TextBody"/>
                        <w:bidi w:val="0"/>
                        <w:spacing w:lineRule="atLeast" w:line="340" w:before="240" w:after="283"/>
                        <w:jc w:val="left"/>
                        <w:rPr>
                          <w:b/>
                          <w:color w:val="7F7F7F"/>
                          <w:sz w:val="30"/>
                        </w:rPr>
                      </w:pPr>
                      <w:r>
                        <w:rPr>
                          <w:b/>
                          <w:color w:val="7F7F7F"/>
                          <w:spacing w:val="-1"/>
                          <w:sz w:val="30"/>
                        </w:rPr>
                        <w:t>Delinquent Section 16(a) Reports</w:t>
                      </w:r>
                      <w:r>
                        <w:rPr>
                          <w:b/>
                          <w:color w:val="000000"/>
                          <w:spacing w:val="6"/>
                          <w:sz w:val="30"/>
                        </w:rPr>
                        <w:t xml:space="preserve"> </w:t>
                      </w:r>
                    </w:p>
                    <w:p>
                      <w:pPr>
                        <w:pStyle w:val="TextBody"/>
                        <w:bidi w:val="0"/>
                        <w:spacing w:lineRule="atLeast" w:line="240" w:before="240" w:after="283"/>
                        <w:jc w:val="both"/>
                        <w:rPr>
                          <w:spacing w:val="-2"/>
                        </w:rPr>
                      </w:pPr>
                      <w:r>
                        <w:rPr>
                          <w:spacing w:val="-2"/>
                        </w:rPr>
                        <w:t xml:space="preserve">Based solely on a review of the copies of such forms furnished to the Company, the Company believes that </w:t>
                      </w:r>
                    </w:p>
                  </w:txbxContent>
                </v:textbox>
                <w10:wrap type="square" side="right"/>
              </v:rect>
            </w:pict>
          </mc:Fallback>
        </mc:AlternateContent>
      </w:r>
      <w:r>
        <mc:AlternateContent>
          <mc:Choice Requires="wps">
            <w:drawing>
              <wp:anchor behindDoc="0" distT="0" distB="0" distL="304800" distR="0" simplePos="0" locked="0" layoutInCell="1" allowOverlap="1" relativeHeight="337">
                <wp:simplePos x="0" y="0"/>
                <wp:positionH relativeFrom="column">
                  <wp:align>left</wp:align>
                </wp:positionH>
                <wp:positionV relativeFrom="line">
                  <wp:posOffset>635</wp:posOffset>
                </wp:positionV>
                <wp:extent cx="3054350" cy="1927860"/>
                <wp:effectExtent l="0" t="0" r="0" b="0"/>
                <wp:wrapSquare wrapText="right"/>
                <wp:docPr id="285" name="Frame205"/>
                <a:graphic xmlns:a="http://schemas.openxmlformats.org/drawingml/2006/main">
                  <a:graphicData uri="http://schemas.microsoft.com/office/word/2010/wordprocessingShape">
                    <wps:wsp>
                      <wps:cNvSpPr txBox="1"/>
                      <wps:spPr>
                        <a:xfrm>
                          <a:off x="0" y="0"/>
                          <a:ext cx="3054350" cy="1927860"/>
                        </a:xfrm>
                        <a:prstGeom prst="rect"/>
                        <a:solidFill>
                          <a:srgbClr val="FFFFFF"/>
                        </a:solidFill>
                      </wps:spPr>
                      <wps:txbx>
                        <w:txbxContent>
                          <w:p>
                            <w:pPr>
                              <w:pStyle w:val="TextBody"/>
                              <w:bidi w:val="0"/>
                              <w:spacing w:lineRule="atLeast" w:line="250" w:before="0" w:after="0"/>
                              <w:jc w:val="both"/>
                              <w:rPr/>
                            </w:pPr>
                            <w:r>
                              <w:rPr>
                                <w:spacing w:val="-2"/>
                              </w:rPr>
                              <w:t>during the fiscal year ended December 31, 2025, all Section 16(a) filing requirements applicable to its directors, executive officers and greater than 10% stockholders were in compliance with Section 16(a), except for (a) one Form 3 filed late by each of Susan Panuccio (Director) and Thom Lachman (Director) following delays in obtaining their respective Edgar codes during the federal government shutdown in October 2025 and (b) one Form 4 reporting one transaction that was filed late by Anthony Williams (Director).</w:t>
                            </w:r>
                            <w:r>
                              <w:rPr/>
                              <w:t xml:space="preserve"> </w:t>
                            </w:r>
                          </w:p>
                        </w:txbxContent>
                      </wps:txbx>
                      <wps:bodyPr anchor="t" lIns="0" tIns="0" rIns="0" bIns="0">
                        <a:noAutofit/>
                      </wps:bodyPr>
                    </wps:wsp>
                  </a:graphicData>
                </a:graphic>
              </wp:anchor>
            </w:drawing>
          </mc:Choice>
          <mc:Fallback>
            <w:pict>
              <v:rect style="position:absolute;rotation:-0;width:240.5pt;height:151.8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50" w:before="0" w:after="0"/>
                        <w:jc w:val="both"/>
                        <w:rPr/>
                      </w:pPr>
                      <w:r>
                        <w:rPr>
                          <w:spacing w:val="-2"/>
                        </w:rPr>
                        <w:t>during the fiscal year ended December 31, 2025, all Section 16(a) filing requirements applicable to its directors, executive officers and greater than 10% stockholders were in compliance with Section 16(a), except for (a) one Form 3 filed late by each of Susan Panuccio (Director) and Thom Lachman (Director) following delays in obtaining their respective Edgar codes during the federal government shutdown in October 2025 and (b) one Form 4 reporting one transaction that was filed late by Anthony Williams (Director).</w:t>
                      </w:r>
                      <w:r>
                        <w:rPr/>
                        <w:t xml:space="preserve"> </w:t>
                      </w:r>
                    </w:p>
                  </w:txbxContent>
                </v:textbox>
                <w10:wrap type="square" side="right"/>
              </v:rect>
            </w:pict>
          </mc:Fallback>
        </mc:AlternateContent>
      </w:r>
    </w:p>
    <w:p>
      <w:pPr>
        <w:pStyle w:val="TextBody"/>
        <w:bidi w:val="0"/>
        <w:spacing w:lineRule="atLeast" w:line="480" w:before="300" w:after="283"/>
        <w:ind w:left="800" w:right="0" w:hanging="0"/>
        <w:jc w:val="left"/>
        <w:rPr>
          <w:caps w:val="false"/>
          <w:smallCaps w:val="false"/>
          <w:color w:val="000000"/>
        </w:rPr>
      </w:pPr>
      <w:r>
        <w:rPr>
          <w:caps w:val="false"/>
          <w:smallCaps w:val="false"/>
          <w:color w:val="000000"/>
          <w:spacing w:val="-6"/>
        </w:rPr>
        <w:t> </w:t>
      </w:r>
      <w:r>
        <w:rPr>
          <w:caps w:val="false"/>
          <w:smallCaps w:val="false"/>
          <w:color w:val="000000"/>
        </w:rPr>
        <w:t xml:space="preserve"> </w:t>
      </w:r>
    </w:p>
    <w:p>
      <w:pPr>
        <w:pStyle w:val="TextBody"/>
        <w:bidi w:val="0"/>
        <w:spacing w:lineRule="atLeast" w:line="480" w:before="40" w:after="283"/>
        <w:ind w:left="800" w:right="0" w:hanging="0"/>
        <w:jc w:val="left"/>
        <w:rPr>
          <w:rFonts w:ascii="Arial;Helvetica;sans-serif" w:hAnsi="Arial;Helvetica;sans-serif"/>
          <w:b/>
          <w:i w:val="false"/>
          <w:caps w:val="false"/>
          <w:smallCaps w:val="false"/>
          <w:color w:val="000000"/>
          <w:sz w:val="44"/>
        </w:rPr>
      </w:pPr>
      <w:r>
        <w:rPr>
          <w:rFonts w:ascii="Arial;Helvetica;sans-serif" w:hAnsi="Arial;Helvetica;sans-serif"/>
          <w:b/>
          <w:i w:val="false"/>
          <w:caps w:val="false"/>
          <w:smallCaps w:val="false"/>
          <w:color w:val="000000"/>
          <w:spacing w:val="-1"/>
          <w:sz w:val="44"/>
        </w:rPr>
        <w:t xml:space="preserve">Compensation Committee Interlocks and </w:t>
        <w:br/>
        <w:t>Insider Participation</w:t>
      </w:r>
      <w:r>
        <w:rPr>
          <w:rFonts w:ascii="Arial;Helvetica;sans-serif" w:hAnsi="Arial;Helvetica;sans-serif"/>
          <w:b/>
          <w:i w:val="false"/>
          <w:caps w:val="false"/>
          <w:smallCaps w:val="false"/>
          <w:color w:val="000000"/>
          <w:spacing w:val="9"/>
          <w:sz w:val="44"/>
        </w:rPr>
        <w:t xml:space="preserve"> </w:t>
      </w:r>
    </w:p>
    <w:p>
      <w:pPr>
        <w:pStyle w:val="TextBody"/>
        <w:bidi w:val="0"/>
        <w:spacing w:lineRule="atLeast" w:line="240" w:before="40" w:after="283"/>
        <w:jc w:val="both"/>
        <w:rPr>
          <w:caps w:val="false"/>
          <w:smallCaps w:val="false"/>
          <w:color w:val="000000"/>
        </w:rPr>
      </w:pPr>
      <w:r>
        <w:rPr>
          <w:caps w:val="false"/>
          <w:smallCaps w:val="false"/>
          <w:color w:val="000000"/>
          <w:spacing w:val="-2"/>
        </w:rPr>
        <w:t> </w:t>
      </w:r>
      <w:r>
        <w:rPr>
          <w:caps w:val="false"/>
          <w:smallCaps w:val="false"/>
          <w:color w:val="000000"/>
          <w:spacing w:val="4"/>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338">
                <wp:simplePos x="0" y="0"/>
                <wp:positionH relativeFrom="column">
                  <wp:align>left</wp:align>
                </wp:positionH>
                <wp:positionV relativeFrom="line">
                  <wp:posOffset>635</wp:posOffset>
                </wp:positionV>
                <wp:extent cx="3054350" cy="1402080"/>
                <wp:effectExtent l="0" t="0" r="0" b="0"/>
                <wp:wrapSquare wrapText="right"/>
                <wp:docPr id="286" name="Frame206"/>
                <a:graphic xmlns:a="http://schemas.openxmlformats.org/drawingml/2006/main">
                  <a:graphicData uri="http://schemas.microsoft.com/office/word/2010/wordprocessingShape">
                    <wps:wsp>
                      <wps:cNvSpPr txBox="1"/>
                      <wps:spPr>
                        <a:xfrm>
                          <a:off x="0" y="0"/>
                          <a:ext cx="3054350" cy="1402080"/>
                        </a:xfrm>
                        <a:prstGeom prst="rect"/>
                        <a:solidFill>
                          <a:srgbClr val="FFFFFF"/>
                        </a:solidFill>
                      </wps:spPr>
                      <wps:txbx>
                        <w:txbxContent>
                          <w:p>
                            <w:pPr>
                              <w:pStyle w:val="TextBody"/>
                              <w:bidi w:val="0"/>
                              <w:spacing w:lineRule="atLeast" w:line="220" w:before="0" w:after="0"/>
                              <w:jc w:val="both"/>
                              <w:rPr>
                                <w:spacing w:val="-2"/>
                              </w:rPr>
                            </w:pPr>
                            <w:r>
                              <w:rPr>
                                <w:spacing w:val="-2"/>
                              </w:rPr>
                              <w:t xml:space="preserve">Messrs. Flatto, Hakim, Sellers, Williams and Ms. Tighe served on the Compensation Committee in 2025. Mr. Hakim served as a member of the Compensation Committee from May 2024 until May 2025. Mr. Williams joined the Compensation Committee in June 2025. None of the members of the Compensation Committee is or has been an officer or an employee of the </w:t>
                            </w:r>
                          </w:p>
                        </w:txbxContent>
                      </wps:txbx>
                      <wps:bodyPr anchor="t" lIns="0" tIns="0" rIns="0" bIns="0">
                        <a:noAutofit/>
                      </wps:bodyPr>
                    </wps:wsp>
                  </a:graphicData>
                </a:graphic>
              </wp:anchor>
            </w:drawing>
          </mc:Choice>
          <mc:Fallback>
            <w:pict>
              <v:rect style="position:absolute;rotation:-0;width:240.5pt;height:110.4pt;mso-wrap-distance-left:45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lineRule="atLeast" w:line="220" w:before="0" w:after="0"/>
                        <w:jc w:val="both"/>
                        <w:rPr>
                          <w:spacing w:val="-2"/>
                        </w:rPr>
                      </w:pPr>
                      <w:r>
                        <w:rPr>
                          <w:spacing w:val="-2"/>
                        </w:rPr>
                        <w:t xml:space="preserve">Messrs. Flatto, Hakim, Sellers, Williams and Ms. Tighe served on the Compensation Committee in 2025. Mr. Hakim served as a member of the Compensation Committee from May 2024 until May 2025. Mr. Williams joined the Compensation Committee in June 2025. None of the members of the Compensation Committee is or has been an officer or an employee of the </w:t>
                      </w:r>
                    </w:p>
                  </w:txbxContent>
                </v:textbox>
                <w10:wrap type="square" side="right"/>
              </v:rect>
            </w:pict>
          </mc:Fallback>
        </mc:AlternateContent>
      </w:r>
      <w:r>
        <mc:AlternateContent>
          <mc:Choice Requires="wps">
            <w:drawing>
              <wp:anchor behindDoc="0" distT="0" distB="0" distL="304800" distR="0" simplePos="0" locked="0" layoutInCell="1" allowOverlap="1" relativeHeight="339">
                <wp:simplePos x="0" y="0"/>
                <wp:positionH relativeFrom="column">
                  <wp:align>left</wp:align>
                </wp:positionH>
                <wp:positionV relativeFrom="line">
                  <wp:posOffset>635</wp:posOffset>
                </wp:positionV>
                <wp:extent cx="3054350" cy="1226820"/>
                <wp:effectExtent l="0" t="0" r="0" b="0"/>
                <wp:wrapSquare wrapText="right"/>
                <wp:docPr id="287" name="Frame207"/>
                <a:graphic xmlns:a="http://schemas.openxmlformats.org/drawingml/2006/main">
                  <a:graphicData uri="http://schemas.microsoft.com/office/word/2010/wordprocessingShape">
                    <wps:wsp>
                      <wps:cNvSpPr txBox="1"/>
                      <wps:spPr>
                        <a:xfrm>
                          <a:off x="0" y="0"/>
                          <a:ext cx="3054350" cy="1226820"/>
                        </a:xfrm>
                        <a:prstGeom prst="rect"/>
                        <a:solidFill>
                          <a:srgbClr val="FFFFFF"/>
                        </a:solidFill>
                      </wps:spPr>
                      <wps:txbx>
                        <w:txbxContent>
                          <w:p>
                            <w:pPr>
                              <w:pStyle w:val="TextBody"/>
                              <w:bidi w:val="0"/>
                              <w:spacing w:lineRule="atLeast" w:line="250" w:before="0" w:after="0"/>
                              <w:jc w:val="both"/>
                              <w:rPr/>
                            </w:pPr>
                            <w:r>
                              <w:rPr>
                                <w:spacing w:val="-2"/>
                              </w:rPr>
                              <w:t>Company. In addition, during 2025, none of the Company’s executive officers served on the board of directors or compensation committee (or committee performing equivalent functions) of any other company that had one or more executive officers serving on the Board or the Company’s Compensation Committee.</w:t>
                            </w:r>
                            <w:r>
                              <w:rPr/>
                              <w:t xml:space="preserve"> </w:t>
                            </w:r>
                          </w:p>
                        </w:txbxContent>
                      </wps:txbx>
                      <wps:bodyPr anchor="t" lIns="0" tIns="0" rIns="0" bIns="0">
                        <a:noAutofit/>
                      </wps:bodyPr>
                    </wps:wsp>
                  </a:graphicData>
                </a:graphic>
              </wp:anchor>
            </w:drawing>
          </mc:Choice>
          <mc:Fallback>
            <w:pict>
              <v:rect style="position:absolute;rotation:-0;width:240.5pt;height:96.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50" w:before="0" w:after="0"/>
                        <w:jc w:val="both"/>
                        <w:rPr/>
                      </w:pPr>
                      <w:r>
                        <w:rPr>
                          <w:spacing w:val="-2"/>
                        </w:rPr>
                        <w:t>Company. In addition, during 2025, none of the Company’s executive officers served on the board of directors or compensation committee (or committee performing equivalent functions) of any other company that had one or more executive officers serving on the Board or the Company’s Compensation Committee.</w:t>
                      </w:r>
                      <w:r>
                        <w:rPr/>
                        <w:t xml:space="preserve"> </w:t>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28 \ 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RTAC"/>
      <w:bookmarkEnd w:id="40"/>
      <w:r>
        <w:rPr>
          <w:rFonts w:ascii="calibri;arial;sans-serif" w:hAnsi="calibri;arial;sans-serif"/>
          <w:b w:val="false"/>
          <w:i w:val="false"/>
          <w:caps w:val="false"/>
          <w:smallCaps w:val="false"/>
          <w:color w:val="000000"/>
          <w:sz w:val="16"/>
        </w:rPr>
        <w:t>​</w:t>
      </w:r>
      <w:bookmarkStart w:id="41" w:name="tRTP"/>
      <w:bookmarkEnd w:id="41"/>
      <w:r>
        <w:rPr>
          <w:rFonts w:ascii="calibri;arial;sans-serif" w:hAnsi="calibri;arial;sans-serif"/>
          <w:b w:val="false"/>
          <w:i w:val="false"/>
          <w:caps w:val="false"/>
          <w:smallCaps w:val="false"/>
          <w:color w:val="000000"/>
          <w:sz w:val="16"/>
        </w:rPr>
        <w:t>​</w:t>
      </w:r>
      <w:bookmarkStart w:id="42" w:name="tPSM"/>
      <w:bookmarkEnd w:id="42"/>
      <w:r>
        <w:rPr>
          <w:rFonts w:ascii="calibri;arial;sans-serif" w:hAnsi="calibri;arial;sans-serif"/>
          <w:b w:val="false"/>
          <w:i w:val="false"/>
          <w:caps w:val="false"/>
          <w:smallCaps w:val="false"/>
          <w:color w:val="000000"/>
          <w:sz w:val="16"/>
        </w:rPr>
        <w:t>​</w:t>
      </w:r>
      <w:bookmarkStart w:id="43" w:name="t2RRA"/>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480" w:before="200" w:after="580"/>
        <w:ind w:left="800" w:right="0" w:hanging="0"/>
        <w:jc w:val="left"/>
        <w:rPr>
          <w:caps w:val="false"/>
          <w:smallCaps w:val="false"/>
          <w:color w:val="000000"/>
        </w:rPr>
      </w:pPr>
      <w:r>
        <w:rPr>
          <w:caps w:val="false"/>
          <w:smallCaps w:val="false"/>
          <w:color w:val="000000"/>
          <w:spacing w:val="-6"/>
        </w:rPr>
        <w:t> </w:t>
      </w:r>
      <w:r>
        <w:rPr>
          <w:caps w:val="false"/>
          <w:smallCaps w:val="false"/>
          <w:color w:val="000000"/>
        </w:rPr>
        <w:t xml:space="preserve"> </w:t>
      </w:r>
    </w:p>
    <w:p>
      <w:pPr>
        <w:pStyle w:val="TextBody"/>
        <w:bidi w:val="0"/>
        <w:spacing w:lineRule="atLeast" w:line="480" w:before="300" w:after="283"/>
        <w:ind w:left="800" w:right="0" w:hanging="0"/>
        <w:jc w:val="left"/>
        <w:rPr>
          <w:rFonts w:ascii="Arial;Helvetica;sans-serif" w:hAnsi="Arial;Helvetica;sans-serif"/>
          <w:b/>
          <w:i w:val="false"/>
          <w:caps w:val="false"/>
          <w:smallCaps w:val="false"/>
          <w:color w:val="000000"/>
          <w:spacing w:val="-1"/>
          <w:sz w:val="44"/>
        </w:rPr>
      </w:pPr>
      <w:r>
        <w:rPr>
          <w:rFonts w:ascii="Arial;Helvetica;sans-serif" w:hAnsi="Arial;Helvetica;sans-serif"/>
          <w:b/>
          <w:i w:val="false"/>
          <w:caps w:val="false"/>
          <w:smallCaps w:val="false"/>
          <w:color w:val="000000"/>
          <w:spacing w:val="-1"/>
          <w:sz w:val="44"/>
        </w:rPr>
        <w:t xml:space="preserve">Related-Party Transactions and Certain </w:t>
        <w:br/>
        <w:t xml:space="preserve">Relationships </w:t>
      </w:r>
    </w:p>
    <w:p>
      <w:pPr>
        <w:pStyle w:val="TextBody"/>
        <w:bidi w:val="0"/>
        <w:spacing w:lineRule="atLeast" w:line="340" w:before="160" w:after="283"/>
        <w:ind w:left="900"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RELATED-PARTY TRANSACTIONS POLICY</w:t>
      </w:r>
      <w:r>
        <w:rPr>
          <w:rFonts w:ascii="Arial;Helvetica;sans-serif" w:hAnsi="Arial;Helvetica;sans-serif"/>
          <w:b/>
          <w:i w:val="false"/>
          <w:caps w:val="false"/>
          <w:smallCaps w:val="false"/>
          <w:color w:val="000000"/>
          <w:spacing w:val="6"/>
          <w:sz w:val="3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340">
                <wp:simplePos x="0" y="0"/>
                <wp:positionH relativeFrom="column">
                  <wp:align>left</wp:align>
                </wp:positionH>
                <wp:positionV relativeFrom="line">
                  <wp:posOffset>635</wp:posOffset>
                </wp:positionV>
                <wp:extent cx="3054350" cy="6125845"/>
                <wp:effectExtent l="0" t="0" r="0" b="0"/>
                <wp:wrapSquare wrapText="right"/>
                <wp:docPr id="288" name="Frame208"/>
                <a:graphic xmlns:a="http://schemas.openxmlformats.org/drawingml/2006/main">
                  <a:graphicData uri="http://schemas.microsoft.com/office/word/2010/wordprocessingShape">
                    <wps:wsp>
                      <wps:cNvSpPr txBox="1"/>
                      <wps:spPr>
                        <a:xfrm>
                          <a:off x="0" y="0"/>
                          <a:ext cx="3054350" cy="6125845"/>
                        </a:xfrm>
                        <a:prstGeom prst="rect"/>
                        <a:solidFill>
                          <a:srgbClr val="FFFFFF"/>
                        </a:solidFill>
                      </wps:spPr>
                      <wps:txbx>
                        <w:txbxContent>
                          <w:p>
                            <w:pPr>
                              <w:pStyle w:val="TextBody"/>
                              <w:bidi w:val="0"/>
                              <w:spacing w:lineRule="atLeast" w:line="240" w:before="0" w:after="0"/>
                              <w:jc w:val="both"/>
                              <w:rPr/>
                            </w:pPr>
                            <w:r>
                              <w:rPr>
                                <w:spacing w:val="-2"/>
                              </w:rPr>
                              <w:t>The Company has adopted a written policy relating to the approval of related-party transactions. Under this policy, the Audit Committee reviews certain financial transactions, arrangements and relationships between the Company and any of the following related parties to determine whether any such transaction, arrangement or relationship is a related-party transaction:</w:t>
                            </w:r>
                            <w:r>
                              <w:rPr>
                                <w:spacing w:val="4"/>
                              </w:rPr>
                              <w:t xml:space="preserve"> </w:t>
                            </w:r>
                          </w:p>
                          <w:p>
                            <w:pPr>
                              <w:pStyle w:val="TextBody"/>
                              <w:bidi w:val="0"/>
                              <w:spacing w:lineRule="atLeast" w:line="240" w:before="240" w:after="0"/>
                              <w:ind w:left="760" w:right="0" w:hanging="0"/>
                              <w:jc w:val="both"/>
                              <w:rPr/>
                            </w:pPr>
                            <w:r>
                              <w:rPr>
                                <w:spacing w:val="-2"/>
                              </w:rPr>
                              <w:t>any director, director nominee or executive officer of the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pPr>
                            <w:r>
                              <w:rPr>
                                <w:spacing w:val="-2"/>
                              </w:rPr>
                              <w:t>any beneficial owner of more than 5% of the Company’s outstanding stock; and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pPr>
                            <w:r>
                              <w:rPr>
                                <w:spacing w:val="-2"/>
                              </w:rPr>
                              <w:t>any immediate family member of any of the foregoing.</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2"/>
                              </w:rPr>
                              <w:t>Audit Committee review is required for any financial transaction, arrangement or relationship that:</w:t>
                            </w:r>
                            <w:r>
                              <w:rPr>
                                <w:spacing w:val="4"/>
                              </w:rPr>
                              <w:t xml:space="preserve"> </w:t>
                            </w:r>
                          </w:p>
                          <w:p>
                            <w:pPr>
                              <w:pStyle w:val="TextBody"/>
                              <w:bidi w:val="0"/>
                              <w:spacing w:lineRule="atLeast" w:line="240" w:before="240" w:after="0"/>
                              <w:ind w:left="760" w:right="0" w:hanging="0"/>
                              <w:jc w:val="both"/>
                              <w:rPr/>
                            </w:pPr>
                            <w:r>
                              <w:rPr>
                                <w:spacing w:val="-2"/>
                              </w:rPr>
                              <w:t>involves or will involve, directly or indirectly, any related party identified above and is in an amount greater than $120,000; or</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spacing w:val="-2"/>
                              </w:rPr>
                            </w:pPr>
                            <w:r>
                              <w:rPr>
                                <w:spacing w:val="-2"/>
                              </w:rPr>
                              <w:t xml:space="preserve">would cast doubt on the independence of a director.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0.5pt;height:482.35pt;mso-wrap-distance-left:45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lineRule="atLeast" w:line="240" w:before="0" w:after="0"/>
                        <w:jc w:val="both"/>
                        <w:rPr/>
                      </w:pPr>
                      <w:r>
                        <w:rPr>
                          <w:spacing w:val="-2"/>
                        </w:rPr>
                        <w:t>The Company has adopted a written policy relating to the approval of related-party transactions. Under this policy, the Audit Committee reviews certain financial transactions, arrangements and relationships between the Company and any of the following related parties to determine whether any such transaction, arrangement or relationship is a related-party transaction:</w:t>
                      </w:r>
                      <w:r>
                        <w:rPr>
                          <w:spacing w:val="4"/>
                        </w:rPr>
                        <w:t xml:space="preserve"> </w:t>
                      </w:r>
                    </w:p>
                    <w:p>
                      <w:pPr>
                        <w:pStyle w:val="TextBody"/>
                        <w:bidi w:val="0"/>
                        <w:spacing w:lineRule="atLeast" w:line="240" w:before="240" w:after="0"/>
                        <w:ind w:left="760" w:right="0" w:hanging="0"/>
                        <w:jc w:val="both"/>
                        <w:rPr/>
                      </w:pPr>
                      <w:r>
                        <w:rPr>
                          <w:spacing w:val="-2"/>
                        </w:rPr>
                        <w:t>any director, director nominee or executive officer of the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pPr>
                      <w:r>
                        <w:rPr>
                          <w:spacing w:val="-2"/>
                        </w:rPr>
                        <w:t>any beneficial owner of more than 5% of the Company’s outstanding stock; and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pPr>
                      <w:r>
                        <w:rPr>
                          <w:spacing w:val="-2"/>
                        </w:rPr>
                        <w:t>any immediate family member of any of the foregoing.</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2"/>
                        </w:rPr>
                        <w:t>Audit Committee review is required for any financial transaction, arrangement or relationship that:</w:t>
                      </w:r>
                      <w:r>
                        <w:rPr>
                          <w:spacing w:val="4"/>
                        </w:rPr>
                        <w:t xml:space="preserve"> </w:t>
                      </w:r>
                    </w:p>
                    <w:p>
                      <w:pPr>
                        <w:pStyle w:val="TextBody"/>
                        <w:bidi w:val="0"/>
                        <w:spacing w:lineRule="atLeast" w:line="240" w:before="240" w:after="0"/>
                        <w:ind w:left="760" w:right="0" w:hanging="0"/>
                        <w:jc w:val="both"/>
                        <w:rPr/>
                      </w:pPr>
                      <w:r>
                        <w:rPr>
                          <w:spacing w:val="-2"/>
                        </w:rPr>
                        <w:t>involves or will involve, directly or indirectly, any related party identified above and is in an amount greater than $120,000; or</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spacing w:val="-2"/>
                        </w:rPr>
                      </w:pPr>
                      <w:r>
                        <w:rPr>
                          <w:spacing w:val="-2"/>
                        </w:rPr>
                        <w:t xml:space="preserve">would cast doubt on the independence of a director.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304800" distR="0" simplePos="0" locked="0" layoutInCell="1" allowOverlap="1" relativeHeight="346">
                <wp:simplePos x="0" y="0"/>
                <wp:positionH relativeFrom="column">
                  <wp:align>left</wp:align>
                </wp:positionH>
                <wp:positionV relativeFrom="line">
                  <wp:posOffset>635</wp:posOffset>
                </wp:positionV>
                <wp:extent cx="3054350" cy="5313680"/>
                <wp:effectExtent l="0" t="0" r="0" b="0"/>
                <wp:wrapSquare wrapText="right"/>
                <wp:docPr id="289" name="Frame214"/>
                <a:graphic xmlns:a="http://schemas.openxmlformats.org/drawingml/2006/main">
                  <a:graphicData uri="http://schemas.microsoft.com/office/word/2010/wordprocessingShape">
                    <wps:wsp>
                      <wps:cNvSpPr txBox="1"/>
                      <wps:spPr>
                        <a:xfrm>
                          <a:off x="0" y="0"/>
                          <a:ext cx="3054350" cy="5313680"/>
                        </a:xfrm>
                        <a:prstGeom prst="rect"/>
                        <a:solidFill>
                          <a:srgbClr val="FFFFFF"/>
                        </a:solidFill>
                      </wps:spPr>
                      <wps:txbx>
                        <w:txbxContent>
                          <w:p>
                            <w:pPr>
                              <w:pStyle w:val="TextBody"/>
                              <w:bidi w:val="0"/>
                              <w:spacing w:lineRule="atLeast" w:line="240" w:before="0" w:after="0"/>
                              <w:ind w:left="760" w:right="0" w:hanging="0"/>
                              <w:jc w:val="both"/>
                              <w:rPr/>
                            </w:pPr>
                            <w:r>
                              <w:rPr>
                                <w:spacing w:val="-2"/>
                              </w:rPr>
                              <w:t>would present the appearance of a conflict of interest between the Company and the related party; or</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pPr>
                            <w:r>
                              <w:rPr>
                                <w:spacing w:val="-2"/>
                              </w:rPr>
                              <w:t>is otherwise prohibited by law, rule or regulation.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2"/>
                              </w:rPr>
                              <w:t>The Audit Committee reviews each such transaction, arrangement or relationship to determine whether a related party has, has had or expects to have a direct or indirect material interest. Following its review, the Audit Committee will take such action as it deems necessary and appropriate under the circumstances, including approving, disapproving, ratifying, cancelling or recommending to management how to proceed if it determines a related party has a direct or indirect material interest in a transaction, arrangement or relationship with the Company. Any member of the Audit Committee who is a related party with respect to a transaction under review is not permitted to participate in the discussions or evaluations of the transaction; however, the Audit Committee member will provide all material information concerning the transaction to the Audit Committee. The Audit Committee reports its action with respect to any related-party transaction to the Board.</w:t>
                            </w:r>
                            <w:r>
                              <w:rPr/>
                              <w:t xml:space="preserve"> </w:t>
                            </w:r>
                          </w:p>
                        </w:txbxContent>
                      </wps:txbx>
                      <wps:bodyPr anchor="t" lIns="0" tIns="0" rIns="0" bIns="0">
                        <a:noAutofit/>
                      </wps:bodyPr>
                    </wps:wsp>
                  </a:graphicData>
                </a:graphic>
              </wp:anchor>
            </w:drawing>
          </mc:Choice>
          <mc:Fallback>
            <w:pict>
              <v:rect style="position:absolute;rotation:-0;width:240.5pt;height:418.4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ind w:left="760" w:right="0" w:hanging="0"/>
                        <w:jc w:val="both"/>
                        <w:rPr/>
                      </w:pPr>
                      <w:r>
                        <w:rPr>
                          <w:spacing w:val="-2"/>
                        </w:rPr>
                        <w:t>would present the appearance of a conflict of interest between the Company and the related party; or</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pPr>
                      <w:r>
                        <w:rPr>
                          <w:spacing w:val="-2"/>
                        </w:rPr>
                        <w:t>is otherwise prohibited by law, rule or regulation.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2"/>
                        </w:rPr>
                        <w:t>The Audit Committee reviews each such transaction, arrangement or relationship to determine whether a related party has, has had or expects to have a direct or indirect material interest. Following its review, the Audit Committee will take such action as it deems necessary and appropriate under the circumstances, including approving, disapproving, ratifying, cancelling or recommending to management how to proceed if it determines a related party has a direct or indirect material interest in a transaction, arrangement or relationship with the Company. Any member of the Audit Committee who is a related party with respect to a transaction under review is not permitted to participate in the discussions or evaluations of the transaction; however, the Audit Committee member will provide all material information concerning the transaction to the Audit Committee. The Audit Committee reports its action with respect to any related-party transaction to the Board.</w:t>
                      </w:r>
                      <w:r>
                        <w:rPr/>
                        <w:t xml:space="preserve"> </w:t>
                      </w:r>
                    </w:p>
                  </w:txbxContent>
                </v:textbox>
                <w10:wrap type="square" side="right"/>
              </v:rect>
            </w:pict>
          </mc:Fallback>
        </mc:AlternateContent>
      </w:r>
      <w:r>
        <mc:AlternateContent>
          <mc:Choice Requires="wps">
            <w:drawing>
              <wp:anchor behindDoc="0" distT="152400" distB="0" distL="254000" distR="0" simplePos="0" locked="0" layoutInCell="1" allowOverlap="1" relativeHeight="341">
                <wp:simplePos x="0" y="0"/>
                <wp:positionH relativeFrom="column">
                  <wp:align>left</wp:align>
                </wp:positionH>
                <wp:positionV relativeFrom="line">
                  <wp:align>top</wp:align>
                </wp:positionV>
                <wp:extent cx="228600" cy="350520"/>
                <wp:effectExtent l="0" t="0" r="0" b="0"/>
                <wp:wrapSquare wrapText="right"/>
                <wp:docPr id="290" name="Frame20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2400" distB="0" distL="254000" distR="0" simplePos="0" locked="0" layoutInCell="1" allowOverlap="1" relativeHeight="342">
                <wp:simplePos x="0" y="0"/>
                <wp:positionH relativeFrom="column">
                  <wp:align>left</wp:align>
                </wp:positionH>
                <wp:positionV relativeFrom="line">
                  <wp:align>top</wp:align>
                </wp:positionV>
                <wp:extent cx="228600" cy="350520"/>
                <wp:effectExtent l="0" t="0" r="0" b="0"/>
                <wp:wrapSquare wrapText="right"/>
                <wp:docPr id="291" name="Frame21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2400" distB="0" distL="254000" distR="0" simplePos="0" locked="0" layoutInCell="1" allowOverlap="1" relativeHeight="343">
                <wp:simplePos x="0" y="0"/>
                <wp:positionH relativeFrom="column">
                  <wp:align>left</wp:align>
                </wp:positionH>
                <wp:positionV relativeFrom="line">
                  <wp:align>top</wp:align>
                </wp:positionV>
                <wp:extent cx="228600" cy="350520"/>
                <wp:effectExtent l="0" t="0" r="0" b="0"/>
                <wp:wrapSquare wrapText="right"/>
                <wp:docPr id="292" name="Frame21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2400" distB="0" distL="254000" distR="0" simplePos="0" locked="0" layoutInCell="1" allowOverlap="1" relativeHeight="344">
                <wp:simplePos x="0" y="0"/>
                <wp:positionH relativeFrom="column">
                  <wp:align>left</wp:align>
                </wp:positionH>
                <wp:positionV relativeFrom="line">
                  <wp:align>top</wp:align>
                </wp:positionV>
                <wp:extent cx="228600" cy="350520"/>
                <wp:effectExtent l="0" t="0" r="0" b="0"/>
                <wp:wrapSquare wrapText="right"/>
                <wp:docPr id="293" name="Frame21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2400" distB="0" distL="254000" distR="0" simplePos="0" locked="0" layoutInCell="1" allowOverlap="1" relativeHeight="345">
                <wp:simplePos x="0" y="0"/>
                <wp:positionH relativeFrom="column">
                  <wp:align>left</wp:align>
                </wp:positionH>
                <wp:positionV relativeFrom="line">
                  <wp:align>top</wp:align>
                </wp:positionV>
                <wp:extent cx="228600" cy="350520"/>
                <wp:effectExtent l="0" t="0" r="0" b="0"/>
                <wp:wrapSquare wrapText="right"/>
                <wp:docPr id="294" name="Frame21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347">
                <wp:simplePos x="0" y="0"/>
                <wp:positionH relativeFrom="column">
                  <wp:align>left</wp:align>
                </wp:positionH>
                <wp:positionV relativeFrom="line">
                  <wp:posOffset>635</wp:posOffset>
                </wp:positionV>
                <wp:extent cx="228600" cy="350520"/>
                <wp:effectExtent l="0" t="0" r="0" b="0"/>
                <wp:wrapSquare wrapText="right"/>
                <wp:docPr id="295" name="Frame21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2400" distB="0" distL="254000" distR="0" simplePos="0" locked="0" layoutInCell="1" allowOverlap="1" relativeHeight="348">
                <wp:simplePos x="0" y="0"/>
                <wp:positionH relativeFrom="column">
                  <wp:align>left</wp:align>
                </wp:positionH>
                <wp:positionV relativeFrom="line">
                  <wp:align>top</wp:align>
                </wp:positionV>
                <wp:extent cx="228600" cy="350520"/>
                <wp:effectExtent l="0" t="0" r="0" b="0"/>
                <wp:wrapSquare wrapText="right"/>
                <wp:docPr id="296" name="Frame21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lineRule="atLeast" w:line="340" w:before="300" w:after="283"/>
        <w:ind w:left="900"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RELATED PARTY TRANSACTION DISCLOSURE</w:t>
      </w:r>
      <w:r>
        <w:rPr>
          <w:rFonts w:ascii="Arial;Helvetica;sans-serif" w:hAnsi="Arial;Helvetica;sans-serif"/>
          <w:b/>
          <w:i w:val="false"/>
          <w:caps w:val="false"/>
          <w:smallCaps w:val="false"/>
          <w:color w:val="0075A8"/>
          <w:sz w:val="30"/>
        </w:rPr>
        <w:t xml:space="preserve"> </w:t>
      </w:r>
    </w:p>
    <w:p>
      <w:pPr>
        <w:pStyle w:val="TextBody"/>
        <w:bidi w:val="0"/>
        <w:spacing w:lineRule="atLeast" w:line="340" w:before="240" w:after="283"/>
        <w:jc w:val="left"/>
        <w:rPr>
          <w:rFonts w:ascii="Arial;Helvetica;sans-serif" w:hAnsi="Arial;Helvetica;sans-serif"/>
          <w:b/>
          <w:i w:val="false"/>
          <w:caps w:val="false"/>
          <w:smallCaps w:val="false"/>
          <w:color w:val="7F7F7F"/>
          <w:sz w:val="30"/>
        </w:rPr>
      </w:pPr>
      <w:r>
        <w:rPr>
          <w:rFonts w:ascii="Arial;Helvetica;sans-serif" w:hAnsi="Arial;Helvetica;sans-serif"/>
          <w:b/>
          <w:i w:val="false"/>
          <w:caps w:val="false"/>
          <w:smallCaps w:val="false"/>
          <w:color w:val="7F7F7F"/>
          <w:spacing w:val="-1"/>
          <w:sz w:val="30"/>
        </w:rPr>
        <w:t>Pershing Square Matters</w:t>
      </w:r>
      <w:r>
        <w:rPr>
          <w:rFonts w:ascii="Arial;Helvetica;sans-serif" w:hAnsi="Arial;Helvetica;sans-serif"/>
          <w:b/>
          <w:i w:val="false"/>
          <w:caps w:val="false"/>
          <w:smallCaps w:val="false"/>
          <w:color w:val="000000"/>
          <w:spacing w:val="6"/>
          <w:sz w:val="3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349">
                <wp:simplePos x="0" y="0"/>
                <wp:positionH relativeFrom="column">
                  <wp:align>left</wp:align>
                </wp:positionH>
                <wp:positionV relativeFrom="line">
                  <wp:posOffset>635</wp:posOffset>
                </wp:positionV>
                <wp:extent cx="3054350" cy="3081020"/>
                <wp:effectExtent l="0" t="0" r="0" b="0"/>
                <wp:wrapSquare wrapText="right"/>
                <wp:docPr id="297" name="Frame217"/>
                <a:graphic xmlns:a="http://schemas.openxmlformats.org/drawingml/2006/main">
                  <a:graphicData uri="http://schemas.microsoft.com/office/word/2010/wordprocessingShape">
                    <wps:wsp>
                      <wps:cNvSpPr txBox="1"/>
                      <wps:spPr>
                        <a:xfrm>
                          <a:off x="0" y="0"/>
                          <a:ext cx="3054350" cy="3081020"/>
                        </a:xfrm>
                        <a:prstGeom prst="rect"/>
                        <a:solidFill>
                          <a:srgbClr val="FFFFFF"/>
                        </a:solidFill>
                      </wps:spPr>
                      <wps:txbx>
                        <w:txbxContent>
                          <w:p>
                            <w:pPr>
                              <w:pStyle w:val="TextBody"/>
                              <w:bidi w:val="0"/>
                              <w:spacing w:lineRule="atLeast" w:line="340" w:before="0" w:after="0"/>
                              <w:jc w:val="left"/>
                              <w:rPr>
                                <w:b/>
                                <w:color w:val="7F7F7F"/>
                                <w:sz w:val="30"/>
                              </w:rPr>
                            </w:pPr>
                            <w:r>
                              <w:rPr>
                                <w:b/>
                                <w:color w:val="7F7F7F"/>
                                <w:spacing w:val="-1"/>
                                <w:sz w:val="30"/>
                              </w:rPr>
                              <w:t>2010 Registration Rights Agreement</w:t>
                            </w:r>
                            <w:r>
                              <w:rPr>
                                <w:b/>
                                <w:color w:val="000000"/>
                                <w:spacing w:val="6"/>
                                <w:sz w:val="30"/>
                              </w:rPr>
                              <w:t xml:space="preserve"> </w:t>
                            </w:r>
                          </w:p>
                          <w:p>
                            <w:pPr>
                              <w:pStyle w:val="TextBody"/>
                              <w:bidi w:val="0"/>
                              <w:spacing w:lineRule="atLeast" w:line="240" w:before="240" w:after="283"/>
                              <w:jc w:val="both"/>
                              <w:rPr/>
                            </w:pPr>
                            <w:r>
                              <w:rPr>
                                <w:spacing w:val="-2"/>
                              </w:rPr>
                              <w:t>In November 2010, the Company entered into a registration rights agreement with Pershing Square with respect to Company common stock held by Pershing Square. The 2010 registration rights agreement with Pershing Square requires the Company to maintain a shelf registration statement covering the shares held by Pershing Square. Additionally, Pershing Square may require the Company to:</w:t>
                            </w:r>
                            <w:r>
                              <w:rPr>
                                <w:spacing w:val="4"/>
                              </w:rPr>
                              <w:t xml:space="preserve"> </w:t>
                            </w:r>
                          </w:p>
                          <w:p>
                            <w:pPr>
                              <w:pStyle w:val="TextBody"/>
                              <w:bidi w:val="0"/>
                              <w:spacing w:lineRule="atLeast" w:line="240" w:before="120" w:after="0"/>
                              <w:ind w:left="760" w:right="0" w:hanging="0"/>
                              <w:jc w:val="both"/>
                              <w:rPr>
                                <w:spacing w:val="-2"/>
                              </w:rPr>
                            </w:pPr>
                            <w:r>
                              <w:rPr>
                                <w:spacing w:val="-2"/>
                              </w:rPr>
                              <w:t xml:space="preserve">register shares of Company common stock held by them having an estimated aggregate fair market value of at least $25.0 million;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0.5pt;height:242.6pt;mso-wrap-distance-left:45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lineRule="atLeast" w:line="340" w:before="0" w:after="0"/>
                        <w:jc w:val="left"/>
                        <w:rPr>
                          <w:b/>
                          <w:color w:val="7F7F7F"/>
                          <w:sz w:val="30"/>
                        </w:rPr>
                      </w:pPr>
                      <w:r>
                        <w:rPr>
                          <w:b/>
                          <w:color w:val="7F7F7F"/>
                          <w:spacing w:val="-1"/>
                          <w:sz w:val="30"/>
                        </w:rPr>
                        <w:t>2010 Registration Rights Agreement</w:t>
                      </w:r>
                      <w:r>
                        <w:rPr>
                          <w:b/>
                          <w:color w:val="000000"/>
                          <w:spacing w:val="6"/>
                          <w:sz w:val="30"/>
                        </w:rPr>
                        <w:t xml:space="preserve"> </w:t>
                      </w:r>
                    </w:p>
                    <w:p>
                      <w:pPr>
                        <w:pStyle w:val="TextBody"/>
                        <w:bidi w:val="0"/>
                        <w:spacing w:lineRule="atLeast" w:line="240" w:before="240" w:after="283"/>
                        <w:jc w:val="both"/>
                        <w:rPr/>
                      </w:pPr>
                      <w:r>
                        <w:rPr>
                          <w:spacing w:val="-2"/>
                        </w:rPr>
                        <w:t>In November 2010, the Company entered into a registration rights agreement with Pershing Square with respect to Company common stock held by Pershing Square. The 2010 registration rights agreement with Pershing Square requires the Company to maintain a shelf registration statement covering the shares held by Pershing Square. Additionally, Pershing Square may require the Company to:</w:t>
                      </w:r>
                      <w:r>
                        <w:rPr>
                          <w:spacing w:val="4"/>
                        </w:rPr>
                        <w:t xml:space="preserve"> </w:t>
                      </w:r>
                    </w:p>
                    <w:p>
                      <w:pPr>
                        <w:pStyle w:val="TextBody"/>
                        <w:bidi w:val="0"/>
                        <w:spacing w:lineRule="atLeast" w:line="240" w:before="120" w:after="0"/>
                        <w:ind w:left="760" w:right="0" w:hanging="0"/>
                        <w:jc w:val="both"/>
                        <w:rPr>
                          <w:spacing w:val="-2"/>
                        </w:rPr>
                      </w:pPr>
                      <w:r>
                        <w:rPr>
                          <w:spacing w:val="-2"/>
                        </w:rPr>
                        <w:t xml:space="preserve">register shares of Company common stock held by them having an estimated aggregate fair market value of at least $25.0 million;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304800" distR="0" simplePos="0" locked="0" layoutInCell="1" allowOverlap="1" relativeHeight="351">
                <wp:simplePos x="0" y="0"/>
                <wp:positionH relativeFrom="column">
                  <wp:align>left</wp:align>
                </wp:positionH>
                <wp:positionV relativeFrom="line">
                  <wp:posOffset>635</wp:posOffset>
                </wp:positionV>
                <wp:extent cx="3054350" cy="3157220"/>
                <wp:effectExtent l="0" t="0" r="0" b="0"/>
                <wp:wrapSquare wrapText="right"/>
                <wp:docPr id="298" name="Frame219"/>
                <a:graphic xmlns:a="http://schemas.openxmlformats.org/drawingml/2006/main">
                  <a:graphicData uri="http://schemas.microsoft.com/office/word/2010/wordprocessingShape">
                    <wps:wsp>
                      <wps:cNvSpPr txBox="1"/>
                      <wps:spPr>
                        <a:xfrm>
                          <a:off x="0" y="0"/>
                          <a:ext cx="3054350" cy="3157220"/>
                        </a:xfrm>
                        <a:prstGeom prst="rect"/>
                        <a:solidFill>
                          <a:srgbClr val="FFFFFF"/>
                        </a:solidFill>
                      </wps:spPr>
                      <wps:txbx>
                        <w:txbxContent>
                          <w:p>
                            <w:pPr>
                              <w:pStyle w:val="TextBody"/>
                              <w:bidi w:val="0"/>
                              <w:spacing w:lineRule="atLeast" w:line="240" w:before="0" w:after="0"/>
                              <w:ind w:left="760" w:right="0" w:hanging="0"/>
                              <w:jc w:val="both"/>
                              <w:rPr/>
                            </w:pPr>
                            <w:r>
                              <w:rPr>
                                <w:spacing w:val="-2"/>
                              </w:rPr>
                              <w:t>undertake up to three underwritten offerings, but no more than one underwritten offering during any 12-month period; and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20" w:after="0"/>
                              <w:ind w:left="760" w:right="0" w:hanging="0"/>
                              <w:jc w:val="both"/>
                              <w:rPr/>
                            </w:pPr>
                            <w:r>
                              <w:rPr>
                                <w:spacing w:val="-2"/>
                              </w:rPr>
                              <w:t>include shares of Company common stock held by them in any registration statement whenever the Company proposes to register shares of its common stock.</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spacing w:val="-2"/>
                              </w:rPr>
                            </w:pPr>
                            <w:r>
                              <w:rPr>
                                <w:spacing w:val="-2"/>
                              </w:rPr>
                              <w:t xml:space="preserve">The Company has agreed to pay all expenses, other than underwriting discounts and commissions, in connection with the registration rights agreement, including legal and accounting fees incurred by the Company, printing costs and the fees of one law firm for the selling stockholder. Additionally, the Company has </w:t>
                            </w:r>
                          </w:p>
                        </w:txbxContent>
                      </wps:txbx>
                      <wps:bodyPr anchor="t" lIns="0" tIns="0" rIns="0" bIns="0">
                        <a:noAutofit/>
                      </wps:bodyPr>
                    </wps:wsp>
                  </a:graphicData>
                </a:graphic>
              </wp:anchor>
            </w:drawing>
          </mc:Choice>
          <mc:Fallback>
            <w:pict>
              <v:rect style="position:absolute;rotation:-0;width:240.5pt;height:248.6pt;mso-wrap-distance-left:24pt;mso-wrap-distance-right:0pt;mso-wrap-distance-top:0pt;mso-wrap-distance-bottom:0pt;margin-top:0pt;mso-position-vertical:top;mso-position-vertical-relative:text;margin-left:288.5pt;mso-position-horizontal:left;mso-position-horizontal-relative:text">
                <v:textbox>
                  <w:txbxContent>
                    <w:p>
                      <w:pPr>
                        <w:pStyle w:val="TextBody"/>
                        <w:bidi w:val="0"/>
                        <w:spacing w:lineRule="atLeast" w:line="240" w:before="0" w:after="0"/>
                        <w:ind w:left="760" w:right="0" w:hanging="0"/>
                        <w:jc w:val="both"/>
                        <w:rPr/>
                      </w:pPr>
                      <w:r>
                        <w:rPr>
                          <w:spacing w:val="-2"/>
                        </w:rPr>
                        <w:t>undertake up to three underwritten offerings, but no more than one underwritten offering during any 12-month period; and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20" w:after="0"/>
                        <w:ind w:left="760" w:right="0" w:hanging="0"/>
                        <w:jc w:val="both"/>
                        <w:rPr/>
                      </w:pPr>
                      <w:r>
                        <w:rPr>
                          <w:spacing w:val="-2"/>
                        </w:rPr>
                        <w:t>include shares of Company common stock held by them in any registration statement whenever the Company proposes to register shares of its common stock.</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spacing w:val="-2"/>
                        </w:rPr>
                      </w:pPr>
                      <w:r>
                        <w:rPr>
                          <w:spacing w:val="-2"/>
                        </w:rPr>
                        <w:t xml:space="preserve">The Company has agreed to pay all expenses, other than underwriting discounts and commissions, in connection with the registration rights agreement, including legal and accounting fees incurred by the Company, printing costs and the fees of one law firm for the selling stockholder. Additionally, the Company has </w:t>
                      </w:r>
                    </w:p>
                  </w:txbxContent>
                </v:textbox>
                <w10:wrap type="square" side="right"/>
              </v:rect>
            </w:pict>
          </mc:Fallback>
        </mc:AlternateContent>
      </w:r>
      <w:r>
        <mc:AlternateContent>
          <mc:Choice Requires="wps">
            <w:drawing>
              <wp:anchor behindDoc="0" distT="76200" distB="0" distL="254000" distR="0" simplePos="0" locked="0" layoutInCell="1" allowOverlap="1" relativeHeight="350">
                <wp:simplePos x="0" y="0"/>
                <wp:positionH relativeFrom="column">
                  <wp:align>left</wp:align>
                </wp:positionH>
                <wp:positionV relativeFrom="line">
                  <wp:align>top</wp:align>
                </wp:positionV>
                <wp:extent cx="228600" cy="350520"/>
                <wp:effectExtent l="0" t="0" r="0" b="0"/>
                <wp:wrapSquare wrapText="right"/>
                <wp:docPr id="299" name="Frame21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352">
                <wp:simplePos x="0" y="0"/>
                <wp:positionH relativeFrom="column">
                  <wp:align>left</wp:align>
                </wp:positionH>
                <wp:positionV relativeFrom="line">
                  <wp:posOffset>635</wp:posOffset>
                </wp:positionV>
                <wp:extent cx="228600" cy="350520"/>
                <wp:effectExtent l="0" t="0" r="0" b="0"/>
                <wp:wrapSquare wrapText="right"/>
                <wp:docPr id="300" name="Frame22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254000" distR="0" simplePos="0" locked="0" layoutInCell="1" allowOverlap="1" relativeHeight="353">
                <wp:simplePos x="0" y="0"/>
                <wp:positionH relativeFrom="column">
                  <wp:align>left</wp:align>
                </wp:positionH>
                <wp:positionV relativeFrom="line">
                  <wp:align>top</wp:align>
                </wp:positionV>
                <wp:extent cx="228600" cy="350520"/>
                <wp:effectExtent l="0" t="0" r="0" b="0"/>
                <wp:wrapSquare wrapText="right"/>
                <wp:docPr id="301" name="Frame22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/ 29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PS2P"/>
      <w:bookmarkEnd w:id="44"/>
      <w:r>
        <w:rPr>
          <w:rFonts w:ascii="calibri;arial;sans-serif" w:hAnsi="calibri;arial;sans-serif"/>
          <w:b w:val="false"/>
          <w:i w:val="false"/>
          <w:caps w:val="false"/>
          <w:smallCaps w:val="false"/>
          <w:color w:val="000000"/>
          <w:sz w:val="16"/>
        </w:rPr>
        <w:t>​</w:t>
      </w:r>
      <w:bookmarkStart w:id="45" w:name="tSSAP"/>
      <w:bookmarkEnd w:id="45"/>
      <w:r>
        <w:rPr>
          <w:rFonts w:ascii="calibri;arial;sans-serif" w:hAnsi="calibri;arial;sans-serif"/>
          <w:b w:val="false"/>
          <w:i w:val="false"/>
          <w:caps w:val="false"/>
          <w:smallCaps w:val="false"/>
          <w:color w:val="000000"/>
          <w:sz w:val="16"/>
        </w:rPr>
        <w:t>​</w:t>
      </w:r>
      <w:bookmarkStart w:id="46" w:name="tPS2P1"/>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Related-Party Transactions and Certain Relationships</w:t>
      </w:r>
      <w:r>
        <w:rPr>
          <w:rFonts w:ascii="Arial;Helvetica;sans-serif" w:hAnsi="Arial;Helvetica;sans-serif"/>
          <w:b/>
          <w:i w:val="false"/>
          <w:caps w:val="false"/>
          <w:smallCaps w:val="false"/>
          <w:color w:val="7F7F7F"/>
          <w:spacing w:val="-3"/>
          <w:sz w:val="22"/>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354">
                <wp:simplePos x="0" y="0"/>
                <wp:positionH relativeFrom="column">
                  <wp:align>left</wp:align>
                </wp:positionH>
                <wp:positionV relativeFrom="line">
                  <wp:posOffset>635</wp:posOffset>
                </wp:positionV>
                <wp:extent cx="3055620" cy="9972040"/>
                <wp:effectExtent l="0" t="0" r="0" b="0"/>
                <wp:wrapSquare wrapText="right"/>
                <wp:docPr id="302" name="Frame222"/>
                <a:graphic xmlns:a="http://schemas.openxmlformats.org/drawingml/2006/main">
                  <a:graphicData uri="http://schemas.microsoft.com/office/word/2010/wordprocessingShape">
                    <wps:wsp>
                      <wps:cNvSpPr txBox="1"/>
                      <wps:spPr>
                        <a:xfrm>
                          <a:off x="0" y="0"/>
                          <a:ext cx="3055620" cy="9972040"/>
                        </a:xfrm>
                        <a:prstGeom prst="rect"/>
                        <a:solidFill>
                          <a:srgbClr val="FFFFFF"/>
                        </a:solidFill>
                      </wps:spPr>
                      <wps:txbx>
                        <w:txbxContent>
                          <w:p>
                            <w:pPr>
                              <w:pStyle w:val="TextBody"/>
                              <w:bidi w:val="0"/>
                              <w:spacing w:lineRule="atLeast" w:line="240" w:before="0" w:after="0"/>
                              <w:jc w:val="both"/>
                              <w:rPr/>
                            </w:pPr>
                            <w:r>
                              <w:rPr>
                                <w:spacing w:val="-2"/>
                              </w:rPr>
                              <w:t>agreed to indemnify these stockholders against certain liabilities, including liabilities under the federal securities laws.</w:t>
                            </w:r>
                            <w:r>
                              <w:rPr>
                                <w:spacing w:val="4"/>
                              </w:rPr>
                              <w:t xml:space="preserve"> </w:t>
                            </w:r>
                          </w:p>
                          <w:p>
                            <w:pPr>
                              <w:pStyle w:val="TextBody"/>
                              <w:bidi w:val="0"/>
                              <w:spacing w:lineRule="atLeast" w:line="340" w:before="240" w:after="283"/>
                              <w:jc w:val="left"/>
                              <w:rPr>
                                <w:b/>
                                <w:color w:val="7F7F7F"/>
                                <w:sz w:val="30"/>
                              </w:rPr>
                            </w:pPr>
                            <w:r>
                              <w:rPr>
                                <w:b/>
                                <w:color w:val="7F7F7F"/>
                                <w:spacing w:val="-1"/>
                                <w:sz w:val="30"/>
                              </w:rPr>
                              <w:t xml:space="preserve">Pershing Square 2020 Purchase of Common Stock; DGCL </w:t>
                            </w:r>
                            <w:r>
                              <w:rPr>
                                <w:b/>
                                <w:color w:val="7F7F7F"/>
                                <w:spacing w:val="-4"/>
                                <w:sz w:val="30"/>
                              </w:rPr>
                              <w:t>§</w:t>
                            </w:r>
                            <w:r>
                              <w:rPr>
                                <w:b/>
                                <w:color w:val="7F7F7F"/>
                                <w:spacing w:val="-1"/>
                                <w:sz w:val="30"/>
                              </w:rPr>
                              <w:t>203 Waiver</w:t>
                            </w:r>
                            <w:r>
                              <w:rPr>
                                <w:b/>
                                <w:color w:val="000000"/>
                                <w:spacing w:val="6"/>
                                <w:sz w:val="30"/>
                              </w:rPr>
                              <w:t xml:space="preserve"> </w:t>
                            </w:r>
                          </w:p>
                          <w:p>
                            <w:pPr>
                              <w:pStyle w:val="TextBody"/>
                              <w:bidi w:val="0"/>
                              <w:spacing w:lineRule="atLeast" w:line="240" w:before="240" w:after="283"/>
                              <w:jc w:val="both"/>
                              <w:rPr/>
                            </w:pPr>
                            <w:r>
                              <w:rPr>
                                <w:spacing w:val="-2"/>
                              </w:rPr>
                              <w:t>On March 27, 2020, the Company offered 2,000,000 shares of common stock to the public at $50.00 per share and granted the underwriters an option to purchase up to an additional 300,000 shares of common stock at the same price. The underwriters partially exercised their option and purchased an additional 270,900 shares. Concurrently, the Company entered into a purchase agreement with PSCM, acting as investment advisor to funds that it manages, including Pershing Square Holdings, Ltd., Pershing Square International, Ltd., and Pershing Square, L.P. (collectively, the “Pershing Square Funds”), pursuant to which the Pershing Square Funds agreed to purchase, at the same price as the public offering price and at the same time as the closing of the offering, an aggregate of 10,000,000 shares of the Company’s common stock (the “2020 Pershing Square Stock Purchase Agreement”). Prior to execution and in accordance with the Company’s Related-Party Transaction Policy, the Audit Committee reviewed and approved the 2020 Pershing Square Stock Purchase Agreement.</w:t>
                            </w:r>
                            <w:r>
                              <w:rPr>
                                <w:spacing w:val="4"/>
                              </w:rPr>
                              <w:t xml:space="preserve"> </w:t>
                            </w:r>
                          </w:p>
                          <w:p>
                            <w:pPr>
                              <w:pStyle w:val="TextBody"/>
                              <w:bidi w:val="0"/>
                              <w:spacing w:lineRule="atLeast" w:line="240" w:before="160" w:after="283"/>
                              <w:jc w:val="both"/>
                              <w:rPr/>
                            </w:pPr>
                            <w:r>
                              <w:rPr>
                                <w:spacing w:val="-2"/>
                              </w:rPr>
                              <w:t>In addition, we are a Delaware corporation, and Section 203 of the Delaware General Corporation Law (“DGCL”) applies to the Company. In general, Section 203 prevents an interested stockholder from engaging in certain business combinations with us for three years following the date that person becomes an interested stockholder subject to certain exceptions. The statute generally defines interested stockholder as any person that is the owner of 15% or more of the outstanding voting stock or is our affiliate or associate and was the owner of 15% or more of outstanding voting stock at any time within the three-year period immediately before the date of determination.</w:t>
                            </w:r>
                            <w:r>
                              <w:rPr>
                                <w:spacing w:val="4"/>
                              </w:rPr>
                              <w:t xml:space="preserve"> </w:t>
                            </w:r>
                          </w:p>
                          <w:p>
                            <w:pPr>
                              <w:pStyle w:val="TextBody"/>
                              <w:bidi w:val="0"/>
                              <w:spacing w:lineRule="atLeast" w:line="240" w:before="160" w:after="283"/>
                              <w:jc w:val="both"/>
                              <w:rPr/>
                            </w:pPr>
                            <w:r>
                              <w:rPr>
                                <w:spacing w:val="-2"/>
                              </w:rPr>
                              <w:t>In connection with the 2020 purchase of the Company’s common stock, the Board amended the Company’s Corporate Governance Guidelines to reflect that it would grant a waiver of the applicability of Section 203 of the DGCL to any stockholder acquiring up to 40% of the Company’s outstanding voting stock upon the request of such stockholder, subject to the Board’s fiduciary duties and applicable law.</w:t>
                            </w:r>
                            <w:r>
                              <w:rPr>
                                <w:spacing w:val="4"/>
                              </w:rPr>
                              <w:t xml:space="preserve"> </w:t>
                            </w:r>
                          </w:p>
                          <w:p>
                            <w:pPr>
                              <w:pStyle w:val="TextBody"/>
                              <w:bidi w:val="0"/>
                              <w:spacing w:lineRule="atLeast" w:line="240" w:before="160" w:after="283"/>
                              <w:jc w:val="both"/>
                              <w:rPr>
                                <w:spacing w:val="-2"/>
                              </w:rPr>
                            </w:pPr>
                            <w:r>
                              <w:rPr>
                                <w:spacing w:val="-2"/>
                              </w:rPr>
                              <w:t xml:space="preserve">In connection with the 2020 Pershing Square Stock Purchase Agreement, the Board (excluding Mr. Ackman </w:t>
                            </w:r>
                          </w:p>
                        </w:txbxContent>
                      </wps:txbx>
                      <wps:bodyPr anchor="t" lIns="0" tIns="0" rIns="0" bIns="0">
                        <a:noAutofit/>
                      </wps:bodyPr>
                    </wps:wsp>
                  </a:graphicData>
                </a:graphic>
              </wp:anchor>
            </w:drawing>
          </mc:Choice>
          <mc:Fallback>
            <w:pict>
              <v:rect style="position:absolute;rotation:-0;width:240.6pt;height:785.2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jc w:val="both"/>
                        <w:rPr/>
                      </w:pPr>
                      <w:r>
                        <w:rPr>
                          <w:spacing w:val="-2"/>
                        </w:rPr>
                        <w:t>agreed to indemnify these stockholders against certain liabilities, including liabilities under the federal securities laws.</w:t>
                      </w:r>
                      <w:r>
                        <w:rPr>
                          <w:spacing w:val="4"/>
                        </w:rPr>
                        <w:t xml:space="preserve"> </w:t>
                      </w:r>
                    </w:p>
                    <w:p>
                      <w:pPr>
                        <w:pStyle w:val="TextBody"/>
                        <w:bidi w:val="0"/>
                        <w:spacing w:lineRule="atLeast" w:line="340" w:before="240" w:after="283"/>
                        <w:jc w:val="left"/>
                        <w:rPr>
                          <w:b/>
                          <w:color w:val="7F7F7F"/>
                          <w:sz w:val="30"/>
                        </w:rPr>
                      </w:pPr>
                      <w:r>
                        <w:rPr>
                          <w:b/>
                          <w:color w:val="7F7F7F"/>
                          <w:spacing w:val="-1"/>
                          <w:sz w:val="30"/>
                        </w:rPr>
                        <w:t xml:space="preserve">Pershing Square 2020 Purchase of Common Stock; DGCL </w:t>
                      </w:r>
                      <w:r>
                        <w:rPr>
                          <w:b/>
                          <w:color w:val="7F7F7F"/>
                          <w:spacing w:val="-4"/>
                          <w:sz w:val="30"/>
                        </w:rPr>
                        <w:t>§</w:t>
                      </w:r>
                      <w:r>
                        <w:rPr>
                          <w:b/>
                          <w:color w:val="7F7F7F"/>
                          <w:spacing w:val="-1"/>
                          <w:sz w:val="30"/>
                        </w:rPr>
                        <w:t>203 Waiver</w:t>
                      </w:r>
                      <w:r>
                        <w:rPr>
                          <w:b/>
                          <w:color w:val="000000"/>
                          <w:spacing w:val="6"/>
                          <w:sz w:val="30"/>
                        </w:rPr>
                        <w:t xml:space="preserve"> </w:t>
                      </w:r>
                    </w:p>
                    <w:p>
                      <w:pPr>
                        <w:pStyle w:val="TextBody"/>
                        <w:bidi w:val="0"/>
                        <w:spacing w:lineRule="atLeast" w:line="240" w:before="240" w:after="283"/>
                        <w:jc w:val="both"/>
                        <w:rPr/>
                      </w:pPr>
                      <w:r>
                        <w:rPr>
                          <w:spacing w:val="-2"/>
                        </w:rPr>
                        <w:t>On March 27, 2020, the Company offered 2,000,000 shares of common stock to the public at $50.00 per share and granted the underwriters an option to purchase up to an additional 300,000 shares of common stock at the same price. The underwriters partially exercised their option and purchased an additional 270,900 shares. Concurrently, the Company entered into a purchase agreement with PSCM, acting as investment advisor to funds that it manages, including Pershing Square Holdings, Ltd., Pershing Square International, Ltd., and Pershing Square, L.P. (collectively, the “Pershing Square Funds”), pursuant to which the Pershing Square Funds agreed to purchase, at the same price as the public offering price and at the same time as the closing of the offering, an aggregate of 10,000,000 shares of the Company’s common stock (the “2020 Pershing Square Stock Purchase Agreement”). Prior to execution and in accordance with the Company’s Related-Party Transaction Policy, the Audit Committee reviewed and approved the 2020 Pershing Square Stock Purchase Agreement.</w:t>
                      </w:r>
                      <w:r>
                        <w:rPr>
                          <w:spacing w:val="4"/>
                        </w:rPr>
                        <w:t xml:space="preserve"> </w:t>
                      </w:r>
                    </w:p>
                    <w:p>
                      <w:pPr>
                        <w:pStyle w:val="TextBody"/>
                        <w:bidi w:val="0"/>
                        <w:spacing w:lineRule="atLeast" w:line="240" w:before="160" w:after="283"/>
                        <w:jc w:val="both"/>
                        <w:rPr/>
                      </w:pPr>
                      <w:r>
                        <w:rPr>
                          <w:spacing w:val="-2"/>
                        </w:rPr>
                        <w:t>In addition, we are a Delaware corporation, and Section 203 of the Delaware General Corporation Law (“DGCL”) applies to the Company. In general, Section 203 prevents an interested stockholder from engaging in certain business combinations with us for three years following the date that person becomes an interested stockholder subject to certain exceptions. The statute generally defines interested stockholder as any person that is the owner of 15% or more of the outstanding voting stock or is our affiliate or associate and was the owner of 15% or more of outstanding voting stock at any time within the three-year period immediately before the date of determination.</w:t>
                      </w:r>
                      <w:r>
                        <w:rPr>
                          <w:spacing w:val="4"/>
                        </w:rPr>
                        <w:t xml:space="preserve"> </w:t>
                      </w:r>
                    </w:p>
                    <w:p>
                      <w:pPr>
                        <w:pStyle w:val="TextBody"/>
                        <w:bidi w:val="0"/>
                        <w:spacing w:lineRule="atLeast" w:line="240" w:before="160" w:after="283"/>
                        <w:jc w:val="both"/>
                        <w:rPr/>
                      </w:pPr>
                      <w:r>
                        <w:rPr>
                          <w:spacing w:val="-2"/>
                        </w:rPr>
                        <w:t>In connection with the 2020 purchase of the Company’s common stock, the Board amended the Company’s Corporate Governance Guidelines to reflect that it would grant a waiver of the applicability of Section 203 of the DGCL to any stockholder acquiring up to 40% of the Company’s outstanding voting stock upon the request of such stockholder, subject to the Board’s fiduciary duties and applicable law.</w:t>
                      </w:r>
                      <w:r>
                        <w:rPr>
                          <w:spacing w:val="4"/>
                        </w:rPr>
                        <w:t xml:space="preserve"> </w:t>
                      </w:r>
                    </w:p>
                    <w:p>
                      <w:pPr>
                        <w:pStyle w:val="TextBody"/>
                        <w:bidi w:val="0"/>
                        <w:spacing w:lineRule="atLeast" w:line="240" w:before="160" w:after="283"/>
                        <w:jc w:val="both"/>
                        <w:rPr>
                          <w:spacing w:val="-2"/>
                        </w:rPr>
                      </w:pPr>
                      <w:r>
                        <w:rPr>
                          <w:spacing w:val="-2"/>
                        </w:rPr>
                        <w:t xml:space="preserve">In connection with the 2020 Pershing Square Stock Purchase Agreement, the Board (excluding Mr. Ackman </w:t>
                      </w:r>
                    </w:p>
                  </w:txbxContent>
                </v:textbox>
                <w10:wrap type="square" side="right"/>
              </v:rect>
            </w:pict>
          </mc:Fallback>
        </mc:AlternateContent>
      </w:r>
      <w:r>
        <mc:AlternateContent>
          <mc:Choice Requires="wps">
            <w:drawing>
              <wp:anchor behindDoc="0" distT="0" distB="0" distL="304800" distR="0" simplePos="0" locked="0" layoutInCell="1" allowOverlap="1" relativeHeight="355">
                <wp:simplePos x="0" y="0"/>
                <wp:positionH relativeFrom="column">
                  <wp:align>left</wp:align>
                </wp:positionH>
                <wp:positionV relativeFrom="line">
                  <wp:posOffset>635</wp:posOffset>
                </wp:positionV>
                <wp:extent cx="3055620" cy="9972040"/>
                <wp:effectExtent l="0" t="0" r="0" b="0"/>
                <wp:wrapSquare wrapText="right"/>
                <wp:docPr id="303" name="Frame223"/>
                <a:graphic xmlns:a="http://schemas.openxmlformats.org/drawingml/2006/main">
                  <a:graphicData uri="http://schemas.microsoft.com/office/word/2010/wordprocessingShape">
                    <wps:wsp>
                      <wps:cNvSpPr txBox="1"/>
                      <wps:spPr>
                        <a:xfrm>
                          <a:off x="0" y="0"/>
                          <a:ext cx="3055620" cy="9972040"/>
                        </a:xfrm>
                        <a:prstGeom prst="rect"/>
                        <a:solidFill>
                          <a:srgbClr val="FFFFFF"/>
                        </a:solidFill>
                      </wps:spPr>
                      <wps:txbx>
                        <w:txbxContent>
                          <w:p>
                            <w:pPr>
                              <w:pStyle w:val="TextBody"/>
                              <w:bidi w:val="0"/>
                              <w:spacing w:lineRule="atLeast" w:line="240" w:before="0" w:after="0"/>
                              <w:jc w:val="both"/>
                              <w:rPr/>
                            </w:pPr>
                            <w:r>
                              <w:rPr>
                                <w:spacing w:val="-2"/>
                              </w:rPr>
                              <w:t>(then Chairman of the Company and CEO of PSCM) and Allen Model (then director of the Company and Pershing Square advisory board member)) unanimously approved the foregoing transactions and a waiver of the applicability of the provisions of Section 203 of the DGCL to the Pershing Square Funds and Mr. Ackman.</w:t>
                            </w:r>
                            <w:r>
                              <w:rPr>
                                <w:spacing w:val="4"/>
                              </w:rPr>
                              <w:t xml:space="preserve"> </w:t>
                            </w:r>
                          </w:p>
                          <w:p>
                            <w:pPr>
                              <w:pStyle w:val="TextBody"/>
                              <w:bidi w:val="0"/>
                              <w:spacing w:lineRule="atLeast" w:line="340" w:before="240" w:after="283"/>
                              <w:jc w:val="left"/>
                              <w:rPr>
                                <w:b/>
                                <w:color w:val="7F7F7F"/>
                                <w:sz w:val="30"/>
                              </w:rPr>
                            </w:pPr>
                            <w:r>
                              <w:rPr>
                                <w:b/>
                                <w:color w:val="7F7F7F"/>
                                <w:spacing w:val="-1"/>
                                <w:sz w:val="30"/>
                              </w:rPr>
                              <w:t>SEG Spinoff and Pershing Square Standby Purchase Agreement</w:t>
                            </w:r>
                            <w:r>
                              <w:rPr>
                                <w:b/>
                                <w:color w:val="000000"/>
                                <w:spacing w:val="6"/>
                                <w:sz w:val="30"/>
                              </w:rPr>
                              <w:t xml:space="preserve"> </w:t>
                            </w:r>
                          </w:p>
                          <w:p>
                            <w:pPr>
                              <w:pStyle w:val="TextBody"/>
                              <w:bidi w:val="0"/>
                              <w:spacing w:lineRule="atLeast" w:line="240" w:before="240" w:after="283"/>
                              <w:jc w:val="both"/>
                              <w:rPr/>
                            </w:pPr>
                            <w:r>
                              <w:rPr>
                                <w:spacing w:val="-2"/>
                              </w:rPr>
                              <w:t>In connection with the spinoff of Seaport Entertainment Group Inc. (“SEG”) and a subsequent rights offering, whereby SEG distributed to holders of its common stock transferable subscription rights to purchase, on a pro rata basis up to an aggregate of 7,000,000 shares of SEG common stock at a cash subscription price of $25 per whole share (the “SEG Rights Offering”), PSCM entered into a standby purchase agreement (the “Standby Purchase Agreement”) with HHH and SEG on July 18, 2024, pursuant to which funds advised by PSCM agreed to exercise (i) their pro rata subscription rights with respect to the SEG Rights Offering and (ii) their over-subscription right with respect to any and all shares that were otherwise not purchased in the SEG Rights Offering upon the expiration thereof at the SEG Rights Offering price of up to $175 million in the aggregate. The spinoff of SEG and the Standby Purchase Agreement were each approved by a special committee of the Board consisting solely of independent directors with no conflicts of interest with respect to PSCM.</w:t>
                            </w:r>
                            <w:r>
                              <w:rPr>
                                <w:spacing w:val="4"/>
                              </w:rPr>
                              <w:t xml:space="preserve"> </w:t>
                            </w:r>
                          </w:p>
                          <w:p>
                            <w:pPr>
                              <w:pStyle w:val="TextBody"/>
                              <w:bidi w:val="0"/>
                              <w:spacing w:lineRule="atLeast" w:line="340" w:before="240" w:after="283"/>
                              <w:jc w:val="left"/>
                              <w:rPr>
                                <w:b/>
                                <w:color w:val="7F7F7F"/>
                                <w:sz w:val="30"/>
                              </w:rPr>
                            </w:pPr>
                            <w:r>
                              <w:rPr>
                                <w:b/>
                                <w:color w:val="7F7F7F"/>
                                <w:spacing w:val="-1"/>
                                <w:sz w:val="30"/>
                              </w:rPr>
                              <w:t>Pershing Square 2025 Purchase of Common Stock</w:t>
                            </w:r>
                            <w:r>
                              <w:rPr>
                                <w:b/>
                                <w:color w:val="000000"/>
                                <w:spacing w:val="6"/>
                                <w:sz w:val="30"/>
                              </w:rPr>
                              <w:t xml:space="preserve"> </w:t>
                            </w:r>
                          </w:p>
                          <w:p>
                            <w:pPr>
                              <w:pStyle w:val="TextBody"/>
                              <w:bidi w:val="0"/>
                              <w:spacing w:lineRule="atLeast" w:line="240" w:before="240" w:after="283"/>
                              <w:jc w:val="both"/>
                              <w:rPr/>
                            </w:pPr>
                            <w:r>
                              <w:rPr>
                                <w:spacing w:val="-2"/>
                              </w:rPr>
                              <w:t>On May 5, 2025, the Company entered into a Share Purchase Agreement (the “2025 Pershing Square Stock Purchase Agreement”), by and between the Company and PS Inc.</w:t>
                            </w:r>
                            <w:r>
                              <w:rPr>
                                <w:spacing w:val="4"/>
                              </w:rPr>
                              <w:t xml:space="preserve"> </w:t>
                            </w:r>
                          </w:p>
                          <w:p>
                            <w:pPr>
                              <w:pStyle w:val="TextBody"/>
                              <w:bidi w:val="0"/>
                              <w:spacing w:lineRule="atLeast" w:line="240" w:before="160" w:after="283"/>
                              <w:jc w:val="both"/>
                              <w:rPr>
                                <w:spacing w:val="-2"/>
                              </w:rPr>
                            </w:pPr>
                            <w:r>
                              <w:rPr>
                                <w:spacing w:val="-2"/>
                              </w:rPr>
                              <w:t xml:space="preserve">Pursuant to the 2025 Pershing Square Stock Purchase Agreement, the Company sold to PS Inc. (f/ka Pershing Square Holdco, L.P.) 9,000,000 shares of the Company’s common stock at a purchase price of $100 per share, for an aggregate purchase price of $900,000,000 (the “Purchased Shares”). The sale of the Purchased Shares closed on May 5, 2025 (the “Closing Date”). The 2025 Pershing Square Stock Purchase Agreement includes customary representations, warranties and covenants by the Company and PS Inc. The Company also agreed to </w:t>
                            </w:r>
                          </w:p>
                        </w:txbxContent>
                      </wps:txbx>
                      <wps:bodyPr anchor="t" lIns="0" tIns="0" rIns="0" bIns="0">
                        <a:noAutofit/>
                      </wps:bodyPr>
                    </wps:wsp>
                  </a:graphicData>
                </a:graphic>
              </wp:anchor>
            </w:drawing>
          </mc:Choice>
          <mc:Fallback>
            <w:pict>
              <v:rect style="position:absolute;rotation:-0;width:240.6pt;height:785.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jc w:val="both"/>
                        <w:rPr/>
                      </w:pPr>
                      <w:r>
                        <w:rPr>
                          <w:spacing w:val="-2"/>
                        </w:rPr>
                        <w:t>(then Chairman of the Company and CEO of PSCM) and Allen Model (then director of the Company and Pershing Square advisory board member)) unanimously approved the foregoing transactions and a waiver of the applicability of the provisions of Section 203 of the DGCL to the Pershing Square Funds and Mr. Ackman.</w:t>
                      </w:r>
                      <w:r>
                        <w:rPr>
                          <w:spacing w:val="4"/>
                        </w:rPr>
                        <w:t xml:space="preserve"> </w:t>
                      </w:r>
                    </w:p>
                    <w:p>
                      <w:pPr>
                        <w:pStyle w:val="TextBody"/>
                        <w:bidi w:val="0"/>
                        <w:spacing w:lineRule="atLeast" w:line="340" w:before="240" w:after="283"/>
                        <w:jc w:val="left"/>
                        <w:rPr>
                          <w:b/>
                          <w:color w:val="7F7F7F"/>
                          <w:sz w:val="30"/>
                        </w:rPr>
                      </w:pPr>
                      <w:r>
                        <w:rPr>
                          <w:b/>
                          <w:color w:val="7F7F7F"/>
                          <w:spacing w:val="-1"/>
                          <w:sz w:val="30"/>
                        </w:rPr>
                        <w:t>SEG Spinoff and Pershing Square Standby Purchase Agreement</w:t>
                      </w:r>
                      <w:r>
                        <w:rPr>
                          <w:b/>
                          <w:color w:val="000000"/>
                          <w:spacing w:val="6"/>
                          <w:sz w:val="30"/>
                        </w:rPr>
                        <w:t xml:space="preserve"> </w:t>
                      </w:r>
                    </w:p>
                    <w:p>
                      <w:pPr>
                        <w:pStyle w:val="TextBody"/>
                        <w:bidi w:val="0"/>
                        <w:spacing w:lineRule="atLeast" w:line="240" w:before="240" w:after="283"/>
                        <w:jc w:val="both"/>
                        <w:rPr/>
                      </w:pPr>
                      <w:r>
                        <w:rPr>
                          <w:spacing w:val="-2"/>
                        </w:rPr>
                        <w:t>In connection with the spinoff of Seaport Entertainment Group Inc. (“SEG”) and a subsequent rights offering, whereby SEG distributed to holders of its common stock transferable subscription rights to purchase, on a pro rata basis up to an aggregate of 7,000,000 shares of SEG common stock at a cash subscription price of $25 per whole share (the “SEG Rights Offering”), PSCM entered into a standby purchase agreement (the “Standby Purchase Agreement”) with HHH and SEG on July 18, 2024, pursuant to which funds advised by PSCM agreed to exercise (i) their pro rata subscription rights with respect to the SEG Rights Offering and (ii) their over-subscription right with respect to any and all shares that were otherwise not purchased in the SEG Rights Offering upon the expiration thereof at the SEG Rights Offering price of up to $175 million in the aggregate. The spinoff of SEG and the Standby Purchase Agreement were each approved by a special committee of the Board consisting solely of independent directors with no conflicts of interest with respect to PSCM.</w:t>
                      </w:r>
                      <w:r>
                        <w:rPr>
                          <w:spacing w:val="4"/>
                        </w:rPr>
                        <w:t xml:space="preserve"> </w:t>
                      </w:r>
                    </w:p>
                    <w:p>
                      <w:pPr>
                        <w:pStyle w:val="TextBody"/>
                        <w:bidi w:val="0"/>
                        <w:spacing w:lineRule="atLeast" w:line="340" w:before="240" w:after="283"/>
                        <w:jc w:val="left"/>
                        <w:rPr>
                          <w:b/>
                          <w:color w:val="7F7F7F"/>
                          <w:sz w:val="30"/>
                        </w:rPr>
                      </w:pPr>
                      <w:r>
                        <w:rPr>
                          <w:b/>
                          <w:color w:val="7F7F7F"/>
                          <w:spacing w:val="-1"/>
                          <w:sz w:val="30"/>
                        </w:rPr>
                        <w:t>Pershing Square 2025 Purchase of Common Stock</w:t>
                      </w:r>
                      <w:r>
                        <w:rPr>
                          <w:b/>
                          <w:color w:val="000000"/>
                          <w:spacing w:val="6"/>
                          <w:sz w:val="30"/>
                        </w:rPr>
                        <w:t xml:space="preserve"> </w:t>
                      </w:r>
                    </w:p>
                    <w:p>
                      <w:pPr>
                        <w:pStyle w:val="TextBody"/>
                        <w:bidi w:val="0"/>
                        <w:spacing w:lineRule="atLeast" w:line="240" w:before="240" w:after="283"/>
                        <w:jc w:val="both"/>
                        <w:rPr/>
                      </w:pPr>
                      <w:r>
                        <w:rPr>
                          <w:spacing w:val="-2"/>
                        </w:rPr>
                        <w:t>On May 5, 2025, the Company entered into a Share Purchase Agreement (the “2025 Pershing Square Stock Purchase Agreement”), by and between the Company and PS Inc.</w:t>
                      </w:r>
                      <w:r>
                        <w:rPr>
                          <w:spacing w:val="4"/>
                        </w:rPr>
                        <w:t xml:space="preserve"> </w:t>
                      </w:r>
                    </w:p>
                    <w:p>
                      <w:pPr>
                        <w:pStyle w:val="TextBody"/>
                        <w:bidi w:val="0"/>
                        <w:spacing w:lineRule="atLeast" w:line="240" w:before="160" w:after="283"/>
                        <w:jc w:val="both"/>
                        <w:rPr>
                          <w:spacing w:val="-2"/>
                        </w:rPr>
                      </w:pPr>
                      <w:r>
                        <w:rPr>
                          <w:spacing w:val="-2"/>
                        </w:rPr>
                        <w:t xml:space="preserve">Pursuant to the 2025 Pershing Square Stock Purchase Agreement, the Company sold to PS Inc. (f/ka Pershing Square Holdco, L.P.) 9,000,000 shares of the Company’s common stock at a purchase price of $100 per share, for an aggregate purchase price of $900,000,000 (the “Purchased Shares”). The sale of the Purchased Shares closed on May 5, 2025 (the “Closing Date”). The 2025 Pershing Square Stock Purchase Agreement includes customary representations, warranties and covenants by the Company and PS Inc. The Company also agreed to </w:t>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30 \ 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Related-Party Transactions and Certain Relationships</w:t>
      </w:r>
      <w:r>
        <w:rPr>
          <w:rFonts w:ascii="Arial;Helvetica;sans-serif" w:hAnsi="Arial;Helvetica;sans-serif"/>
          <w:b/>
          <w:i w:val="false"/>
          <w:caps w:val="false"/>
          <w:smallCaps w:val="false"/>
          <w:color w:val="7F7F7F"/>
          <w:sz w:val="22"/>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356">
                <wp:simplePos x="0" y="0"/>
                <wp:positionH relativeFrom="column">
                  <wp:align>left</wp:align>
                </wp:positionH>
                <wp:positionV relativeFrom="line">
                  <wp:posOffset>635</wp:posOffset>
                </wp:positionV>
                <wp:extent cx="3055620" cy="9972040"/>
                <wp:effectExtent l="0" t="0" r="0" b="0"/>
                <wp:wrapSquare wrapText="right"/>
                <wp:docPr id="304" name="Frame224"/>
                <a:graphic xmlns:a="http://schemas.openxmlformats.org/drawingml/2006/main">
                  <a:graphicData uri="http://schemas.microsoft.com/office/word/2010/wordprocessingShape">
                    <wps:wsp>
                      <wps:cNvSpPr txBox="1"/>
                      <wps:spPr>
                        <a:xfrm>
                          <a:off x="0" y="0"/>
                          <a:ext cx="3055620" cy="9972040"/>
                        </a:xfrm>
                        <a:prstGeom prst="rect"/>
                        <a:solidFill>
                          <a:srgbClr val="FFFFFF"/>
                        </a:solidFill>
                      </wps:spPr>
                      <wps:txbx>
                        <w:txbxContent>
                          <w:p>
                            <w:pPr>
                              <w:pStyle w:val="TextBody"/>
                              <w:bidi w:val="0"/>
                              <w:spacing w:lineRule="atLeast" w:line="240" w:before="0" w:after="0"/>
                              <w:jc w:val="both"/>
                              <w:rPr/>
                            </w:pPr>
                            <w:r>
                              <w:rPr>
                                <w:spacing w:val="-2"/>
                              </w:rPr>
                              <w:t>reimburse reasonable and documented expenses of PS Inc. and its affiliates in connection with the negotiation and execution of the Transaction Documents (defined below) in an amount not to exceed $25 million. The Company expects to use the proceeds from the sale of the Purchased Shares to acquire or make investments in operating companies as part of the Company’s new strategy of becoming a diversified holding company.</w:t>
                            </w:r>
                            <w:r>
                              <w:rPr>
                                <w:spacing w:val="4"/>
                              </w:rPr>
                              <w:t xml:space="preserve"> </w:t>
                            </w:r>
                          </w:p>
                          <w:p>
                            <w:pPr>
                              <w:pStyle w:val="TextBody"/>
                              <w:bidi w:val="0"/>
                              <w:spacing w:lineRule="atLeast" w:line="240" w:before="160" w:after="283"/>
                              <w:jc w:val="both"/>
                              <w:rPr/>
                            </w:pPr>
                            <w:r>
                              <w:rPr>
                                <w:spacing w:val="-2"/>
                              </w:rPr>
                              <w:t>In connection with the 2025 Pershing Square Stock Purchase Agreement, the Company also entered into the following agreements:</w:t>
                            </w:r>
                            <w:r>
                              <w:rPr>
                                <w:spacing w:val="4"/>
                              </w:rPr>
                              <w:t xml:space="preserve"> </w:t>
                            </w:r>
                          </w:p>
                          <w:p>
                            <w:pPr>
                              <w:pStyle w:val="TextBody"/>
                              <w:bidi w:val="0"/>
                              <w:spacing w:lineRule="atLeast" w:line="240" w:before="240" w:after="283"/>
                              <w:jc w:val="left"/>
                              <w:rPr>
                                <w:b/>
                                <w:i/>
                              </w:rPr>
                            </w:pPr>
                            <w:r>
                              <w:rPr>
                                <w:b/>
                                <w:i/>
                              </w:rPr>
                              <w:t>Services Agreement</w:t>
                            </w:r>
                            <w:r>
                              <w:rPr>
                                <w:b/>
                                <w:i/>
                                <w:caps w:val="false"/>
                                <w:smallCaps w:val="false"/>
                                <w:spacing w:val="4"/>
                              </w:rPr>
                              <w:t xml:space="preserve"> </w:t>
                            </w:r>
                          </w:p>
                          <w:p>
                            <w:pPr>
                              <w:pStyle w:val="TextBody"/>
                              <w:bidi w:val="0"/>
                              <w:spacing w:lineRule="atLeast" w:line="240" w:before="240" w:after="283"/>
                              <w:jc w:val="both"/>
                              <w:rPr/>
                            </w:pPr>
                            <w:r>
                              <w:rPr>
                                <w:spacing w:val="-2"/>
                              </w:rPr>
                              <w:t>Pursuant to the terms of the Services Agreement, dated May 5, 2025, between the Company and PSCM, PSCM will support the Company’s new diversified holding company strategy by providing services to the Company, such as (i) investment advisory services, (ii) making recommendations with respect to hedging, balance sheet optimization and capital allocation, (iii) executing transactions, (iv) assisting the Company with business and corporate development functions, (v) making voting recommendations for the Company’s investments, (vi) assisting with and advising on fundraising, (vii) monitoring operations of the Company and its investments, subject to the day-to-day authority and responsibility of management of the Company, (viii) providing recommendations for persons to serve as designees or deputies of the Chief Investment Officer, (ix) engaging and supervising third-party service providers, (x) making dividend payment recommendations, and (xi) providing other services as may be agreed upon.</w:t>
                            </w:r>
                            <w:r>
                              <w:rPr>
                                <w:spacing w:val="4"/>
                              </w:rPr>
                              <w:t xml:space="preserve"> </w:t>
                            </w:r>
                          </w:p>
                          <w:p>
                            <w:pPr>
                              <w:pStyle w:val="TextBody"/>
                              <w:bidi w:val="0"/>
                              <w:spacing w:lineRule="atLeast" w:line="240" w:before="160" w:after="283"/>
                              <w:jc w:val="both"/>
                              <w:rPr/>
                            </w:pPr>
                            <w:r>
                              <w:rPr>
                                <w:spacing w:val="-2"/>
                              </w:rPr>
                              <w:t>The Company pays PSCM a quarterly base fee of $3,750,000 and a quarterly variable fee equal to 0.375% of the excess value of the quarter-end stock price of the Company’s common stock minus the reference price of $66.1453, multiplied by existing share count of 59,393,938 shares, which share count will not increase with the issuance of new shares of common stock. The base fee and the reference share price are subject to annual adjustment based on the Core PCE Price Index. The base fee and the variable fee will each be paid to PSCM quarterly.</w:t>
                            </w:r>
                            <w:r>
                              <w:rPr>
                                <w:spacing w:val="4"/>
                              </w:rPr>
                              <w:t xml:space="preserve"> </w:t>
                            </w:r>
                          </w:p>
                          <w:p>
                            <w:pPr>
                              <w:pStyle w:val="TextBody"/>
                              <w:bidi w:val="0"/>
                              <w:spacing w:lineRule="atLeast" w:line="240" w:before="160" w:after="283"/>
                              <w:jc w:val="both"/>
                              <w:rPr/>
                            </w:pPr>
                            <w:r>
                              <w:rPr>
                                <w:spacing w:val="-2"/>
                              </w:rPr>
                              <w:t>The Services Agreement has an initial ten (10) year term and will have successive renewal terms of ten (10) years unless either party terminates or elects not to renew the Services Agreement in accordance with the terms of the Services Agreement.</w:t>
                            </w:r>
                            <w:r>
                              <w:rPr>
                                <w:spacing w:val="4"/>
                              </w:rPr>
                              <w:t xml:space="preserve"> </w:t>
                            </w:r>
                          </w:p>
                        </w:txbxContent>
                      </wps:txbx>
                      <wps:bodyPr anchor="t" lIns="0" tIns="0" rIns="0" bIns="0">
                        <a:noAutofit/>
                      </wps:bodyPr>
                    </wps:wsp>
                  </a:graphicData>
                </a:graphic>
              </wp:anchor>
            </w:drawing>
          </mc:Choice>
          <mc:Fallback>
            <w:pict>
              <v:rect style="position:absolute;rotation:-0;width:240.6pt;height:785.2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jc w:val="both"/>
                        <w:rPr/>
                      </w:pPr>
                      <w:r>
                        <w:rPr>
                          <w:spacing w:val="-2"/>
                        </w:rPr>
                        <w:t>reimburse reasonable and documented expenses of PS Inc. and its affiliates in connection with the negotiation and execution of the Transaction Documents (defined below) in an amount not to exceed $25 million. The Company expects to use the proceeds from the sale of the Purchased Shares to acquire or make investments in operating companies as part of the Company’s new strategy of becoming a diversified holding company.</w:t>
                      </w:r>
                      <w:r>
                        <w:rPr>
                          <w:spacing w:val="4"/>
                        </w:rPr>
                        <w:t xml:space="preserve"> </w:t>
                      </w:r>
                    </w:p>
                    <w:p>
                      <w:pPr>
                        <w:pStyle w:val="TextBody"/>
                        <w:bidi w:val="0"/>
                        <w:spacing w:lineRule="atLeast" w:line="240" w:before="160" w:after="283"/>
                        <w:jc w:val="both"/>
                        <w:rPr/>
                      </w:pPr>
                      <w:r>
                        <w:rPr>
                          <w:spacing w:val="-2"/>
                        </w:rPr>
                        <w:t>In connection with the 2025 Pershing Square Stock Purchase Agreement, the Company also entered into the following agreements:</w:t>
                      </w:r>
                      <w:r>
                        <w:rPr>
                          <w:spacing w:val="4"/>
                        </w:rPr>
                        <w:t xml:space="preserve"> </w:t>
                      </w:r>
                    </w:p>
                    <w:p>
                      <w:pPr>
                        <w:pStyle w:val="TextBody"/>
                        <w:bidi w:val="0"/>
                        <w:spacing w:lineRule="atLeast" w:line="240" w:before="240" w:after="283"/>
                        <w:jc w:val="left"/>
                        <w:rPr>
                          <w:b/>
                          <w:i/>
                        </w:rPr>
                      </w:pPr>
                      <w:r>
                        <w:rPr>
                          <w:b/>
                          <w:i/>
                        </w:rPr>
                        <w:t>Services Agreement</w:t>
                      </w:r>
                      <w:r>
                        <w:rPr>
                          <w:b/>
                          <w:i/>
                          <w:caps w:val="false"/>
                          <w:smallCaps w:val="false"/>
                          <w:spacing w:val="4"/>
                        </w:rPr>
                        <w:t xml:space="preserve"> </w:t>
                      </w:r>
                    </w:p>
                    <w:p>
                      <w:pPr>
                        <w:pStyle w:val="TextBody"/>
                        <w:bidi w:val="0"/>
                        <w:spacing w:lineRule="atLeast" w:line="240" w:before="240" w:after="283"/>
                        <w:jc w:val="both"/>
                        <w:rPr/>
                      </w:pPr>
                      <w:r>
                        <w:rPr>
                          <w:spacing w:val="-2"/>
                        </w:rPr>
                        <w:t>Pursuant to the terms of the Services Agreement, dated May 5, 2025, between the Company and PSCM, PSCM will support the Company’s new diversified holding company strategy by providing services to the Company, such as (i) investment advisory services, (ii) making recommendations with respect to hedging, balance sheet optimization and capital allocation, (iii) executing transactions, (iv) assisting the Company with business and corporate development functions, (v) making voting recommendations for the Company’s investments, (vi) assisting with and advising on fundraising, (vii) monitoring operations of the Company and its investments, subject to the day-to-day authority and responsibility of management of the Company, (viii) providing recommendations for persons to serve as designees or deputies of the Chief Investment Officer, (ix) engaging and supervising third-party service providers, (x) making dividend payment recommendations, and (xi) providing other services as may be agreed upon.</w:t>
                      </w:r>
                      <w:r>
                        <w:rPr>
                          <w:spacing w:val="4"/>
                        </w:rPr>
                        <w:t xml:space="preserve"> </w:t>
                      </w:r>
                    </w:p>
                    <w:p>
                      <w:pPr>
                        <w:pStyle w:val="TextBody"/>
                        <w:bidi w:val="0"/>
                        <w:spacing w:lineRule="atLeast" w:line="240" w:before="160" w:after="283"/>
                        <w:jc w:val="both"/>
                        <w:rPr/>
                      </w:pPr>
                      <w:r>
                        <w:rPr>
                          <w:spacing w:val="-2"/>
                        </w:rPr>
                        <w:t>The Company pays PSCM a quarterly base fee of $3,750,000 and a quarterly variable fee equal to 0.375% of the excess value of the quarter-end stock price of the Company’s common stock minus the reference price of $66.1453, multiplied by existing share count of 59,393,938 shares, which share count will not increase with the issuance of new shares of common stock. The base fee and the reference share price are subject to annual adjustment based on the Core PCE Price Index. The base fee and the variable fee will each be paid to PSCM quarterly.</w:t>
                      </w:r>
                      <w:r>
                        <w:rPr>
                          <w:spacing w:val="4"/>
                        </w:rPr>
                        <w:t xml:space="preserve"> </w:t>
                      </w:r>
                    </w:p>
                    <w:p>
                      <w:pPr>
                        <w:pStyle w:val="TextBody"/>
                        <w:bidi w:val="0"/>
                        <w:spacing w:lineRule="atLeast" w:line="240" w:before="160" w:after="283"/>
                        <w:jc w:val="both"/>
                        <w:rPr/>
                      </w:pPr>
                      <w:r>
                        <w:rPr>
                          <w:spacing w:val="-2"/>
                        </w:rPr>
                        <w:t>The Services Agreement has an initial ten (10) year term and will have successive renewal terms of ten (10) years unless either party terminates or elects not to renew the Services Agreement in accordance with the terms of the Services Agreement.</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357">
                <wp:simplePos x="0" y="0"/>
                <wp:positionH relativeFrom="column">
                  <wp:align>left</wp:align>
                </wp:positionH>
                <wp:positionV relativeFrom="line">
                  <wp:posOffset>635</wp:posOffset>
                </wp:positionV>
                <wp:extent cx="3055620" cy="9972040"/>
                <wp:effectExtent l="0" t="0" r="0" b="0"/>
                <wp:wrapSquare wrapText="right"/>
                <wp:docPr id="305" name="Frame225"/>
                <a:graphic xmlns:a="http://schemas.openxmlformats.org/drawingml/2006/main">
                  <a:graphicData uri="http://schemas.microsoft.com/office/word/2010/wordprocessingShape">
                    <wps:wsp>
                      <wps:cNvSpPr txBox="1"/>
                      <wps:spPr>
                        <a:xfrm>
                          <a:off x="0" y="0"/>
                          <a:ext cx="3055620" cy="9972040"/>
                        </a:xfrm>
                        <a:prstGeom prst="rect"/>
                        <a:solidFill>
                          <a:srgbClr val="FFFFFF"/>
                        </a:solidFill>
                      </wps:spPr>
                      <wps:txbx>
                        <w:txbxContent>
                          <w:p>
                            <w:pPr>
                              <w:pStyle w:val="TextBody"/>
                              <w:bidi w:val="0"/>
                              <w:spacing w:lineRule="atLeast" w:line="240" w:before="0" w:after="0"/>
                              <w:jc w:val="both"/>
                              <w:rPr/>
                            </w:pPr>
                            <w:r>
                              <w:rPr>
                                <w:spacing w:val="-2"/>
                              </w:rPr>
                              <w:t>With the approval of 2/3 of the disinterested directors, the Company can terminate the Services Agreement with 120 days’ prior written notice (or 30 days’ prior written notice for specific causes) for the following: (i) material default by PSCM that causes material harm and is not cured within a 60-day cure period; (ii) fraud, misrepresentation or embezzlement by PSCM; (iii) PSCM acts in a manner constituting bad faith, willful misconduct or gross negligence or engages in criminal conduct in the performance of its duties; (iv) PSCM faces bankruptcy or insolvency; (v) upon a change of control and payment of a make-whole fee (described below); and (vi) with unanimous approval of the disinterested directors, if PS Inc. and its affiliates no longer beneficially own all of the Purchased Shares during the first 10 years of the Closing Date (or 75% of the Purchased Shares thereafter). The Company may also elect to not renew the Services Agreement if the non-renewal is approved by a unanimous vote of the disinterested directors and subsequently approved by a seventy percent (70%) vote of the outstanding shares of common stock, excluding any shares held by PSCM or its affiliates.</w:t>
                            </w:r>
                            <w:r>
                              <w:rPr>
                                <w:spacing w:val="4"/>
                              </w:rPr>
                              <w:t xml:space="preserve"> </w:t>
                            </w:r>
                          </w:p>
                          <w:p>
                            <w:pPr>
                              <w:pStyle w:val="TextBody"/>
                              <w:bidi w:val="0"/>
                              <w:spacing w:lineRule="atLeast" w:line="240" w:before="160" w:after="283"/>
                              <w:jc w:val="both"/>
                              <w:rPr/>
                            </w:pPr>
                            <w:r>
                              <w:rPr>
                                <w:spacing w:val="-2"/>
                              </w:rPr>
                              <w:t>In the event that the Services Agreement is terminated pursuant to a change of control of the Company, the Company will pay PSCM a make-whole fee intended to approximate the present value of the total fees (base and variable) that PSCM would have received had it continued to provide services for the remainder of the then-current term.</w:t>
                            </w:r>
                            <w:r>
                              <w:rPr>
                                <w:spacing w:val="4"/>
                              </w:rPr>
                              <w:t xml:space="preserve"> </w:t>
                            </w:r>
                          </w:p>
                          <w:p>
                            <w:pPr>
                              <w:pStyle w:val="TextBody"/>
                              <w:bidi w:val="0"/>
                              <w:spacing w:lineRule="atLeast" w:line="240" w:before="240" w:after="283"/>
                              <w:jc w:val="left"/>
                              <w:rPr>
                                <w:b/>
                                <w:i/>
                              </w:rPr>
                            </w:pPr>
                            <w:r>
                              <w:rPr>
                                <w:b/>
                                <w:i/>
                              </w:rPr>
                              <w:t>Shareholder Agreement</w:t>
                            </w:r>
                            <w:r>
                              <w:rPr>
                                <w:b/>
                                <w:i/>
                                <w:caps w:val="false"/>
                                <w:smallCaps w:val="false"/>
                                <w:spacing w:val="4"/>
                              </w:rPr>
                              <w:t xml:space="preserve"> </w:t>
                            </w:r>
                          </w:p>
                          <w:p>
                            <w:pPr>
                              <w:pStyle w:val="TextBody"/>
                              <w:bidi w:val="0"/>
                              <w:spacing w:lineRule="atLeast" w:line="240" w:before="240" w:after="283"/>
                              <w:jc w:val="both"/>
                              <w:rPr>
                                <w:spacing w:val="-2"/>
                              </w:rPr>
                            </w:pPr>
                            <w:r>
                              <w:rPr>
                                <w:spacing w:val="-2"/>
                              </w:rPr>
                              <w:t xml:space="preserve">The Company also entered into a Shareholder Agreement, dated May 5, 2025, by and among the Company, PS Inc. (f/k/a Pershing Square Holdco, L.P.), and PSCM (the “Shareholder Agreement”), pursuant to which PS Inc., PSCM and the Company agreed to subscription rights and certain governance provisions, including director nomination rights and consent rights. </w:t>
                            </w:r>
                          </w:p>
                          <w:p>
                            <w:pPr>
                              <w:pStyle w:val="TextBody"/>
                              <w:bidi w:val="0"/>
                              <w:spacing w:lineRule="atLeast" w:line="240" w:before="160" w:after="283"/>
                              <w:jc w:val="both"/>
                              <w:rPr/>
                            </w:pPr>
                            <w:r>
                              <w:rPr>
                                <w:b/>
                                <w:spacing w:val="0"/>
                              </w:rPr>
                              <w:t>Director Nomination Rights:</w:t>
                            </w:r>
                            <w:r>
                              <w:rPr>
                                <w:spacing w:val="-2"/>
                              </w:rPr>
                              <w:t xml:space="preserve"> Pursuant to the terms of the Shareholder Agreement, at any meeting of stockholders where directors are to be elected:</w:t>
                            </w:r>
                            <w:r>
                              <w:rPr>
                                <w:spacing w:val="4"/>
                              </w:rPr>
                              <w:t xml:space="preserve"> </w:t>
                            </w:r>
                          </w:p>
                          <w:p>
                            <w:pPr>
                              <w:pStyle w:val="TextBody"/>
                              <w:bidi w:val="0"/>
                              <w:spacing w:lineRule="atLeast" w:line="240" w:before="120" w:after="0"/>
                              <w:ind w:left="760" w:right="0" w:hanging="0"/>
                              <w:jc w:val="both"/>
                              <w:rPr/>
                            </w:pPr>
                            <w:r>
                              <w:rPr>
                                <w:spacing w:val="-2"/>
                              </w:rPr>
                              <w:t>so long as PS Inc., PSCM and their respective affiliates, including investment funds managed by one or more affiliates (collectively, the “Purchaser Group”), beneficially own at least 17.5% of the outstanding shares of Common Stock on a fully diluted basis, PS Inc. may nominate for election a number of directors equal to 25% of the total number of members of the Board as constituted after giving effect to such election, rounded up (</w:t>
                            </w:r>
                            <w:r>
                              <w:rPr>
                                <w:i/>
                              </w:rPr>
                              <w:t>e.g.</w:t>
                            </w:r>
                            <w:r>
                              <w:rPr>
                                <w:spacing w:val="-2"/>
                              </w:rPr>
                              <w:t xml:space="preserve">, three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0.6pt;height:785.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jc w:val="both"/>
                        <w:rPr/>
                      </w:pPr>
                      <w:r>
                        <w:rPr>
                          <w:spacing w:val="-2"/>
                        </w:rPr>
                        <w:t>With the approval of 2/3 of the disinterested directors, the Company can terminate the Services Agreement with 120 days’ prior written notice (or 30 days’ prior written notice for specific causes) for the following: (i) material default by PSCM that causes material harm and is not cured within a 60-day cure period; (ii) fraud, misrepresentation or embezzlement by PSCM; (iii) PSCM acts in a manner constituting bad faith, willful misconduct or gross negligence or engages in criminal conduct in the performance of its duties; (iv) PSCM faces bankruptcy or insolvency; (v) upon a change of control and payment of a make-whole fee (described below); and (vi) with unanimous approval of the disinterested directors, if PS Inc. and its affiliates no longer beneficially own all of the Purchased Shares during the first 10 years of the Closing Date (or 75% of the Purchased Shares thereafter). The Company may also elect to not renew the Services Agreement if the non-renewal is approved by a unanimous vote of the disinterested directors and subsequently approved by a seventy percent (70%) vote of the outstanding shares of common stock, excluding any shares held by PSCM or its affiliates.</w:t>
                      </w:r>
                      <w:r>
                        <w:rPr>
                          <w:spacing w:val="4"/>
                        </w:rPr>
                        <w:t xml:space="preserve"> </w:t>
                      </w:r>
                    </w:p>
                    <w:p>
                      <w:pPr>
                        <w:pStyle w:val="TextBody"/>
                        <w:bidi w:val="0"/>
                        <w:spacing w:lineRule="atLeast" w:line="240" w:before="160" w:after="283"/>
                        <w:jc w:val="both"/>
                        <w:rPr/>
                      </w:pPr>
                      <w:r>
                        <w:rPr>
                          <w:spacing w:val="-2"/>
                        </w:rPr>
                        <w:t>In the event that the Services Agreement is terminated pursuant to a change of control of the Company, the Company will pay PSCM a make-whole fee intended to approximate the present value of the total fees (base and variable) that PSCM would have received had it continued to provide services for the remainder of the then-current term.</w:t>
                      </w:r>
                      <w:r>
                        <w:rPr>
                          <w:spacing w:val="4"/>
                        </w:rPr>
                        <w:t xml:space="preserve"> </w:t>
                      </w:r>
                    </w:p>
                    <w:p>
                      <w:pPr>
                        <w:pStyle w:val="TextBody"/>
                        <w:bidi w:val="0"/>
                        <w:spacing w:lineRule="atLeast" w:line="240" w:before="240" w:after="283"/>
                        <w:jc w:val="left"/>
                        <w:rPr>
                          <w:b/>
                          <w:i/>
                        </w:rPr>
                      </w:pPr>
                      <w:r>
                        <w:rPr>
                          <w:b/>
                          <w:i/>
                        </w:rPr>
                        <w:t>Shareholder Agreement</w:t>
                      </w:r>
                      <w:r>
                        <w:rPr>
                          <w:b/>
                          <w:i/>
                          <w:caps w:val="false"/>
                          <w:smallCaps w:val="false"/>
                          <w:spacing w:val="4"/>
                        </w:rPr>
                        <w:t xml:space="preserve"> </w:t>
                      </w:r>
                    </w:p>
                    <w:p>
                      <w:pPr>
                        <w:pStyle w:val="TextBody"/>
                        <w:bidi w:val="0"/>
                        <w:spacing w:lineRule="atLeast" w:line="240" w:before="240" w:after="283"/>
                        <w:jc w:val="both"/>
                        <w:rPr>
                          <w:spacing w:val="-2"/>
                        </w:rPr>
                      </w:pPr>
                      <w:r>
                        <w:rPr>
                          <w:spacing w:val="-2"/>
                        </w:rPr>
                        <w:t xml:space="preserve">The Company also entered into a Shareholder Agreement, dated May 5, 2025, by and among the Company, PS Inc. (f/k/a Pershing Square Holdco, L.P.), and PSCM (the “Shareholder Agreement”), pursuant to which PS Inc., PSCM and the Company agreed to subscription rights and certain governance provisions, including director nomination rights and consent rights. </w:t>
                      </w:r>
                    </w:p>
                    <w:p>
                      <w:pPr>
                        <w:pStyle w:val="TextBody"/>
                        <w:bidi w:val="0"/>
                        <w:spacing w:lineRule="atLeast" w:line="240" w:before="160" w:after="283"/>
                        <w:jc w:val="both"/>
                        <w:rPr/>
                      </w:pPr>
                      <w:r>
                        <w:rPr>
                          <w:b/>
                          <w:spacing w:val="0"/>
                        </w:rPr>
                        <w:t>Director Nomination Rights:</w:t>
                      </w:r>
                      <w:r>
                        <w:rPr>
                          <w:spacing w:val="-2"/>
                        </w:rPr>
                        <w:t xml:space="preserve"> Pursuant to the terms of the Shareholder Agreement, at any meeting of stockholders where directors are to be elected:</w:t>
                      </w:r>
                      <w:r>
                        <w:rPr>
                          <w:spacing w:val="4"/>
                        </w:rPr>
                        <w:t xml:space="preserve"> </w:t>
                      </w:r>
                    </w:p>
                    <w:p>
                      <w:pPr>
                        <w:pStyle w:val="TextBody"/>
                        <w:bidi w:val="0"/>
                        <w:spacing w:lineRule="atLeast" w:line="240" w:before="120" w:after="0"/>
                        <w:ind w:left="760" w:right="0" w:hanging="0"/>
                        <w:jc w:val="both"/>
                        <w:rPr/>
                      </w:pPr>
                      <w:r>
                        <w:rPr>
                          <w:spacing w:val="-2"/>
                        </w:rPr>
                        <w:t>so long as PS Inc., PSCM and their respective affiliates, including investment funds managed by one or more affiliates (collectively, the “Purchaser Group”), beneficially own at least 17.5% of the outstanding shares of Common Stock on a fully diluted basis, PS Inc. may nominate for election a number of directors equal to 25% of the total number of members of the Board as constituted after giving effect to such election, rounded up (</w:t>
                      </w:r>
                      <w:r>
                        <w:rPr>
                          <w:i/>
                        </w:rPr>
                        <w:t>e.g.</w:t>
                      </w:r>
                      <w:r>
                        <w:rPr>
                          <w:spacing w:val="-2"/>
                        </w:rPr>
                        <w:t xml:space="preserve">, three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76200" distB="0" distL="254000" distR="0" simplePos="0" locked="0" layoutInCell="1" allowOverlap="1" relativeHeight="358">
                <wp:simplePos x="0" y="0"/>
                <wp:positionH relativeFrom="column">
                  <wp:align>left</wp:align>
                </wp:positionH>
                <wp:positionV relativeFrom="line">
                  <wp:align>top</wp:align>
                </wp:positionV>
                <wp:extent cx="228600" cy="350520"/>
                <wp:effectExtent l="0" t="0" r="0" b="0"/>
                <wp:wrapSquare wrapText="right"/>
                <wp:docPr id="306" name="Frame22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/ 31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Related-Party Transactions and Certain Relationships</w:t>
      </w:r>
      <w:r>
        <w:rPr>
          <w:rFonts w:ascii="Arial;Helvetica;sans-serif" w:hAnsi="Arial;Helvetica;sans-serif"/>
          <w:b/>
          <w:i w:val="false"/>
          <w:caps w:val="false"/>
          <w:smallCaps w:val="false"/>
          <w:color w:val="7F7F7F"/>
          <w:spacing w:val="-3"/>
          <w:sz w:val="22"/>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359">
                <wp:simplePos x="0" y="0"/>
                <wp:positionH relativeFrom="column">
                  <wp:align>left</wp:align>
                </wp:positionH>
                <wp:positionV relativeFrom="line">
                  <wp:posOffset>635</wp:posOffset>
                </wp:positionV>
                <wp:extent cx="3055620" cy="9972040"/>
                <wp:effectExtent l="0" t="0" r="0" b="0"/>
                <wp:wrapSquare wrapText="right"/>
                <wp:docPr id="307" name="Frame227"/>
                <a:graphic xmlns:a="http://schemas.openxmlformats.org/drawingml/2006/main">
                  <a:graphicData uri="http://schemas.microsoft.com/office/word/2010/wordprocessingShape">
                    <wps:wsp>
                      <wps:cNvSpPr txBox="1"/>
                      <wps:spPr>
                        <a:xfrm>
                          <a:off x="0" y="0"/>
                          <a:ext cx="3055620" cy="9972040"/>
                        </a:xfrm>
                        <a:prstGeom prst="rect"/>
                        <a:solidFill>
                          <a:srgbClr val="FFFFFF"/>
                        </a:solidFill>
                      </wps:spPr>
                      <wps:txbx>
                        <w:txbxContent>
                          <w:p>
                            <w:pPr>
                              <w:pStyle w:val="TextBody"/>
                              <w:bidi w:val="0"/>
                              <w:spacing w:lineRule="atLeast" w:line="240" w:before="0" w:after="0"/>
                              <w:ind w:left="760" w:right="0" w:hanging="0"/>
                              <w:jc w:val="both"/>
                              <w:rPr>
                                <w:spacing w:val="-2"/>
                              </w:rPr>
                            </w:pPr>
                            <w:r>
                              <w:rPr>
                                <w:spacing w:val="-2"/>
                              </w:rPr>
                              <w:t xml:space="preserve">directors in the case of an eleven member Board) (such director, a “PS Board Designee”). </w:t>
                            </w:r>
                          </w:p>
                          <w:p>
                            <w:pPr>
                              <w:pStyle w:val="TextBody"/>
                              <w:bidi w:val="0"/>
                              <w:spacing w:lineRule="atLeast" w:line="240" w:before="120" w:after="0"/>
                              <w:ind w:left="760" w:right="0" w:hanging="0"/>
                              <w:jc w:val="both"/>
                              <w:rPr/>
                            </w:pPr>
                            <w:r>
                              <w:rPr>
                                <w:spacing w:val="-2"/>
                              </w:rPr>
                              <w:t>so long as the Purchaser Group beneficially owns less than 17.5% but at least 10% of the outstanding shares of Common Stock on a fully diluted basis, PS Inc. may nominate for election a number of PS Board Designees equal to 10% of the total number of members of the Board as constituted after giving effect to such election, rounded up (e.g., two directors in the case of an eleven member Board).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2"/>
                              </w:rPr>
                              <w:t>If the Purchaser Group owns less than 10% of the outstanding shares of Common Stock on a fully diluted basis, PS Inc. will no longer have the right to nominate any PS Board Designees. William A. Ackman, Ben Hakim and Ryan Israel served as the initial PS Board Designees. In May 2026, Marc Grandisson replaced Ben Hakim as a PS Board Designee.</w:t>
                            </w:r>
                            <w:r>
                              <w:rPr>
                                <w:spacing w:val="4"/>
                              </w:rPr>
                              <w:t xml:space="preserve"> </w:t>
                            </w:r>
                          </w:p>
                          <w:p>
                            <w:pPr>
                              <w:pStyle w:val="TextBody"/>
                              <w:bidi w:val="0"/>
                              <w:spacing w:lineRule="atLeast" w:line="240" w:before="160" w:after="283"/>
                              <w:jc w:val="both"/>
                              <w:rPr/>
                            </w:pPr>
                            <w:r>
                              <w:rPr>
                                <w:b/>
                                <w:spacing w:val="0"/>
                              </w:rPr>
                              <w:t>Executive Chairman:</w:t>
                            </w:r>
                            <w:r>
                              <w:rPr>
                                <w:spacing w:val="-2"/>
                              </w:rPr>
                              <w:t xml:space="preserve"> So long as the Purchaser Group beneficially owns at least 17.5% of the outstanding shares of Common Stock on a fully diluted basis, Mr. Ackman, Chief Executive Officer of PSCM, will serve as the Executive Chairman of the Board so long as he is one of the PS Board Designees and is willing to serve. Any Board committee (except for special committees established for potential conflict of interest situations) will include proportional representation of the PS Board Designees, subject to applicable law and stock exchange rules.</w:t>
                            </w:r>
                            <w:r>
                              <w:rPr>
                                <w:spacing w:val="4"/>
                              </w:rPr>
                              <w:t xml:space="preserve"> </w:t>
                            </w:r>
                          </w:p>
                          <w:p>
                            <w:pPr>
                              <w:pStyle w:val="TextBody"/>
                              <w:bidi w:val="0"/>
                              <w:spacing w:lineRule="atLeast" w:line="240" w:before="160" w:after="283"/>
                              <w:jc w:val="both"/>
                              <w:rPr/>
                            </w:pPr>
                            <w:r>
                              <w:rPr>
                                <w:b/>
                                <w:spacing w:val="0"/>
                              </w:rPr>
                              <w:t>Consent Rights:</w:t>
                            </w:r>
                            <w:r>
                              <w:rPr>
                                <w:spacing w:val="-2"/>
                              </w:rPr>
                              <w:t xml:space="preserve"> Effective from and after the time that PS Inc. files a Form S-1 for an initial public offering, without the prior written consent of PS Inc., the Company will not:</w:t>
                            </w:r>
                            <w:r>
                              <w:rPr>
                                <w:spacing w:val="4"/>
                              </w:rPr>
                              <w:t xml:space="preserve"> </w:t>
                            </w:r>
                          </w:p>
                          <w:p>
                            <w:pPr>
                              <w:pStyle w:val="TextBody"/>
                              <w:bidi w:val="0"/>
                              <w:spacing w:lineRule="atLeast" w:line="240" w:before="120" w:after="0"/>
                              <w:ind w:left="760" w:right="0" w:hanging="0"/>
                              <w:jc w:val="both"/>
                              <w:rPr/>
                            </w:pPr>
                            <w:r>
                              <w:rPr>
                                <w:spacing w:val="-2"/>
                              </w:rPr>
                              <w:t>acquire or dispose any shares, assets, business or operations that, taken as a whole, would exceed the conditions of significance contained in the definition of “significant subsidiary” at the 30% level under the total asset test set forth in Rule 3-05 of Regulation S-X under the Securities Act of 1933, as amended (the “Securities Act”);</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20" w:after="0"/>
                              <w:ind w:left="760" w:right="0" w:hanging="0"/>
                              <w:jc w:val="both"/>
                              <w:rPr/>
                            </w:pPr>
                            <w:r>
                              <w:rPr>
                                <w:spacing w:val="-2"/>
                              </w:rPr>
                              <w:t>incur any third-party indebtedness if, immediately following such incurrence, the Company’s Indebtedness to Consolidated Tangible Net Worth Ratio (as defined in the Company’s existing indentures) would exceed 2.5;</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20" w:after="0"/>
                              <w:ind w:left="760" w:right="0" w:hanging="0"/>
                              <w:jc w:val="both"/>
                              <w:rPr>
                                <w:spacing w:val="-2"/>
                              </w:rPr>
                            </w:pPr>
                            <w:r>
                              <w:rPr>
                                <w:spacing w:val="-2"/>
                              </w:rPr>
                              <w:t xml:space="preserve">materially change the business of the Company and its subsidiaries, taken as a whole, in a manner that would constitute a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0.6pt;height:785.2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ind w:left="760" w:right="0" w:hanging="0"/>
                        <w:jc w:val="both"/>
                        <w:rPr>
                          <w:spacing w:val="-2"/>
                        </w:rPr>
                      </w:pPr>
                      <w:r>
                        <w:rPr>
                          <w:spacing w:val="-2"/>
                        </w:rPr>
                        <w:t xml:space="preserve">directors in the case of an eleven member Board) (such director, a “PS Board Designee”). </w:t>
                      </w:r>
                    </w:p>
                    <w:p>
                      <w:pPr>
                        <w:pStyle w:val="TextBody"/>
                        <w:bidi w:val="0"/>
                        <w:spacing w:lineRule="atLeast" w:line="240" w:before="120" w:after="0"/>
                        <w:ind w:left="760" w:right="0" w:hanging="0"/>
                        <w:jc w:val="both"/>
                        <w:rPr/>
                      </w:pPr>
                      <w:r>
                        <w:rPr>
                          <w:spacing w:val="-2"/>
                        </w:rPr>
                        <w:t>so long as the Purchaser Group beneficially owns less than 17.5% but at least 10% of the outstanding shares of Common Stock on a fully diluted basis, PS Inc. may nominate for election a number of PS Board Designees equal to 10% of the total number of members of the Board as constituted after giving effect to such election, rounded up (e.g., two directors in the case of an eleven member Board).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2"/>
                        </w:rPr>
                        <w:t>If the Purchaser Group owns less than 10% of the outstanding shares of Common Stock on a fully diluted basis, PS Inc. will no longer have the right to nominate any PS Board Designees. William A. Ackman, Ben Hakim and Ryan Israel served as the initial PS Board Designees. In May 2026, Marc Grandisson replaced Ben Hakim as a PS Board Designee.</w:t>
                      </w:r>
                      <w:r>
                        <w:rPr>
                          <w:spacing w:val="4"/>
                        </w:rPr>
                        <w:t xml:space="preserve"> </w:t>
                      </w:r>
                    </w:p>
                    <w:p>
                      <w:pPr>
                        <w:pStyle w:val="TextBody"/>
                        <w:bidi w:val="0"/>
                        <w:spacing w:lineRule="atLeast" w:line="240" w:before="160" w:after="283"/>
                        <w:jc w:val="both"/>
                        <w:rPr/>
                      </w:pPr>
                      <w:r>
                        <w:rPr>
                          <w:b/>
                          <w:spacing w:val="0"/>
                        </w:rPr>
                        <w:t>Executive Chairman:</w:t>
                      </w:r>
                      <w:r>
                        <w:rPr>
                          <w:spacing w:val="-2"/>
                        </w:rPr>
                        <w:t xml:space="preserve"> So long as the Purchaser Group beneficially owns at least 17.5% of the outstanding shares of Common Stock on a fully diluted basis, Mr. Ackman, Chief Executive Officer of PSCM, will serve as the Executive Chairman of the Board so long as he is one of the PS Board Designees and is willing to serve. Any Board committee (except for special committees established for potential conflict of interest situations) will include proportional representation of the PS Board Designees, subject to applicable law and stock exchange rules.</w:t>
                      </w:r>
                      <w:r>
                        <w:rPr>
                          <w:spacing w:val="4"/>
                        </w:rPr>
                        <w:t xml:space="preserve"> </w:t>
                      </w:r>
                    </w:p>
                    <w:p>
                      <w:pPr>
                        <w:pStyle w:val="TextBody"/>
                        <w:bidi w:val="0"/>
                        <w:spacing w:lineRule="atLeast" w:line="240" w:before="160" w:after="283"/>
                        <w:jc w:val="both"/>
                        <w:rPr/>
                      </w:pPr>
                      <w:r>
                        <w:rPr>
                          <w:b/>
                          <w:spacing w:val="0"/>
                        </w:rPr>
                        <w:t>Consent Rights:</w:t>
                      </w:r>
                      <w:r>
                        <w:rPr>
                          <w:spacing w:val="-2"/>
                        </w:rPr>
                        <w:t xml:space="preserve"> Effective from and after the time that PS Inc. files a Form S-1 for an initial public offering, without the prior written consent of PS Inc., the Company will not:</w:t>
                      </w:r>
                      <w:r>
                        <w:rPr>
                          <w:spacing w:val="4"/>
                        </w:rPr>
                        <w:t xml:space="preserve"> </w:t>
                      </w:r>
                    </w:p>
                    <w:p>
                      <w:pPr>
                        <w:pStyle w:val="TextBody"/>
                        <w:bidi w:val="0"/>
                        <w:spacing w:lineRule="atLeast" w:line="240" w:before="120" w:after="0"/>
                        <w:ind w:left="760" w:right="0" w:hanging="0"/>
                        <w:jc w:val="both"/>
                        <w:rPr/>
                      </w:pPr>
                      <w:r>
                        <w:rPr>
                          <w:spacing w:val="-2"/>
                        </w:rPr>
                        <w:t>acquire or dispose any shares, assets, business or operations that, taken as a whole, would exceed the conditions of significance contained in the definition of “significant subsidiary” at the 30% level under the total asset test set forth in Rule 3-05 of Regulation S-X under the Securities Act of 1933, as amended (the “Securities Act”);</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20" w:after="0"/>
                        <w:ind w:left="760" w:right="0" w:hanging="0"/>
                        <w:jc w:val="both"/>
                        <w:rPr/>
                      </w:pPr>
                      <w:r>
                        <w:rPr>
                          <w:spacing w:val="-2"/>
                        </w:rPr>
                        <w:t>incur any third-party indebtedness if, immediately following such incurrence, the Company’s Indebtedness to Consolidated Tangible Net Worth Ratio (as defined in the Company’s existing indentures) would exceed 2.5;</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20" w:after="0"/>
                        <w:ind w:left="760" w:right="0" w:hanging="0"/>
                        <w:jc w:val="both"/>
                        <w:rPr>
                          <w:spacing w:val="-2"/>
                        </w:rPr>
                      </w:pPr>
                      <w:r>
                        <w:rPr>
                          <w:spacing w:val="-2"/>
                        </w:rPr>
                        <w:t xml:space="preserve">materially change the business of the Company and its subsidiaries, taken as a whole, in a manner that would constitute a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304800" distR="0" simplePos="0" locked="0" layoutInCell="1" allowOverlap="1" relativeHeight="364">
                <wp:simplePos x="0" y="0"/>
                <wp:positionH relativeFrom="column">
                  <wp:align>left</wp:align>
                </wp:positionH>
                <wp:positionV relativeFrom="line">
                  <wp:posOffset>635</wp:posOffset>
                </wp:positionV>
                <wp:extent cx="3055620" cy="9972040"/>
                <wp:effectExtent l="0" t="0" r="0" b="0"/>
                <wp:wrapSquare wrapText="right"/>
                <wp:docPr id="308" name="Frame232"/>
                <a:graphic xmlns:a="http://schemas.openxmlformats.org/drawingml/2006/main">
                  <a:graphicData uri="http://schemas.microsoft.com/office/word/2010/wordprocessingShape">
                    <wps:wsp>
                      <wps:cNvSpPr txBox="1"/>
                      <wps:spPr>
                        <a:xfrm>
                          <a:off x="0" y="0"/>
                          <a:ext cx="3055620" cy="9972040"/>
                        </a:xfrm>
                        <a:prstGeom prst="rect"/>
                        <a:solidFill>
                          <a:srgbClr val="FFFFFF"/>
                        </a:solidFill>
                      </wps:spPr>
                      <wps:txbx>
                        <w:txbxContent>
                          <w:p>
                            <w:pPr>
                              <w:pStyle w:val="TextBody"/>
                              <w:bidi w:val="0"/>
                              <w:spacing w:lineRule="atLeast" w:line="240" w:before="0" w:after="0"/>
                              <w:ind w:left="760" w:right="0" w:hanging="0"/>
                              <w:jc w:val="both"/>
                              <w:rPr/>
                            </w:pPr>
                            <w:r>
                              <w:rPr>
                                <w:spacing w:val="-2"/>
                              </w:rPr>
                              <w:t>significant departure from the Company’s intended strategy of acquiring controlling interests in private and public operating companies and becoming a diversified holding company;</w:t>
                            </w:r>
                            <w:r>
                              <w:rPr>
                                <w:spacing w:val="4"/>
                              </w:rPr>
                              <w:t xml:space="preserve"> </w:t>
                            </w:r>
                          </w:p>
                          <w:p>
                            <w:pPr>
                              <w:pStyle w:val="TextBody"/>
                              <w:bidi w:val="0"/>
                              <w:spacing w:lineRule="atLeast" w:line="240" w:before="120" w:after="0"/>
                              <w:ind w:left="760" w:right="0" w:hanging="0"/>
                              <w:jc w:val="both"/>
                              <w:rPr/>
                            </w:pPr>
                            <w:r>
                              <w:rPr>
                                <w:spacing w:val="-2"/>
                              </w:rPr>
                              <w:t>provided that the Services Agreement remains in effect, cause or permit the appointment, removal or replacement of the Chief Investment Officer; or</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20" w:after="0"/>
                              <w:ind w:left="760" w:right="0" w:hanging="0"/>
                              <w:jc w:val="both"/>
                              <w:rPr/>
                            </w:pPr>
                            <w:r>
                              <w:rPr>
                                <w:spacing w:val="-2"/>
                              </w:rPr>
                              <w:t>provided that the Services Agreement remains in effect, amend, modify or alter the scope of the authority, duties or responsibilities of the Executive Chairman or the Chief Investment Officer.</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2"/>
                              </w:rPr>
                              <w:t>The foregoing consent rights will be suspended in certain circumstances, including if PS Inc. completes an initial public offering but subsequently ceases to be a publicly traded company and is not an “investment company,” as defined in the Investment Company Act of 1940, as amended. The consent rights terminate when the Purchaser Group no longer beneficially owns, in the aggregate, at least 17.5% of the outstanding shares of Common Stock on a fully diluted basis.</w:t>
                            </w:r>
                            <w:r>
                              <w:rPr>
                                <w:spacing w:val="4"/>
                              </w:rPr>
                              <w:t xml:space="preserve"> </w:t>
                            </w:r>
                          </w:p>
                          <w:p>
                            <w:pPr>
                              <w:pStyle w:val="TextBody"/>
                              <w:bidi w:val="0"/>
                              <w:spacing w:lineRule="atLeast" w:line="240" w:before="160" w:after="283"/>
                              <w:jc w:val="both"/>
                              <w:rPr/>
                            </w:pPr>
                            <w:r>
                              <w:rPr>
                                <w:b/>
                                <w:spacing w:val="0"/>
                              </w:rPr>
                              <w:t>Subscription Rights:</w:t>
                            </w:r>
                            <w:r>
                              <w:rPr>
                                <w:spacing w:val="-2"/>
                              </w:rPr>
                              <w:t xml:space="preserve"> If the Company issues or sells any shares of common stock to third parties (other than shares issued pursuant to options or other stock incentives issued to an employee, director or consultant of the Company or its subsidiaries), the members of the Purchaser Group have the right to acquire shares of common stock for the same price and on the same terms as such shares are offered to such third parties.</w:t>
                            </w:r>
                            <w:r>
                              <w:rPr>
                                <w:spacing w:val="4"/>
                              </w:rPr>
                              <w:t xml:space="preserve"> </w:t>
                            </w:r>
                          </w:p>
                          <w:p>
                            <w:pPr>
                              <w:pStyle w:val="TextBody"/>
                              <w:bidi w:val="0"/>
                              <w:spacing w:lineRule="atLeast" w:line="240" w:before="240" w:after="283"/>
                              <w:jc w:val="left"/>
                              <w:rPr>
                                <w:b/>
                                <w:i/>
                              </w:rPr>
                            </w:pPr>
                            <w:r>
                              <w:rPr>
                                <w:b/>
                                <w:i/>
                              </w:rPr>
                              <w:t>Standstill Agreement</w:t>
                            </w:r>
                            <w:r>
                              <w:rPr>
                                <w:b/>
                                <w:i/>
                                <w:caps w:val="false"/>
                                <w:smallCaps w:val="false"/>
                                <w:spacing w:val="4"/>
                              </w:rPr>
                              <w:t xml:space="preserve"> </w:t>
                            </w:r>
                          </w:p>
                          <w:p>
                            <w:pPr>
                              <w:pStyle w:val="TextBody"/>
                              <w:bidi w:val="0"/>
                              <w:spacing w:lineRule="atLeast" w:line="240" w:before="240" w:after="283"/>
                              <w:jc w:val="both"/>
                              <w:rPr/>
                            </w:pPr>
                            <w:r>
                              <w:rPr>
                                <w:spacing w:val="-2"/>
                              </w:rPr>
                              <w:t>The Company entered into a Standstill Agreement, dated May 5, 2025, by and between the Company and PS Inc. (f/k/a Pershing Square Holdco, L.P.) (the “Standstill Agreement”), pursuant to which PS Inc. and the Company agreed to certain matters, including Board and committee size and composition, ownership limits, voting caps, transfer restrictions and related party transactions.</w:t>
                            </w:r>
                            <w:r>
                              <w:rPr>
                                <w:spacing w:val="4"/>
                              </w:rPr>
                              <w:t xml:space="preserve"> </w:t>
                            </w:r>
                          </w:p>
                          <w:p>
                            <w:pPr>
                              <w:pStyle w:val="TextBody"/>
                              <w:bidi w:val="0"/>
                              <w:spacing w:lineRule="atLeast" w:line="240" w:before="160" w:after="283"/>
                              <w:jc w:val="both"/>
                              <w:rPr/>
                            </w:pPr>
                            <w:r>
                              <w:rPr>
                                <w:b/>
                                <w:spacing w:val="0"/>
                              </w:rPr>
                              <w:t>Governance Matters:</w:t>
                            </w:r>
                            <w:r>
                              <w:rPr>
                                <w:spacing w:val="-2"/>
                              </w:rPr>
                              <w:t xml:space="preserve"> Pursuant to the Standstill Agreement, so long as PS Inc. and its affiliates collectively beneficially own more than 10% of the outstanding shares of common stock on a fully diluted basis, none of PS Inc. or its affiliates will take any action that is inconsistent with its support for certain specified corporate governance principles, including:</w:t>
                            </w:r>
                            <w:r>
                              <w:rPr>
                                <w:spacing w:val="4"/>
                              </w:rPr>
                              <w:t xml:space="preserve"> </w:t>
                            </w:r>
                          </w:p>
                          <w:p>
                            <w:pPr>
                              <w:pStyle w:val="TextBody"/>
                              <w:bidi w:val="0"/>
                              <w:spacing w:lineRule="atLeast" w:line="240" w:before="120" w:after="0"/>
                              <w:ind w:left="760" w:right="0" w:hanging="0"/>
                              <w:jc w:val="both"/>
                              <w:rPr/>
                            </w:pPr>
                            <w:r>
                              <w:rPr>
                                <w:spacing w:val="-2"/>
                              </w:rPr>
                              <w:t>a majority of the Board shall be “independent” under applicable stock exchange standards;</w:t>
                            </w:r>
                            <w:r>
                              <w:rPr>
                                <w:spacing w:val="4"/>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0.6pt;height:785.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ind w:left="760" w:right="0" w:hanging="0"/>
                        <w:jc w:val="both"/>
                        <w:rPr/>
                      </w:pPr>
                      <w:r>
                        <w:rPr>
                          <w:spacing w:val="-2"/>
                        </w:rPr>
                        <w:t>significant departure from the Company’s intended strategy of acquiring controlling interests in private and public operating companies and becoming a diversified holding company;</w:t>
                      </w:r>
                      <w:r>
                        <w:rPr>
                          <w:spacing w:val="4"/>
                        </w:rPr>
                        <w:t xml:space="preserve"> </w:t>
                      </w:r>
                    </w:p>
                    <w:p>
                      <w:pPr>
                        <w:pStyle w:val="TextBody"/>
                        <w:bidi w:val="0"/>
                        <w:spacing w:lineRule="atLeast" w:line="240" w:before="120" w:after="0"/>
                        <w:ind w:left="760" w:right="0" w:hanging="0"/>
                        <w:jc w:val="both"/>
                        <w:rPr/>
                      </w:pPr>
                      <w:r>
                        <w:rPr>
                          <w:spacing w:val="-2"/>
                        </w:rPr>
                        <w:t>provided that the Services Agreement remains in effect, cause or permit the appointment, removal or replacement of the Chief Investment Officer; or</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20" w:after="0"/>
                        <w:ind w:left="760" w:right="0" w:hanging="0"/>
                        <w:jc w:val="both"/>
                        <w:rPr/>
                      </w:pPr>
                      <w:r>
                        <w:rPr>
                          <w:spacing w:val="-2"/>
                        </w:rPr>
                        <w:t>provided that the Services Agreement remains in effect, amend, modify or alter the scope of the authority, duties or responsibilities of the Executive Chairman or the Chief Investment Officer.</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2"/>
                        </w:rPr>
                        <w:t>The foregoing consent rights will be suspended in certain circumstances, including if PS Inc. completes an initial public offering but subsequently ceases to be a publicly traded company and is not an “investment company,” as defined in the Investment Company Act of 1940, as amended. The consent rights terminate when the Purchaser Group no longer beneficially owns, in the aggregate, at least 17.5% of the outstanding shares of Common Stock on a fully diluted basis.</w:t>
                      </w:r>
                      <w:r>
                        <w:rPr>
                          <w:spacing w:val="4"/>
                        </w:rPr>
                        <w:t xml:space="preserve"> </w:t>
                      </w:r>
                    </w:p>
                    <w:p>
                      <w:pPr>
                        <w:pStyle w:val="TextBody"/>
                        <w:bidi w:val="0"/>
                        <w:spacing w:lineRule="atLeast" w:line="240" w:before="160" w:after="283"/>
                        <w:jc w:val="both"/>
                        <w:rPr/>
                      </w:pPr>
                      <w:r>
                        <w:rPr>
                          <w:b/>
                          <w:spacing w:val="0"/>
                        </w:rPr>
                        <w:t>Subscription Rights:</w:t>
                      </w:r>
                      <w:r>
                        <w:rPr>
                          <w:spacing w:val="-2"/>
                        </w:rPr>
                        <w:t xml:space="preserve"> If the Company issues or sells any shares of common stock to third parties (other than shares issued pursuant to options or other stock incentives issued to an employee, director or consultant of the Company or its subsidiaries), the members of the Purchaser Group have the right to acquire shares of common stock for the same price and on the same terms as such shares are offered to such third parties.</w:t>
                      </w:r>
                      <w:r>
                        <w:rPr>
                          <w:spacing w:val="4"/>
                        </w:rPr>
                        <w:t xml:space="preserve"> </w:t>
                      </w:r>
                    </w:p>
                    <w:p>
                      <w:pPr>
                        <w:pStyle w:val="TextBody"/>
                        <w:bidi w:val="0"/>
                        <w:spacing w:lineRule="atLeast" w:line="240" w:before="240" w:after="283"/>
                        <w:jc w:val="left"/>
                        <w:rPr>
                          <w:b/>
                          <w:i/>
                        </w:rPr>
                      </w:pPr>
                      <w:r>
                        <w:rPr>
                          <w:b/>
                          <w:i/>
                        </w:rPr>
                        <w:t>Standstill Agreement</w:t>
                      </w:r>
                      <w:r>
                        <w:rPr>
                          <w:b/>
                          <w:i/>
                          <w:caps w:val="false"/>
                          <w:smallCaps w:val="false"/>
                          <w:spacing w:val="4"/>
                        </w:rPr>
                        <w:t xml:space="preserve"> </w:t>
                      </w:r>
                    </w:p>
                    <w:p>
                      <w:pPr>
                        <w:pStyle w:val="TextBody"/>
                        <w:bidi w:val="0"/>
                        <w:spacing w:lineRule="atLeast" w:line="240" w:before="240" w:after="283"/>
                        <w:jc w:val="both"/>
                        <w:rPr/>
                      </w:pPr>
                      <w:r>
                        <w:rPr>
                          <w:spacing w:val="-2"/>
                        </w:rPr>
                        <w:t>The Company entered into a Standstill Agreement, dated May 5, 2025, by and between the Company and PS Inc. (f/k/a Pershing Square Holdco, L.P.) (the “Standstill Agreement”), pursuant to which PS Inc. and the Company agreed to certain matters, including Board and committee size and composition, ownership limits, voting caps, transfer restrictions and related party transactions.</w:t>
                      </w:r>
                      <w:r>
                        <w:rPr>
                          <w:spacing w:val="4"/>
                        </w:rPr>
                        <w:t xml:space="preserve"> </w:t>
                      </w:r>
                    </w:p>
                    <w:p>
                      <w:pPr>
                        <w:pStyle w:val="TextBody"/>
                        <w:bidi w:val="0"/>
                        <w:spacing w:lineRule="atLeast" w:line="240" w:before="160" w:after="283"/>
                        <w:jc w:val="both"/>
                        <w:rPr/>
                      </w:pPr>
                      <w:r>
                        <w:rPr>
                          <w:b/>
                          <w:spacing w:val="0"/>
                        </w:rPr>
                        <w:t>Governance Matters:</w:t>
                      </w:r>
                      <w:r>
                        <w:rPr>
                          <w:spacing w:val="-2"/>
                        </w:rPr>
                        <w:t xml:space="preserve"> Pursuant to the Standstill Agreement, so long as PS Inc. and its affiliates collectively beneficially own more than 10% of the outstanding shares of common stock on a fully diluted basis, none of PS Inc. or its affiliates will take any action that is inconsistent with its support for certain specified corporate governance principles, including:</w:t>
                      </w:r>
                      <w:r>
                        <w:rPr>
                          <w:spacing w:val="4"/>
                        </w:rPr>
                        <w:t xml:space="preserve"> </w:t>
                      </w:r>
                    </w:p>
                    <w:p>
                      <w:pPr>
                        <w:pStyle w:val="TextBody"/>
                        <w:bidi w:val="0"/>
                        <w:spacing w:lineRule="atLeast" w:line="240" w:before="120" w:after="0"/>
                        <w:ind w:left="760" w:right="0" w:hanging="0"/>
                        <w:jc w:val="both"/>
                        <w:rPr/>
                      </w:pPr>
                      <w:r>
                        <w:rPr>
                          <w:spacing w:val="-2"/>
                        </w:rPr>
                        <w:t>a majority of the Board shall be “independent” under applicable stock exchange standards;</w:t>
                      </w:r>
                      <w:r>
                        <w:rPr>
                          <w:spacing w:val="4"/>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76200" distB="0" distL="254000" distR="0" simplePos="0" locked="0" layoutInCell="1" allowOverlap="1" relativeHeight="360">
                <wp:simplePos x="0" y="0"/>
                <wp:positionH relativeFrom="column">
                  <wp:align>left</wp:align>
                </wp:positionH>
                <wp:positionV relativeFrom="line">
                  <wp:align>top</wp:align>
                </wp:positionV>
                <wp:extent cx="228600" cy="350520"/>
                <wp:effectExtent l="0" t="0" r="0" b="0"/>
                <wp:wrapSquare wrapText="right"/>
                <wp:docPr id="309" name="Frame22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254000" distR="0" simplePos="0" locked="0" layoutInCell="1" allowOverlap="1" relativeHeight="361">
                <wp:simplePos x="0" y="0"/>
                <wp:positionH relativeFrom="column">
                  <wp:align>left</wp:align>
                </wp:positionH>
                <wp:positionV relativeFrom="line">
                  <wp:align>top</wp:align>
                </wp:positionV>
                <wp:extent cx="228600" cy="350520"/>
                <wp:effectExtent l="0" t="0" r="0" b="0"/>
                <wp:wrapSquare wrapText="right"/>
                <wp:docPr id="310" name="Frame22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254000" distR="0" simplePos="0" locked="0" layoutInCell="1" allowOverlap="1" relativeHeight="362">
                <wp:simplePos x="0" y="0"/>
                <wp:positionH relativeFrom="column">
                  <wp:align>left</wp:align>
                </wp:positionH>
                <wp:positionV relativeFrom="line">
                  <wp:align>top</wp:align>
                </wp:positionV>
                <wp:extent cx="228600" cy="350520"/>
                <wp:effectExtent l="0" t="0" r="0" b="0"/>
                <wp:wrapSquare wrapText="right"/>
                <wp:docPr id="311" name="Frame23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254000" distR="0" simplePos="0" locked="0" layoutInCell="1" allowOverlap="1" relativeHeight="363">
                <wp:simplePos x="0" y="0"/>
                <wp:positionH relativeFrom="column">
                  <wp:align>left</wp:align>
                </wp:positionH>
                <wp:positionV relativeFrom="line">
                  <wp:align>top</wp:align>
                </wp:positionV>
                <wp:extent cx="228600" cy="350520"/>
                <wp:effectExtent l="0" t="0" r="0" b="0"/>
                <wp:wrapSquare wrapText="right"/>
                <wp:docPr id="312" name="Frame23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254000" distR="0" simplePos="0" locked="0" layoutInCell="1" allowOverlap="1" relativeHeight="365">
                <wp:simplePos x="0" y="0"/>
                <wp:positionH relativeFrom="column">
                  <wp:align>left</wp:align>
                </wp:positionH>
                <wp:positionV relativeFrom="line">
                  <wp:align>top</wp:align>
                </wp:positionV>
                <wp:extent cx="228600" cy="350520"/>
                <wp:effectExtent l="0" t="0" r="0" b="0"/>
                <wp:wrapSquare wrapText="right"/>
                <wp:docPr id="313" name="Frame23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254000" distR="0" simplePos="0" locked="0" layoutInCell="1" allowOverlap="1" relativeHeight="366">
                <wp:simplePos x="0" y="0"/>
                <wp:positionH relativeFrom="column">
                  <wp:align>left</wp:align>
                </wp:positionH>
                <wp:positionV relativeFrom="line">
                  <wp:align>top</wp:align>
                </wp:positionV>
                <wp:extent cx="228600" cy="350520"/>
                <wp:effectExtent l="0" t="0" r="0" b="0"/>
                <wp:wrapSquare wrapText="right"/>
                <wp:docPr id="314" name="Frame23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254000" distR="0" simplePos="0" locked="0" layoutInCell="1" allowOverlap="1" relativeHeight="367">
                <wp:simplePos x="0" y="0"/>
                <wp:positionH relativeFrom="column">
                  <wp:align>left</wp:align>
                </wp:positionH>
                <wp:positionV relativeFrom="line">
                  <wp:align>top</wp:align>
                </wp:positionV>
                <wp:extent cx="228600" cy="350520"/>
                <wp:effectExtent l="0" t="0" r="0" b="0"/>
                <wp:wrapSquare wrapText="right"/>
                <wp:docPr id="315" name="Frame23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32 \ 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Related-Party Transactions and Certain Relationships</w:t>
      </w:r>
      <w:r>
        <w:rPr>
          <w:rFonts w:ascii="Arial;Helvetica;sans-serif" w:hAnsi="Arial;Helvetica;sans-serif"/>
          <w:b/>
          <w:i w:val="false"/>
          <w:caps w:val="false"/>
          <w:smallCaps w:val="false"/>
          <w:color w:val="7F7F7F"/>
          <w:sz w:val="22"/>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368">
                <wp:simplePos x="0" y="0"/>
                <wp:positionH relativeFrom="column">
                  <wp:align>left</wp:align>
                </wp:positionH>
                <wp:positionV relativeFrom="line">
                  <wp:posOffset>635</wp:posOffset>
                </wp:positionV>
                <wp:extent cx="3055620" cy="9972040"/>
                <wp:effectExtent l="0" t="0" r="0" b="0"/>
                <wp:wrapSquare wrapText="right"/>
                <wp:docPr id="316" name="Frame236"/>
                <a:graphic xmlns:a="http://schemas.openxmlformats.org/drawingml/2006/main">
                  <a:graphicData uri="http://schemas.microsoft.com/office/word/2010/wordprocessingShape">
                    <wps:wsp>
                      <wps:cNvSpPr txBox="1"/>
                      <wps:spPr>
                        <a:xfrm>
                          <a:off x="0" y="0"/>
                          <a:ext cx="3055620" cy="9972040"/>
                        </a:xfrm>
                        <a:prstGeom prst="rect"/>
                        <a:solidFill>
                          <a:srgbClr val="FFFFFF"/>
                        </a:solidFill>
                      </wps:spPr>
                      <wps:txbx>
                        <w:txbxContent>
                          <w:p>
                            <w:pPr>
                              <w:pStyle w:val="TextBody"/>
                              <w:bidi w:val="0"/>
                              <w:spacing w:lineRule="atLeast" w:line="240" w:before="0" w:after="0"/>
                              <w:ind w:left="760" w:right="0" w:hanging="0"/>
                              <w:jc w:val="both"/>
                              <w:rPr/>
                            </w:pPr>
                            <w:r>
                              <w:rPr>
                                <w:spacing w:val="-2"/>
                              </w:rPr>
                              <w:t>the Board shall have a nominating committee, a majority of which shall be independent and not affiliated with or nominated by PS Inc. or any of its affiliates;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20" w:after="0"/>
                              <w:ind w:left="760" w:right="0" w:hanging="0"/>
                              <w:jc w:val="both"/>
                              <w:rPr/>
                            </w:pPr>
                            <w:r>
                              <w:rPr>
                                <w:spacing w:val="-2"/>
                              </w:rPr>
                              <w:t>the size of the Board will be fixed at eleven members and cannot be changed without approval of 75% of the Board; and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20" w:after="0"/>
                              <w:ind w:left="760" w:right="0" w:hanging="0"/>
                              <w:jc w:val="both"/>
                              <w:rPr/>
                            </w:pPr>
                            <w:r>
                              <w:rPr>
                                <w:spacing w:val="-2"/>
                              </w:rPr>
                              <w:t>any change of control transaction involving stockholders holding more than 10% of the outstanding shares of common stock requires approval of (i) a majority of the Disinterested Directors (as defined in the Standstill Agreement), and (ii) a majority of the voting power of the unaffiliated stockholders.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b/>
                                <w:spacing w:val="0"/>
                              </w:rPr>
                              <w:t>Ownership Cap:</w:t>
                            </w:r>
                            <w:r>
                              <w:rPr>
                                <w:spacing w:val="-2"/>
                              </w:rPr>
                              <w:t xml:space="preserve"> PS Inc., PSCM and their respective affiliates agree not to acquire beneficial or economic ownership of more than 47% of the outstanding shares of common stock.</w:t>
                            </w:r>
                            <w:r>
                              <w:rPr>
                                <w:spacing w:val="4"/>
                              </w:rPr>
                              <w:t xml:space="preserve"> </w:t>
                            </w:r>
                          </w:p>
                          <w:p>
                            <w:pPr>
                              <w:pStyle w:val="TextBody"/>
                              <w:bidi w:val="0"/>
                              <w:spacing w:lineRule="atLeast" w:line="240" w:before="160" w:after="283"/>
                              <w:jc w:val="both"/>
                              <w:rPr/>
                            </w:pPr>
                            <w:r>
                              <w:rPr>
                                <w:b/>
                                <w:spacing w:val="0"/>
                              </w:rPr>
                              <w:t>Voting Cap:</w:t>
                            </w:r>
                            <w:r>
                              <w:rPr>
                                <w:spacing w:val="-2"/>
                              </w:rPr>
                              <w:t xml:space="preserve"> For all matters being voted on at a stockholder meeting or in a consent solicitation that the Board recommends that stockholders approve, the voting power of the shares held by PS Inc., PSCM and their respective affiliates will be limited to 40% of the total voting power of the outstanding shares of Common Stock (the “voting cap”), with the excess of any shares held by PS Inc., PSCM and their respective affiliates over the voting cap (the “excess shares”) to be voted by PS Inc. in proportion to the votes cast by stockholders unaffiliated with PS Inc. This voting cap will be uniformly applied across all matters, except with respect to voting to elect the PS Board Designees, for which no voting cap applies.</w:t>
                            </w:r>
                            <w:r>
                              <w:rPr>
                                <w:spacing w:val="4"/>
                              </w:rPr>
                              <w:t xml:space="preserve"> </w:t>
                            </w:r>
                          </w:p>
                          <w:p>
                            <w:pPr>
                              <w:pStyle w:val="TextBody"/>
                              <w:bidi w:val="0"/>
                              <w:spacing w:lineRule="atLeast" w:line="240" w:before="160" w:after="283"/>
                              <w:jc w:val="both"/>
                              <w:rPr/>
                            </w:pPr>
                            <w:r>
                              <w:rPr>
                                <w:spacing w:val="-2"/>
                              </w:rPr>
                              <w:t xml:space="preserve">For all matters being voted on at a stockholder meeting or in a consent solicitation that the Board has recommended that stockholders </w:t>
                            </w:r>
                            <w:r>
                              <w:rPr>
                                <w:spacing w:val="-2"/>
                                <w:u w:val="single"/>
                              </w:rPr>
                              <w:t>not</w:t>
                            </w:r>
                            <w:r>
                              <w:rPr>
                                <w:spacing w:val="-2"/>
                              </w:rPr>
                              <w:t xml:space="preserve"> approve, PS Inc., PSCM and their respective affiliates may vote all of their shares “against” such matter, or they may vote their shares up to the voting cap “for” such matter, with the excess shares to be voted by PS Inc., Pershing Square and their respective affiliates in proportion to the votes cast by stockholders unaffiliated with PS Inc., PSCM and their respective affiliates, or any transferee thereof. </w:t>
                            </w:r>
                          </w:p>
                          <w:p>
                            <w:pPr>
                              <w:pStyle w:val="TextBody"/>
                              <w:bidi w:val="0"/>
                              <w:spacing w:lineRule="atLeast" w:line="240" w:before="160" w:after="283"/>
                              <w:jc w:val="both"/>
                              <w:rPr/>
                            </w:pPr>
                            <w:r>
                              <w:rPr>
                                <w:b/>
                                <w:spacing w:val="0"/>
                              </w:rPr>
                              <w:t>Transfer Restrictions:</w:t>
                            </w:r>
                            <w:r>
                              <w:rPr>
                                <w:spacing w:val="-2"/>
                              </w:rPr>
                              <w:t xml:space="preserve"> Without the approval of a majority of the Disinterested Directors, PS Inc., PSCM and their respective affiliates may not sell or otherwise transfer any shares of Common Stock that they hold if, immediately after giving effect to such sale or transfer, the person that acquires such Common Stock (other than an underwriter) would, together with its affiliates, beneficially own more than 10% of the then-outstanding shares of Common Stock.</w:t>
                            </w:r>
                            <w:r>
                              <w:rPr>
                                <w:spacing w:val="4"/>
                              </w:rPr>
                              <w:t xml:space="preserve"> </w:t>
                            </w:r>
                          </w:p>
                        </w:txbxContent>
                      </wps:txbx>
                      <wps:bodyPr anchor="t" lIns="0" tIns="0" rIns="0" bIns="0">
                        <a:noAutofit/>
                      </wps:bodyPr>
                    </wps:wsp>
                  </a:graphicData>
                </a:graphic>
              </wp:anchor>
            </w:drawing>
          </mc:Choice>
          <mc:Fallback>
            <w:pict>
              <v:rect style="position:absolute;rotation:-0;width:240.6pt;height:785.2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ind w:left="760" w:right="0" w:hanging="0"/>
                        <w:jc w:val="both"/>
                        <w:rPr/>
                      </w:pPr>
                      <w:r>
                        <w:rPr>
                          <w:spacing w:val="-2"/>
                        </w:rPr>
                        <w:t>the Board shall have a nominating committee, a majority of which shall be independent and not affiliated with or nominated by PS Inc. or any of its affiliates;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20" w:after="0"/>
                        <w:ind w:left="760" w:right="0" w:hanging="0"/>
                        <w:jc w:val="both"/>
                        <w:rPr/>
                      </w:pPr>
                      <w:r>
                        <w:rPr>
                          <w:spacing w:val="-2"/>
                        </w:rPr>
                        <w:t>the size of the Board will be fixed at eleven members and cannot be changed without approval of 75% of the Board; and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20" w:after="0"/>
                        <w:ind w:left="760" w:right="0" w:hanging="0"/>
                        <w:jc w:val="both"/>
                        <w:rPr/>
                      </w:pPr>
                      <w:r>
                        <w:rPr>
                          <w:spacing w:val="-2"/>
                        </w:rPr>
                        <w:t>any change of control transaction involving stockholders holding more than 10% of the outstanding shares of common stock requires approval of (i) a majority of the Disinterested Directors (as defined in the Standstill Agreement), and (ii) a majority of the voting power of the unaffiliated stockholders.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b/>
                          <w:spacing w:val="0"/>
                        </w:rPr>
                        <w:t>Ownership Cap:</w:t>
                      </w:r>
                      <w:r>
                        <w:rPr>
                          <w:spacing w:val="-2"/>
                        </w:rPr>
                        <w:t xml:space="preserve"> PS Inc., PSCM and their respective affiliates agree not to acquire beneficial or economic ownership of more than 47% of the outstanding shares of common stock.</w:t>
                      </w:r>
                      <w:r>
                        <w:rPr>
                          <w:spacing w:val="4"/>
                        </w:rPr>
                        <w:t xml:space="preserve"> </w:t>
                      </w:r>
                    </w:p>
                    <w:p>
                      <w:pPr>
                        <w:pStyle w:val="TextBody"/>
                        <w:bidi w:val="0"/>
                        <w:spacing w:lineRule="atLeast" w:line="240" w:before="160" w:after="283"/>
                        <w:jc w:val="both"/>
                        <w:rPr/>
                      </w:pPr>
                      <w:r>
                        <w:rPr>
                          <w:b/>
                          <w:spacing w:val="0"/>
                        </w:rPr>
                        <w:t>Voting Cap:</w:t>
                      </w:r>
                      <w:r>
                        <w:rPr>
                          <w:spacing w:val="-2"/>
                        </w:rPr>
                        <w:t xml:space="preserve"> For all matters being voted on at a stockholder meeting or in a consent solicitation that the Board recommends that stockholders approve, the voting power of the shares held by PS Inc., PSCM and their respective affiliates will be limited to 40% of the total voting power of the outstanding shares of Common Stock (the “voting cap”), with the excess of any shares held by PS Inc., PSCM and their respective affiliates over the voting cap (the “excess shares”) to be voted by PS Inc. in proportion to the votes cast by stockholders unaffiliated with PS Inc. This voting cap will be uniformly applied across all matters, except with respect to voting to elect the PS Board Designees, for which no voting cap applies.</w:t>
                      </w:r>
                      <w:r>
                        <w:rPr>
                          <w:spacing w:val="4"/>
                        </w:rPr>
                        <w:t xml:space="preserve"> </w:t>
                      </w:r>
                    </w:p>
                    <w:p>
                      <w:pPr>
                        <w:pStyle w:val="TextBody"/>
                        <w:bidi w:val="0"/>
                        <w:spacing w:lineRule="atLeast" w:line="240" w:before="160" w:after="283"/>
                        <w:jc w:val="both"/>
                        <w:rPr/>
                      </w:pPr>
                      <w:r>
                        <w:rPr>
                          <w:spacing w:val="-2"/>
                        </w:rPr>
                        <w:t xml:space="preserve">For all matters being voted on at a stockholder meeting or in a consent solicitation that the Board has recommended that stockholders </w:t>
                      </w:r>
                      <w:r>
                        <w:rPr>
                          <w:spacing w:val="-2"/>
                          <w:u w:val="single"/>
                        </w:rPr>
                        <w:t>not</w:t>
                      </w:r>
                      <w:r>
                        <w:rPr>
                          <w:spacing w:val="-2"/>
                        </w:rPr>
                        <w:t xml:space="preserve"> approve, PS Inc., PSCM and their respective affiliates may vote all of their shares “against” such matter, or they may vote their shares up to the voting cap “for” such matter, with the excess shares to be voted by PS Inc., Pershing Square and their respective affiliates in proportion to the votes cast by stockholders unaffiliated with PS Inc., PSCM and their respective affiliates, or any transferee thereof. </w:t>
                      </w:r>
                    </w:p>
                    <w:p>
                      <w:pPr>
                        <w:pStyle w:val="TextBody"/>
                        <w:bidi w:val="0"/>
                        <w:spacing w:lineRule="atLeast" w:line="240" w:before="160" w:after="283"/>
                        <w:jc w:val="both"/>
                        <w:rPr/>
                      </w:pPr>
                      <w:r>
                        <w:rPr>
                          <w:b/>
                          <w:spacing w:val="0"/>
                        </w:rPr>
                        <w:t>Transfer Restrictions:</w:t>
                      </w:r>
                      <w:r>
                        <w:rPr>
                          <w:spacing w:val="-2"/>
                        </w:rPr>
                        <w:t xml:space="preserve"> Without the approval of a majority of the Disinterested Directors, PS Inc., PSCM and their respective affiliates may not sell or otherwise transfer any shares of Common Stock that they hold if, immediately after giving effect to such sale or transfer, the person that acquires such Common Stock (other than an underwriter) would, together with its affiliates, beneficially own more than 10% of the then-outstanding shares of Common Stock.</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372">
                <wp:simplePos x="0" y="0"/>
                <wp:positionH relativeFrom="column">
                  <wp:align>left</wp:align>
                </wp:positionH>
                <wp:positionV relativeFrom="line">
                  <wp:posOffset>635</wp:posOffset>
                </wp:positionV>
                <wp:extent cx="3055620" cy="9972040"/>
                <wp:effectExtent l="0" t="0" r="0" b="0"/>
                <wp:wrapSquare wrapText="right"/>
                <wp:docPr id="317" name="Frame240"/>
                <a:graphic xmlns:a="http://schemas.openxmlformats.org/drawingml/2006/main">
                  <a:graphicData uri="http://schemas.microsoft.com/office/word/2010/wordprocessingShape">
                    <wps:wsp>
                      <wps:cNvSpPr txBox="1"/>
                      <wps:spPr>
                        <a:xfrm>
                          <a:off x="0" y="0"/>
                          <a:ext cx="3055620" cy="9972040"/>
                        </a:xfrm>
                        <a:prstGeom prst="rect"/>
                        <a:solidFill>
                          <a:srgbClr val="FFFFFF"/>
                        </a:solidFill>
                      </wps:spPr>
                      <wps:txbx>
                        <w:txbxContent>
                          <w:p>
                            <w:pPr>
                              <w:pStyle w:val="TextBody"/>
                              <w:bidi w:val="0"/>
                              <w:spacing w:lineRule="atLeast" w:line="240" w:before="0" w:after="0"/>
                              <w:jc w:val="both"/>
                              <w:rPr/>
                            </w:pPr>
                            <w:r>
                              <w:rPr>
                                <w:b/>
                                <w:spacing w:val="0"/>
                              </w:rPr>
                              <w:t>Related Party Transactions:</w:t>
                            </w:r>
                            <w:r>
                              <w:rPr>
                                <w:spacing w:val="-2"/>
                              </w:rPr>
                              <w:t xml:space="preserve"> Without the approval of a majority of the Disinterested Directors, PS Inc., PSCM and their respective affiliates may not engage in (i) any transaction or series of related transactions, directly or indirectly, between the Company or any subsidiary of the Company, on the one hand, and any of PS Inc., PSCM or their respective affiliates, on the other hand, or (ii) with respect to the purchase or sale of Common Stock by any of PS Inc., PSCM or their respective affiliates, any waiver of any limitation or restriction with respect to such purchase or sale in the Transaction Documents (defined below), except for (i) transactions expressly contemplated in the Transaction Documents, (ii) customary compensation arrangements for Board designees and (iii) transactions in the ordinary course of the Company’s business that do not involve payments by the Company in excess of $10,000,000.</w:t>
                            </w:r>
                            <w:r>
                              <w:rPr>
                                <w:spacing w:val="4"/>
                              </w:rPr>
                              <w:t xml:space="preserve"> </w:t>
                            </w:r>
                          </w:p>
                          <w:p>
                            <w:pPr>
                              <w:pStyle w:val="TextBody"/>
                              <w:bidi w:val="0"/>
                              <w:spacing w:lineRule="atLeast" w:line="240" w:before="160" w:after="283"/>
                              <w:jc w:val="both"/>
                              <w:rPr/>
                            </w:pPr>
                            <w:r>
                              <w:rPr>
                                <w:b/>
                                <w:spacing w:val="0"/>
                              </w:rPr>
                              <w:t>Termination:</w:t>
                            </w:r>
                            <w:r>
                              <w:rPr>
                                <w:spacing w:val="-2"/>
                              </w:rPr>
                              <w:t xml:space="preserve"> The Standstill Agreement can be terminated (i) by mutual agreement between the Company and PS Inc. but only if 2/3 of the Disinterested Directors approve such termination; (ii) without any further action by the parties, if PS Inc. beneficially owns less than 10% of the outstanding shares of Common Stock on a fully diluted basis; (iii) without any further action by the parties, following a change of control of the Company not involving PS Inc., PSCM or any of their respective affiliates; (iv) without any further action by the parties, upon a sale of substantially all of the Company’s assets or the acquisition by any person or group of voting securities of the Company entitling such person or group to exercise 90% or more of the total voting power of the outstanding stock entitled to vote generally on the election of directors; and (v) upon notice by PS Inc. to the Company in the event the Services Agreement has expired or otherwise terminated.</w:t>
                            </w:r>
                            <w:r>
                              <w:rPr>
                                <w:spacing w:val="4"/>
                              </w:rPr>
                              <w:t xml:space="preserve"> </w:t>
                            </w:r>
                          </w:p>
                          <w:p>
                            <w:pPr>
                              <w:pStyle w:val="TextBody"/>
                              <w:bidi w:val="0"/>
                              <w:spacing w:lineRule="atLeast" w:line="240" w:before="240" w:after="283"/>
                              <w:jc w:val="left"/>
                              <w:rPr>
                                <w:b/>
                                <w:i/>
                              </w:rPr>
                            </w:pPr>
                            <w:r>
                              <w:rPr>
                                <w:b/>
                                <w:i/>
                              </w:rPr>
                              <w:t>2025 Registration Rights Agreement</w:t>
                            </w:r>
                            <w:r>
                              <w:rPr>
                                <w:b/>
                                <w:i/>
                                <w:caps w:val="false"/>
                                <w:smallCaps w:val="false"/>
                                <w:spacing w:val="4"/>
                              </w:rPr>
                              <w:t xml:space="preserve"> </w:t>
                            </w:r>
                          </w:p>
                          <w:p>
                            <w:pPr>
                              <w:pStyle w:val="TextBody"/>
                              <w:bidi w:val="0"/>
                              <w:spacing w:lineRule="atLeast" w:line="240" w:before="240" w:after="283"/>
                              <w:jc w:val="both"/>
                              <w:rPr/>
                            </w:pPr>
                            <w:r>
                              <w:rPr>
                                <w:spacing w:val="-2"/>
                              </w:rPr>
                              <w:t>The Company entered into a Registration Rights Agreement, dated May 5, 2025, by and among the Company, PS Inc. (f/k/a Pershing Square Holdco, L.P.), and certain other affiliates of PSCM (the “2025 Registration Rights Agreement”), pursuant to which PS Inc. and such affiliates are entitled to registration rights.</w:t>
                            </w:r>
                            <w:r>
                              <w:rPr>
                                <w:spacing w:val="4"/>
                              </w:rPr>
                              <w:t xml:space="preserve"> </w:t>
                            </w:r>
                          </w:p>
                          <w:p>
                            <w:pPr>
                              <w:pStyle w:val="TextBody"/>
                              <w:bidi w:val="0"/>
                              <w:spacing w:lineRule="atLeast" w:line="240" w:before="160" w:after="283"/>
                              <w:jc w:val="both"/>
                              <w:rPr/>
                            </w:pPr>
                            <w:r>
                              <w:rPr>
                                <w:spacing w:val="-2"/>
                              </w:rPr>
                              <w:t>Pursuant to the 2025 Registration Rights Agreement, the Company agreed to use its reasonable best efforts to register for resale all or a part of the shares of Common Stock owned by PS Inc. having an estimated aggregate fair market value of at least $25 million. The 2025 Registration Rights Agreement contains customary indemnification provisions.</w:t>
                            </w:r>
                            <w:r>
                              <w:rPr>
                                <w:spacing w:val="4"/>
                              </w:rPr>
                              <w:t xml:space="preserve"> </w:t>
                            </w:r>
                          </w:p>
                        </w:txbxContent>
                      </wps:txbx>
                      <wps:bodyPr anchor="t" lIns="0" tIns="0" rIns="0" bIns="0">
                        <a:noAutofit/>
                      </wps:bodyPr>
                    </wps:wsp>
                  </a:graphicData>
                </a:graphic>
              </wp:anchor>
            </w:drawing>
          </mc:Choice>
          <mc:Fallback>
            <w:pict>
              <v:rect style="position:absolute;rotation:-0;width:240.6pt;height:785.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jc w:val="both"/>
                        <w:rPr/>
                      </w:pPr>
                      <w:r>
                        <w:rPr>
                          <w:b/>
                          <w:spacing w:val="0"/>
                        </w:rPr>
                        <w:t>Related Party Transactions:</w:t>
                      </w:r>
                      <w:r>
                        <w:rPr>
                          <w:spacing w:val="-2"/>
                        </w:rPr>
                        <w:t xml:space="preserve"> Without the approval of a majority of the Disinterested Directors, PS Inc., PSCM and their respective affiliates may not engage in (i) any transaction or series of related transactions, directly or indirectly, between the Company or any subsidiary of the Company, on the one hand, and any of PS Inc., PSCM or their respective affiliates, on the other hand, or (ii) with respect to the purchase or sale of Common Stock by any of PS Inc., PSCM or their respective affiliates, any waiver of any limitation or restriction with respect to such purchase or sale in the Transaction Documents (defined below), except for (i) transactions expressly contemplated in the Transaction Documents, (ii) customary compensation arrangements for Board designees and (iii) transactions in the ordinary course of the Company’s business that do not involve payments by the Company in excess of $10,000,000.</w:t>
                      </w:r>
                      <w:r>
                        <w:rPr>
                          <w:spacing w:val="4"/>
                        </w:rPr>
                        <w:t xml:space="preserve"> </w:t>
                      </w:r>
                    </w:p>
                    <w:p>
                      <w:pPr>
                        <w:pStyle w:val="TextBody"/>
                        <w:bidi w:val="0"/>
                        <w:spacing w:lineRule="atLeast" w:line="240" w:before="160" w:after="283"/>
                        <w:jc w:val="both"/>
                        <w:rPr/>
                      </w:pPr>
                      <w:r>
                        <w:rPr>
                          <w:b/>
                          <w:spacing w:val="0"/>
                        </w:rPr>
                        <w:t>Termination:</w:t>
                      </w:r>
                      <w:r>
                        <w:rPr>
                          <w:spacing w:val="-2"/>
                        </w:rPr>
                        <w:t xml:space="preserve"> The Standstill Agreement can be terminated (i) by mutual agreement between the Company and PS Inc. but only if 2/3 of the Disinterested Directors approve such termination; (ii) without any further action by the parties, if PS Inc. beneficially owns less than 10% of the outstanding shares of Common Stock on a fully diluted basis; (iii) without any further action by the parties, following a change of control of the Company not involving PS Inc., PSCM or any of their respective affiliates; (iv) without any further action by the parties, upon a sale of substantially all of the Company’s assets or the acquisition by any person or group of voting securities of the Company entitling such person or group to exercise 90% or more of the total voting power of the outstanding stock entitled to vote generally on the election of directors; and (v) upon notice by PS Inc. to the Company in the event the Services Agreement has expired or otherwise terminated.</w:t>
                      </w:r>
                      <w:r>
                        <w:rPr>
                          <w:spacing w:val="4"/>
                        </w:rPr>
                        <w:t xml:space="preserve"> </w:t>
                      </w:r>
                    </w:p>
                    <w:p>
                      <w:pPr>
                        <w:pStyle w:val="TextBody"/>
                        <w:bidi w:val="0"/>
                        <w:spacing w:lineRule="atLeast" w:line="240" w:before="240" w:after="283"/>
                        <w:jc w:val="left"/>
                        <w:rPr>
                          <w:b/>
                          <w:i/>
                        </w:rPr>
                      </w:pPr>
                      <w:r>
                        <w:rPr>
                          <w:b/>
                          <w:i/>
                        </w:rPr>
                        <w:t>2025 Registration Rights Agreement</w:t>
                      </w:r>
                      <w:r>
                        <w:rPr>
                          <w:b/>
                          <w:i/>
                          <w:caps w:val="false"/>
                          <w:smallCaps w:val="false"/>
                          <w:spacing w:val="4"/>
                        </w:rPr>
                        <w:t xml:space="preserve"> </w:t>
                      </w:r>
                    </w:p>
                    <w:p>
                      <w:pPr>
                        <w:pStyle w:val="TextBody"/>
                        <w:bidi w:val="0"/>
                        <w:spacing w:lineRule="atLeast" w:line="240" w:before="240" w:after="283"/>
                        <w:jc w:val="both"/>
                        <w:rPr/>
                      </w:pPr>
                      <w:r>
                        <w:rPr>
                          <w:spacing w:val="-2"/>
                        </w:rPr>
                        <w:t>The Company entered into a Registration Rights Agreement, dated May 5, 2025, by and among the Company, PS Inc. (f/k/a Pershing Square Holdco, L.P.), and certain other affiliates of PSCM (the “2025 Registration Rights Agreement”), pursuant to which PS Inc. and such affiliates are entitled to registration rights.</w:t>
                      </w:r>
                      <w:r>
                        <w:rPr>
                          <w:spacing w:val="4"/>
                        </w:rPr>
                        <w:t xml:space="preserve"> </w:t>
                      </w:r>
                    </w:p>
                    <w:p>
                      <w:pPr>
                        <w:pStyle w:val="TextBody"/>
                        <w:bidi w:val="0"/>
                        <w:spacing w:lineRule="atLeast" w:line="240" w:before="160" w:after="283"/>
                        <w:jc w:val="both"/>
                        <w:rPr/>
                      </w:pPr>
                      <w:r>
                        <w:rPr>
                          <w:spacing w:val="-2"/>
                        </w:rPr>
                        <w:t>Pursuant to the 2025 Registration Rights Agreement, the Company agreed to use its reasonable best efforts to register for resale all or a part of the shares of Common Stock owned by PS Inc. having an estimated aggregate fair market value of at least $25 million. The 2025 Registration Rights Agreement contains customary indemnification provisions.</w:t>
                      </w:r>
                      <w:r>
                        <w:rPr>
                          <w:spacing w:val="4"/>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369">
                <wp:simplePos x="0" y="0"/>
                <wp:positionH relativeFrom="column">
                  <wp:align>left</wp:align>
                </wp:positionH>
                <wp:positionV relativeFrom="line">
                  <wp:posOffset>635</wp:posOffset>
                </wp:positionV>
                <wp:extent cx="228600" cy="350520"/>
                <wp:effectExtent l="0" t="0" r="0" b="0"/>
                <wp:wrapSquare wrapText="right"/>
                <wp:docPr id="318" name="Frame23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254000" distR="0" simplePos="0" locked="0" layoutInCell="1" allowOverlap="1" relativeHeight="370">
                <wp:simplePos x="0" y="0"/>
                <wp:positionH relativeFrom="column">
                  <wp:align>left</wp:align>
                </wp:positionH>
                <wp:positionV relativeFrom="line">
                  <wp:align>top</wp:align>
                </wp:positionV>
                <wp:extent cx="228600" cy="350520"/>
                <wp:effectExtent l="0" t="0" r="0" b="0"/>
                <wp:wrapSquare wrapText="right"/>
                <wp:docPr id="319" name="Frame23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254000" distR="0" simplePos="0" locked="0" layoutInCell="1" allowOverlap="1" relativeHeight="371">
                <wp:simplePos x="0" y="0"/>
                <wp:positionH relativeFrom="column">
                  <wp:align>left</wp:align>
                </wp:positionH>
                <wp:positionV relativeFrom="line">
                  <wp:align>top</wp:align>
                </wp:positionV>
                <wp:extent cx="228600" cy="350520"/>
                <wp:effectExtent l="0" t="0" r="0" b="0"/>
                <wp:wrapSquare wrapText="right"/>
                <wp:docPr id="320" name="Frame23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/ 33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Related-Party Transactions and Certain Relationships</w:t>
      </w:r>
      <w:r>
        <w:rPr>
          <w:rFonts w:ascii="Arial;Helvetica;sans-serif" w:hAnsi="Arial;Helvetica;sans-serif"/>
          <w:b/>
          <w:i w:val="false"/>
          <w:caps w:val="false"/>
          <w:smallCaps w:val="false"/>
          <w:color w:val="7F7F7F"/>
          <w:spacing w:val="-3"/>
          <w:sz w:val="22"/>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373">
                <wp:simplePos x="0" y="0"/>
                <wp:positionH relativeFrom="column">
                  <wp:align>left</wp:align>
                </wp:positionH>
                <wp:positionV relativeFrom="line">
                  <wp:posOffset>635</wp:posOffset>
                </wp:positionV>
                <wp:extent cx="3055620" cy="9972040"/>
                <wp:effectExtent l="0" t="0" r="0" b="0"/>
                <wp:wrapSquare wrapText="right"/>
                <wp:docPr id="321" name="Frame241"/>
                <a:graphic xmlns:a="http://schemas.openxmlformats.org/drawingml/2006/main">
                  <a:graphicData uri="http://schemas.microsoft.com/office/word/2010/wordprocessingShape">
                    <wps:wsp>
                      <wps:cNvSpPr txBox="1"/>
                      <wps:spPr>
                        <a:xfrm>
                          <a:off x="0" y="0"/>
                          <a:ext cx="3055620" cy="9972040"/>
                        </a:xfrm>
                        <a:prstGeom prst="rect"/>
                        <a:solidFill>
                          <a:srgbClr val="FFFFFF"/>
                        </a:solidFill>
                      </wps:spPr>
                      <wps:txbx>
                        <w:txbxContent>
                          <w:p>
                            <w:pPr>
                              <w:pStyle w:val="TextBody"/>
                              <w:bidi w:val="0"/>
                              <w:spacing w:lineRule="atLeast" w:line="240" w:before="0" w:after="0"/>
                              <w:jc w:val="left"/>
                              <w:rPr>
                                <w:b/>
                                <w:i/>
                              </w:rPr>
                            </w:pPr>
                            <w:r>
                              <w:rPr>
                                <w:b/>
                                <w:i/>
                              </w:rPr>
                              <w:t>Vantage Acquisition – Equity Commitment Letter and Series A Preferred Stock Issuance</w:t>
                            </w:r>
                            <w:r>
                              <w:rPr>
                                <w:b/>
                                <w:i/>
                                <w:caps w:val="false"/>
                                <w:smallCaps w:val="false"/>
                                <w:spacing w:val="4"/>
                              </w:rPr>
                              <w:t xml:space="preserve"> </w:t>
                            </w:r>
                          </w:p>
                          <w:p>
                            <w:pPr>
                              <w:pStyle w:val="TextBody"/>
                              <w:bidi w:val="0"/>
                              <w:spacing w:lineRule="atLeast" w:line="240" w:before="240" w:after="283"/>
                              <w:jc w:val="both"/>
                              <w:rPr/>
                            </w:pPr>
                            <w:r>
                              <w:rPr>
                                <w:spacing w:val="-2"/>
                              </w:rPr>
                              <w:t>On December 17, 2025, in connection with the Company’s proposed acquisition of Vantage Group Holdings, Ltd. (“Vantage”), the Company entered into an Equity Commitment Letter (the “ECL”) with Pershing Square Holdings, Ltd. (“PSH”), pursuant to which PSH committed to purchase, prior to and contingent upon the closing of the Vantage acquisition, up to $1.0 billion of shares of the Company’s newly designated Non-Voting Exchangeable Perpetual Preferred Stock, par value $0.01 per share (the “Series A Preferred Stock”).</w:t>
                            </w:r>
                            <w:r>
                              <w:rPr>
                                <w:spacing w:val="4"/>
                              </w:rPr>
                              <w:t xml:space="preserve"> </w:t>
                            </w:r>
                          </w:p>
                          <w:p>
                            <w:pPr>
                              <w:pStyle w:val="TextBody"/>
                              <w:bidi w:val="0"/>
                              <w:spacing w:lineRule="atLeast" w:line="240" w:before="160" w:after="283"/>
                              <w:jc w:val="both"/>
                              <w:rPr/>
                            </w:pPr>
                            <w:r>
                              <w:rPr>
                                <w:spacing w:val="-2"/>
                              </w:rPr>
                              <w:t>The Company completed the acquisition of 100% of the outstanding equity interests of Vantage on June 4, 2026 (the “</w:t>
                            </w:r>
                            <w:r>
                              <w:rPr>
                                <w:b/>
                                <w:i/>
                              </w:rPr>
                              <w:t>Vantage Closing Date</w:t>
                            </w:r>
                            <w:r>
                              <w:rPr>
                                <w:spacing w:val="-2"/>
                              </w:rPr>
                              <w:t>”). In connection with the closing of the Vantage acquisition, the Company issued 140,000 shares of Series A Preferred Stock to PSH (through 14 separate non-U.S. holding entities, one for each of the 14 Tranches of the Series A Preferred Stock), at an original issue price of $7,142.857 per share, for an aggregate purchase price of $1.0 billion. The proceeds from the issuance of the Series A Preferred Stock were used to fund a portion of the cash consideration for the Vantage acquisition and to contribute additional equity capital to Vantage for working capital and general corporate purposes following the closing. The terms and conditions of the Series A Preferred Stock are set forth in the Certificate of Designations filed with the Secretary of State of the State of Delaware on June 4, 2026.</w:t>
                            </w:r>
                            <w:r>
                              <w:rPr/>
                              <w:t xml:space="preserve"> </w:t>
                            </w:r>
                          </w:p>
                          <w:p>
                            <w:pPr>
                              <w:pStyle w:val="TextBody"/>
                              <w:bidi w:val="0"/>
                              <w:spacing w:lineRule="atLeast" w:line="240" w:before="160" w:after="283"/>
                              <w:jc w:val="both"/>
                              <w:rPr/>
                            </w:pPr>
                            <w:r>
                              <w:rPr>
                                <w:spacing w:val="-2"/>
                              </w:rPr>
                              <w:t>In connection with the closing of the Vantage acquisition, on June 4, 2026, the Company entered into a Subscription Agreement (the “SA”) with PSH on terms substantially similar to the terms set forth in the ECL. Pursuant to the SA, the Company issued and sold the Series A Preferred Stock to PSH for an aggregate purchase price of $1.0 billion. Pursuant to the SA, PSH has a right of first refusal with respect to any proposed secondary sale of any equity securities of Howard Hughes Insurance Holdings, LLC (including any instruments convertible into such equity) to any third party. The right of first refusal permits PSH to purchase any of those equity securities from the Company or Howard Hughes Insurance Holdings, LLC on the terms and conditions offered to the other third party. In the event the exercise of the right of first refusal would cause PSH to exceed 49% of the total shares of Buyer Units (as defined below) outstanding at any time, the underlying proposed sale shall require the consent of a majority-in-interest of the holders of Preferred Stock.</w:t>
                            </w:r>
                            <w:r>
                              <w:rPr>
                                <w:spacing w:val="4"/>
                              </w:rPr>
                              <w:t xml:space="preserve"> </w:t>
                            </w:r>
                          </w:p>
                          <w:p>
                            <w:pPr>
                              <w:pStyle w:val="TextBody"/>
                              <w:bidi w:val="0"/>
                              <w:spacing w:lineRule="atLeast" w:line="240" w:before="160" w:after="283"/>
                              <w:jc w:val="both"/>
                              <w:rPr/>
                            </w:pPr>
                            <w:r>
                              <w:rPr>
                                <w:spacing w:val="-2"/>
                              </w:rPr>
                              <w:t>The material terms of the Series A Preferred Stock include:</w:t>
                            </w:r>
                            <w:r>
                              <w:rPr>
                                <w:spacing w:val="4"/>
                              </w:rPr>
                              <w:t xml:space="preserve"> </w:t>
                            </w:r>
                          </w:p>
                        </w:txbxContent>
                      </wps:txbx>
                      <wps:bodyPr anchor="t" lIns="0" tIns="0" rIns="0" bIns="0">
                        <a:noAutofit/>
                      </wps:bodyPr>
                    </wps:wsp>
                  </a:graphicData>
                </a:graphic>
              </wp:anchor>
            </w:drawing>
          </mc:Choice>
          <mc:Fallback>
            <w:pict>
              <v:rect style="position:absolute;rotation:-0;width:240.6pt;height:785.2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jc w:val="left"/>
                        <w:rPr>
                          <w:b/>
                          <w:i/>
                        </w:rPr>
                      </w:pPr>
                      <w:r>
                        <w:rPr>
                          <w:b/>
                          <w:i/>
                        </w:rPr>
                        <w:t>Vantage Acquisition – Equity Commitment Letter and Series A Preferred Stock Issuance</w:t>
                      </w:r>
                      <w:r>
                        <w:rPr>
                          <w:b/>
                          <w:i/>
                          <w:caps w:val="false"/>
                          <w:smallCaps w:val="false"/>
                          <w:spacing w:val="4"/>
                        </w:rPr>
                        <w:t xml:space="preserve"> </w:t>
                      </w:r>
                    </w:p>
                    <w:p>
                      <w:pPr>
                        <w:pStyle w:val="TextBody"/>
                        <w:bidi w:val="0"/>
                        <w:spacing w:lineRule="atLeast" w:line="240" w:before="240" w:after="283"/>
                        <w:jc w:val="both"/>
                        <w:rPr/>
                      </w:pPr>
                      <w:r>
                        <w:rPr>
                          <w:spacing w:val="-2"/>
                        </w:rPr>
                        <w:t>On December 17, 2025, in connection with the Company’s proposed acquisition of Vantage Group Holdings, Ltd. (“Vantage”), the Company entered into an Equity Commitment Letter (the “ECL”) with Pershing Square Holdings, Ltd. (“PSH”), pursuant to which PSH committed to purchase, prior to and contingent upon the closing of the Vantage acquisition, up to $1.0 billion of shares of the Company’s newly designated Non-Voting Exchangeable Perpetual Preferred Stock, par value $0.01 per share (the “Series A Preferred Stock”).</w:t>
                      </w:r>
                      <w:r>
                        <w:rPr>
                          <w:spacing w:val="4"/>
                        </w:rPr>
                        <w:t xml:space="preserve"> </w:t>
                      </w:r>
                    </w:p>
                    <w:p>
                      <w:pPr>
                        <w:pStyle w:val="TextBody"/>
                        <w:bidi w:val="0"/>
                        <w:spacing w:lineRule="atLeast" w:line="240" w:before="160" w:after="283"/>
                        <w:jc w:val="both"/>
                        <w:rPr/>
                      </w:pPr>
                      <w:r>
                        <w:rPr>
                          <w:spacing w:val="-2"/>
                        </w:rPr>
                        <w:t>The Company completed the acquisition of 100% of the outstanding equity interests of Vantage on June 4, 2026 (the “</w:t>
                      </w:r>
                      <w:r>
                        <w:rPr>
                          <w:b/>
                          <w:i/>
                        </w:rPr>
                        <w:t>Vantage Closing Date</w:t>
                      </w:r>
                      <w:r>
                        <w:rPr>
                          <w:spacing w:val="-2"/>
                        </w:rPr>
                        <w:t>”). In connection with the closing of the Vantage acquisition, the Company issued 140,000 shares of Series A Preferred Stock to PSH (through 14 separate non-U.S. holding entities, one for each of the 14 Tranches of the Series A Preferred Stock), at an original issue price of $7,142.857 per share, for an aggregate purchase price of $1.0 billion. The proceeds from the issuance of the Series A Preferred Stock were used to fund a portion of the cash consideration for the Vantage acquisition and to contribute additional equity capital to Vantage for working capital and general corporate purposes following the closing. The terms and conditions of the Series A Preferred Stock are set forth in the Certificate of Designations filed with the Secretary of State of the State of Delaware on June 4, 2026.</w:t>
                      </w:r>
                      <w:r>
                        <w:rPr/>
                        <w:t xml:space="preserve"> </w:t>
                      </w:r>
                    </w:p>
                    <w:p>
                      <w:pPr>
                        <w:pStyle w:val="TextBody"/>
                        <w:bidi w:val="0"/>
                        <w:spacing w:lineRule="atLeast" w:line="240" w:before="160" w:after="283"/>
                        <w:jc w:val="both"/>
                        <w:rPr/>
                      </w:pPr>
                      <w:r>
                        <w:rPr>
                          <w:spacing w:val="-2"/>
                        </w:rPr>
                        <w:t>In connection with the closing of the Vantage acquisition, on June 4, 2026, the Company entered into a Subscription Agreement (the “SA”) with PSH on terms substantially similar to the terms set forth in the ECL. Pursuant to the SA, the Company issued and sold the Series A Preferred Stock to PSH for an aggregate purchase price of $1.0 billion. Pursuant to the SA, PSH has a right of first refusal with respect to any proposed secondary sale of any equity securities of Howard Hughes Insurance Holdings, LLC (including any instruments convertible into such equity) to any third party. The right of first refusal permits PSH to purchase any of those equity securities from the Company or Howard Hughes Insurance Holdings, LLC on the terms and conditions offered to the other third party. In the event the exercise of the right of first refusal would cause PSH to exceed 49% of the total shares of Buyer Units (as defined below) outstanding at any time, the underlying proposed sale shall require the consent of a majority-in-interest of the holders of Preferred Stock.</w:t>
                      </w:r>
                      <w:r>
                        <w:rPr>
                          <w:spacing w:val="4"/>
                        </w:rPr>
                        <w:t xml:space="preserve"> </w:t>
                      </w:r>
                    </w:p>
                    <w:p>
                      <w:pPr>
                        <w:pStyle w:val="TextBody"/>
                        <w:bidi w:val="0"/>
                        <w:spacing w:lineRule="atLeast" w:line="240" w:before="160" w:after="283"/>
                        <w:jc w:val="both"/>
                        <w:rPr/>
                      </w:pPr>
                      <w:r>
                        <w:rPr>
                          <w:spacing w:val="-2"/>
                        </w:rPr>
                        <w:t>The material terms of the Series A Preferred Stock include:</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374">
                <wp:simplePos x="0" y="0"/>
                <wp:positionH relativeFrom="column">
                  <wp:align>left</wp:align>
                </wp:positionH>
                <wp:positionV relativeFrom="line">
                  <wp:posOffset>635</wp:posOffset>
                </wp:positionV>
                <wp:extent cx="3055620" cy="9972040"/>
                <wp:effectExtent l="0" t="0" r="0" b="0"/>
                <wp:wrapSquare wrapText="right"/>
                <wp:docPr id="322" name="Frame242"/>
                <a:graphic xmlns:a="http://schemas.openxmlformats.org/drawingml/2006/main">
                  <a:graphicData uri="http://schemas.microsoft.com/office/word/2010/wordprocessingShape">
                    <wps:wsp>
                      <wps:cNvSpPr txBox="1"/>
                      <wps:spPr>
                        <a:xfrm>
                          <a:off x="0" y="0"/>
                          <a:ext cx="3055620" cy="9972040"/>
                        </a:xfrm>
                        <a:prstGeom prst="rect"/>
                        <a:solidFill>
                          <a:srgbClr val="FFFFFF"/>
                        </a:solidFill>
                      </wps:spPr>
                      <wps:txbx>
                        <w:txbxContent>
                          <w:p>
                            <w:pPr>
                              <w:pStyle w:val="TextBody"/>
                              <w:bidi w:val="0"/>
                              <w:spacing w:lineRule="atLeast" w:line="240" w:before="0" w:after="0"/>
                              <w:ind w:left="760" w:right="0" w:hanging="0"/>
                              <w:jc w:val="both"/>
                              <w:rPr/>
                            </w:pPr>
                            <w:r>
                              <w:rPr>
                                <w:b/>
                                <w:spacing w:val="0"/>
                              </w:rPr>
                              <w:t>Dividends:</w:t>
                            </w:r>
                            <w:r>
                              <w:rPr>
                                <w:spacing w:val="-2"/>
                              </w:rPr>
                              <w:t xml:space="preserve"> Dividends, if any, may be declared at the sole discretion of a majority of the Disinterested Directors of the Board. If declared, dividends track, on an as-exchanged basis, dividends or distributions received by the Company from its wholly-owned subsidiary Howard Hughes Insurance Holdings, LLC (the vehicle through which the Company holds Vantage).</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20" w:after="0"/>
                              <w:ind w:left="760" w:right="0" w:hanging="0"/>
                              <w:jc w:val="both"/>
                              <w:rPr/>
                            </w:pPr>
                            <w:r>
                              <w:rPr>
                                <w:b/>
                                <w:spacing w:val="0"/>
                              </w:rPr>
                              <w:t>Exchange Right:</w:t>
                            </w:r>
                            <w:r>
                              <w:rPr>
                                <w:spacing w:val="-2"/>
                              </w:rPr>
                              <w:t xml:space="preserve"> Beginning in the 60-day window following the end of the seventh fiscal year after the Original Issue Date (commencing with the fiscal year ending December 31, 2026), and within 60 days following each subsequent fiscal year-end, PSH may exchange, in increments of full Tranches, shares of Series A Preferred Stock representing more than 10% of its total shares of Series A Preferred Stock (or, if the remaining shares are less than one full Tranche, such remaining shares), without the payment of additional consideration, into a number of common equity interests of Howard Hughes Insurance Holdings, LLC (“InsuranceCo Common Units” or “Buyer Units”) at the applicable Exchange Ratio (as defined in the Certificate of Designations). Prior to any exchange, the applicable holder must obtain any required regulatory approvals from the Delaware Department of Insurance (including a Form A approval, an applicable exemption, or a new Disclaimer of Control). The Series A Preferred Stock will become exchangeable into Buyer Units if not redeemed by the end of the seventh fiscal year following the Vantage Closing Date.</w:t>
                            </w:r>
                            <w:r>
                              <w:rPr/>
                              <w:t xml:space="preserve"> </w:t>
                            </w:r>
                          </w:p>
                          <w:p>
                            <w:pPr>
                              <w:pStyle w:val="TextBody"/>
                              <w:bidi w:val="0"/>
                              <w:spacing w:before="0" w:after="0"/>
                              <w:ind w:left="0" w:right="0" w:hanging="0"/>
                              <w:jc w:val="left"/>
                              <w:rPr/>
                            </w:pPr>
                            <w:r>
                              <w:rPr/>
                              <w:t>​</w:t>
                            </w:r>
                          </w:p>
                          <w:p>
                            <w:pPr>
                              <w:pStyle w:val="TextBody"/>
                              <w:bidi w:val="0"/>
                              <w:spacing w:lineRule="atLeast" w:line="240" w:before="120" w:after="0"/>
                              <w:ind w:left="760" w:right="0" w:hanging="0"/>
                              <w:jc w:val="both"/>
                              <w:rPr/>
                            </w:pPr>
                            <w:r>
                              <w:rPr>
                                <w:b/>
                                <w:spacing w:val="0"/>
                              </w:rPr>
                              <w:t>Redemption:</w:t>
                            </w:r>
                            <w:r>
                              <w:rPr>
                                <w:spacing w:val="-2"/>
                              </w:rPr>
                              <w:t xml:space="preserve"> The Company has the right, but not the obligation, to redeem the Series A Preferred Stock during specified periods and upon certain triggering events.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20" w:after="0"/>
                              <w:ind w:left="760" w:right="0" w:hanging="0"/>
                              <w:jc w:val="both"/>
                              <w:rPr/>
                            </w:pPr>
                            <w:r>
                              <w:rPr>
                                <w:b/>
                                <w:spacing w:val="0"/>
                              </w:rPr>
                              <w:t>Investment Management:</w:t>
                            </w:r>
                            <w:r>
                              <w:rPr>
                                <w:spacing w:val="-2"/>
                              </w:rPr>
                              <w:t xml:space="preserve"> Upon consummation of the Vantage acquisition on the Vantage Closing Date, PSCM entered into investment management agreements with each of Vantage Risk Specialty Insurance Company, Vantage Risk Assurance Company, Vantage Risk Ltd., and Vantage, pursuant to which PSCM will act as investment manager of each company’s general account and other investment portfolios. As long as the Services Agreement, dated May 5, 2025, between the Company and PSCM remains in effect, none of these Vantage subsidiaries will pay any additional investment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0.6pt;height:785.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ind w:left="760" w:right="0" w:hanging="0"/>
                        <w:jc w:val="both"/>
                        <w:rPr/>
                      </w:pPr>
                      <w:r>
                        <w:rPr>
                          <w:b/>
                          <w:spacing w:val="0"/>
                        </w:rPr>
                        <w:t>Dividends:</w:t>
                      </w:r>
                      <w:r>
                        <w:rPr>
                          <w:spacing w:val="-2"/>
                        </w:rPr>
                        <w:t xml:space="preserve"> Dividends, if any, may be declared at the sole discretion of a majority of the Disinterested Directors of the Board. If declared, dividends track, on an as-exchanged basis, dividends or distributions received by the Company from its wholly-owned subsidiary Howard Hughes Insurance Holdings, LLC (the vehicle through which the Company holds Vantage).</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20" w:after="0"/>
                        <w:ind w:left="760" w:right="0" w:hanging="0"/>
                        <w:jc w:val="both"/>
                        <w:rPr/>
                      </w:pPr>
                      <w:r>
                        <w:rPr>
                          <w:b/>
                          <w:spacing w:val="0"/>
                        </w:rPr>
                        <w:t>Exchange Right:</w:t>
                      </w:r>
                      <w:r>
                        <w:rPr>
                          <w:spacing w:val="-2"/>
                        </w:rPr>
                        <w:t xml:space="preserve"> Beginning in the 60-day window following the end of the seventh fiscal year after the Original Issue Date (commencing with the fiscal year ending December 31, 2026), and within 60 days following each subsequent fiscal year-end, PSH may exchange, in increments of full Tranches, shares of Series A Preferred Stock representing more than 10% of its total shares of Series A Preferred Stock (or, if the remaining shares are less than one full Tranche, such remaining shares), without the payment of additional consideration, into a number of common equity interests of Howard Hughes Insurance Holdings, LLC (“InsuranceCo Common Units” or “Buyer Units”) at the applicable Exchange Ratio (as defined in the Certificate of Designations). Prior to any exchange, the applicable holder must obtain any required regulatory approvals from the Delaware Department of Insurance (including a Form A approval, an applicable exemption, or a new Disclaimer of Control). The Series A Preferred Stock will become exchangeable into Buyer Units if not redeemed by the end of the seventh fiscal year following the Vantage Closing Date.</w:t>
                      </w:r>
                      <w:r>
                        <w:rPr/>
                        <w:t xml:space="preserve"> </w:t>
                      </w:r>
                    </w:p>
                    <w:p>
                      <w:pPr>
                        <w:pStyle w:val="TextBody"/>
                        <w:bidi w:val="0"/>
                        <w:spacing w:before="0" w:after="0"/>
                        <w:ind w:left="0" w:right="0" w:hanging="0"/>
                        <w:jc w:val="left"/>
                        <w:rPr/>
                      </w:pPr>
                      <w:r>
                        <w:rPr/>
                        <w:t>​</w:t>
                      </w:r>
                    </w:p>
                    <w:p>
                      <w:pPr>
                        <w:pStyle w:val="TextBody"/>
                        <w:bidi w:val="0"/>
                        <w:spacing w:lineRule="atLeast" w:line="240" w:before="120" w:after="0"/>
                        <w:ind w:left="760" w:right="0" w:hanging="0"/>
                        <w:jc w:val="both"/>
                        <w:rPr/>
                      </w:pPr>
                      <w:r>
                        <w:rPr>
                          <w:b/>
                          <w:spacing w:val="0"/>
                        </w:rPr>
                        <w:t>Redemption:</w:t>
                      </w:r>
                      <w:r>
                        <w:rPr>
                          <w:spacing w:val="-2"/>
                        </w:rPr>
                        <w:t xml:space="preserve"> The Company has the right, but not the obligation, to redeem the Series A Preferred Stock during specified periods and upon certain triggering events.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20" w:after="0"/>
                        <w:ind w:left="760" w:right="0" w:hanging="0"/>
                        <w:jc w:val="both"/>
                        <w:rPr/>
                      </w:pPr>
                      <w:r>
                        <w:rPr>
                          <w:b/>
                          <w:spacing w:val="0"/>
                        </w:rPr>
                        <w:t>Investment Management:</w:t>
                      </w:r>
                      <w:r>
                        <w:rPr>
                          <w:spacing w:val="-2"/>
                        </w:rPr>
                        <w:t xml:space="preserve"> Upon consummation of the Vantage acquisition on the Vantage Closing Date, PSCM entered into investment management agreements with each of Vantage Risk Specialty Insurance Company, Vantage Risk Assurance Company, Vantage Risk Ltd., and Vantage, pursuant to which PSCM will act as investment manager of each company’s general account and other investment portfolios. As long as the Services Agreement, dated May 5, 2025, between the Company and PSCM remains in effect, none of these Vantage subsidiaries will pay any additional investment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254000" distR="0" simplePos="0" locked="0" layoutInCell="1" allowOverlap="1" relativeHeight="375">
                <wp:simplePos x="0" y="0"/>
                <wp:positionH relativeFrom="column">
                  <wp:align>left</wp:align>
                </wp:positionH>
                <wp:positionV relativeFrom="line">
                  <wp:posOffset>635</wp:posOffset>
                </wp:positionV>
                <wp:extent cx="228600" cy="350520"/>
                <wp:effectExtent l="0" t="0" r="0" b="0"/>
                <wp:wrapSquare wrapText="right"/>
                <wp:docPr id="323" name="Frame24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254000" distR="0" simplePos="0" locked="0" layoutInCell="1" allowOverlap="1" relativeHeight="376">
                <wp:simplePos x="0" y="0"/>
                <wp:positionH relativeFrom="column">
                  <wp:align>left</wp:align>
                </wp:positionH>
                <wp:positionV relativeFrom="line">
                  <wp:align>top</wp:align>
                </wp:positionV>
                <wp:extent cx="228600" cy="350520"/>
                <wp:effectExtent l="0" t="0" r="0" b="0"/>
                <wp:wrapSquare wrapText="right"/>
                <wp:docPr id="324" name="Frame24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254000" distR="0" simplePos="0" locked="0" layoutInCell="1" allowOverlap="1" relativeHeight="377">
                <wp:simplePos x="0" y="0"/>
                <wp:positionH relativeFrom="column">
                  <wp:align>left</wp:align>
                </wp:positionH>
                <wp:positionV relativeFrom="line">
                  <wp:align>top</wp:align>
                </wp:positionV>
                <wp:extent cx="228600" cy="350520"/>
                <wp:effectExtent l="0" t="0" r="0" b="0"/>
                <wp:wrapSquare wrapText="right"/>
                <wp:docPr id="325" name="Frame24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254000" distR="0" simplePos="0" locked="0" layoutInCell="1" allowOverlap="1" relativeHeight="378">
                <wp:simplePos x="0" y="0"/>
                <wp:positionH relativeFrom="column">
                  <wp:align>left</wp:align>
                </wp:positionH>
                <wp:positionV relativeFrom="line">
                  <wp:align>top</wp:align>
                </wp:positionV>
                <wp:extent cx="228600" cy="350520"/>
                <wp:effectExtent l="0" t="0" r="0" b="0"/>
                <wp:wrapSquare wrapText="right"/>
                <wp:docPr id="326" name="Frame24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34 \ 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Related-Party Transactions and Certain Relationships</w:t>
      </w:r>
      <w:r>
        <w:rPr>
          <w:rFonts w:ascii="Arial;Helvetica;sans-serif" w:hAnsi="Arial;Helvetica;sans-serif"/>
          <w:b/>
          <w:i w:val="false"/>
          <w:caps w:val="false"/>
          <w:smallCaps w:val="false"/>
          <w:color w:val="7F7F7F"/>
          <w:sz w:val="22"/>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379">
                <wp:simplePos x="0" y="0"/>
                <wp:positionH relativeFrom="column">
                  <wp:align>left</wp:align>
                </wp:positionH>
                <wp:positionV relativeFrom="line">
                  <wp:posOffset>635</wp:posOffset>
                </wp:positionV>
                <wp:extent cx="3055620" cy="9972040"/>
                <wp:effectExtent l="0" t="0" r="0" b="0"/>
                <wp:wrapSquare wrapText="right"/>
                <wp:docPr id="327" name="Frame247"/>
                <a:graphic xmlns:a="http://schemas.openxmlformats.org/drawingml/2006/main">
                  <a:graphicData uri="http://schemas.microsoft.com/office/word/2010/wordprocessingShape">
                    <wps:wsp>
                      <wps:cNvSpPr txBox="1"/>
                      <wps:spPr>
                        <a:xfrm>
                          <a:off x="0" y="0"/>
                          <a:ext cx="3055620" cy="9972040"/>
                        </a:xfrm>
                        <a:prstGeom prst="rect"/>
                        <a:solidFill>
                          <a:srgbClr val="FFFFFF"/>
                        </a:solidFill>
                      </wps:spPr>
                      <wps:txbx>
                        <w:txbxContent>
                          <w:p>
                            <w:pPr>
                              <w:pStyle w:val="TextBody"/>
                              <w:bidi w:val="0"/>
                              <w:spacing w:lineRule="atLeast" w:line="240" w:before="0" w:after="0"/>
                              <w:ind w:left="760" w:right="0" w:hanging="0"/>
                              <w:jc w:val="both"/>
                              <w:rPr/>
                            </w:pPr>
                            <w:r>
                              <w:rPr>
                                <w:spacing w:val="-2"/>
                              </w:rPr>
                              <w:t>management or advisory fees under the PSCM investment management agreements.</w:t>
                            </w:r>
                            <w:r>
                              <w:rPr>
                                <w:spacing w:val="4"/>
                              </w:rPr>
                              <w:t xml:space="preserve"> </w:t>
                            </w:r>
                          </w:p>
                          <w:p>
                            <w:pPr>
                              <w:pStyle w:val="TextBody"/>
                              <w:bidi w:val="0"/>
                              <w:spacing w:lineRule="atLeast" w:line="240" w:before="120" w:after="0"/>
                              <w:ind w:left="760" w:right="0" w:hanging="0"/>
                              <w:jc w:val="both"/>
                              <w:rPr/>
                            </w:pPr>
                            <w:r>
                              <w:rPr>
                                <w:b/>
                                <w:spacing w:val="0"/>
                              </w:rPr>
                              <w:t>Registration Rights:</w:t>
                            </w:r>
                            <w:r>
                              <w:rPr>
                                <w:spacing w:val="-2"/>
                              </w:rPr>
                              <w:t xml:space="preserve"> PSH has customary registration rights with respect to the Buyer Units issuable upon exchange of the Series A Preferred Stock, including the right to require the Company and Vantage to use reasonable best efforts to conduct an initial public offering or direct listing of Buyer Units concurrently with any exchange.</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20" w:after="0"/>
                              <w:ind w:left="760" w:right="0" w:hanging="0"/>
                              <w:jc w:val="both"/>
                              <w:rPr/>
                            </w:pPr>
                            <w:r>
                              <w:rPr>
                                <w:b/>
                                <w:spacing w:val="0"/>
                              </w:rPr>
                              <w:t>Voting:</w:t>
                            </w:r>
                            <w:r>
                              <w:rPr>
                                <w:spacing w:val="-2"/>
                              </w:rPr>
                              <w:t xml:space="preserve"> The Series A Preferred Stock is non-voting, subject to customary protective rights.</w:t>
                            </w:r>
                            <w:r>
                              <w:rPr>
                                <w:spacing w:val="4"/>
                              </w:rPr>
                              <w:t xml:space="preserve"> </w:t>
                            </w:r>
                          </w:p>
                          <w:p>
                            <w:pPr>
                              <w:pStyle w:val="TextBody"/>
                              <w:bidi w:val="0"/>
                              <w:spacing w:before="0" w:after="0"/>
                              <w:ind w:left="0" w:right="0" w:hanging="0"/>
                              <w:jc w:val="left"/>
                              <w:rPr/>
                            </w:pPr>
                            <w:r>
                              <w:rPr/>
                              <w:t>​</w:t>
                            </w:r>
                          </w:p>
                          <w:p>
                            <w:pPr>
                              <w:pStyle w:val="TextBody"/>
                              <w:bidi w:val="0"/>
                              <w:spacing w:lineRule="atLeast" w:line="340" w:before="240" w:after="283"/>
                              <w:jc w:val="left"/>
                              <w:rPr>
                                <w:b/>
                                <w:color w:val="7F7F7F"/>
                                <w:sz w:val="30"/>
                              </w:rPr>
                            </w:pPr>
                            <w:r>
                              <w:rPr>
                                <w:b/>
                                <w:color w:val="7F7F7F"/>
                                <w:spacing w:val="-1"/>
                                <w:sz w:val="30"/>
                              </w:rPr>
                              <w:t>Marc Grandisson Agreements</w:t>
                            </w:r>
                            <w:r>
                              <w:rPr>
                                <w:b/>
                                <w:color w:val="000000"/>
                                <w:spacing w:val="6"/>
                                <w:sz w:val="30"/>
                              </w:rPr>
                              <w:t xml:space="preserve"> </w:t>
                            </w:r>
                          </w:p>
                          <w:p>
                            <w:pPr>
                              <w:pStyle w:val="TextBody"/>
                              <w:bidi w:val="0"/>
                              <w:spacing w:lineRule="atLeast" w:line="240" w:before="240" w:after="283"/>
                              <w:jc w:val="left"/>
                              <w:rPr>
                                <w:b/>
                                <w:i/>
                              </w:rPr>
                            </w:pPr>
                            <w:r>
                              <w:rPr>
                                <w:b/>
                                <w:i/>
                              </w:rPr>
                              <w:t>Warrant Agreement</w:t>
                            </w:r>
                            <w:r>
                              <w:rPr>
                                <w:b/>
                                <w:i/>
                                <w:caps w:val="false"/>
                                <w:smallCaps w:val="false"/>
                                <w:spacing w:val="4"/>
                              </w:rPr>
                              <w:t xml:space="preserve"> </w:t>
                            </w:r>
                          </w:p>
                          <w:p>
                            <w:pPr>
                              <w:pStyle w:val="TextBody"/>
                              <w:bidi w:val="0"/>
                              <w:spacing w:lineRule="atLeast" w:line="240" w:before="240" w:after="283"/>
                              <w:jc w:val="both"/>
                              <w:rPr/>
                            </w:pPr>
                            <w:r>
                              <w:rPr>
                                <w:spacing w:val="-2"/>
                              </w:rPr>
                              <w:t>On April 20, 2026, the Company entered into a Warrant Agreement (the “Director Warrant Agreement”) with MGFT Investments LLC, a Delaware limited liability company solely owned and controlled by a trust for the benefit of certain members of Marc Grandisson’s family, with Mr. Grandisson serving as the Manager of the Warrantholder. Pursuant to the Director Warrant Agreement, the Company granted and sold to the Warrantholder a warrant (the “Director Warrant”) to acquire up to 1,131,273 shares of the Company’s common stock at an exercise price of $100.00 per share, for a cash purchase price of $10,000,000 (equal to $8.84 per Warrant Share). The Director Warrant was issued in connection with the appointment of Mr. Grandisson to the Board, effective May 7, 2026, pursuant to Pershing Square Holdco, L.P.’s designation rights under the Shareholder Agreement. The Director Warrant becomes exercisable on April 20, 2030, and expires on April 20, 2031, subject to certain regulatory extensions. The Director Warrant may not be transferred or hedged prior to April 20, 2030, except to certain permitted transferees. The disinterested members of the Audit Committee approved this transaction in accordance with the Company’s Related-Party Transactions Policy prior to execution.</w:t>
                            </w:r>
                            <w:r>
                              <w:rPr>
                                <w:spacing w:val="4"/>
                              </w:rPr>
                              <w:t xml:space="preserve"> </w:t>
                            </w:r>
                          </w:p>
                          <w:p>
                            <w:pPr>
                              <w:pStyle w:val="TextBody"/>
                              <w:bidi w:val="0"/>
                              <w:spacing w:lineRule="atLeast" w:line="240" w:before="240" w:after="283"/>
                              <w:jc w:val="left"/>
                              <w:rPr>
                                <w:b/>
                                <w:i/>
                              </w:rPr>
                            </w:pPr>
                            <w:r>
                              <w:rPr>
                                <w:b/>
                                <w:i/>
                              </w:rPr>
                              <w:t>Supplemental Indemnification Agreement</w:t>
                            </w:r>
                            <w:r>
                              <w:rPr>
                                <w:b/>
                                <w:i/>
                                <w:caps w:val="false"/>
                                <w:smallCaps w:val="false"/>
                                <w:spacing w:val="4"/>
                              </w:rPr>
                              <w:t xml:space="preserve"> </w:t>
                            </w:r>
                          </w:p>
                          <w:p>
                            <w:pPr>
                              <w:pStyle w:val="TextBody"/>
                              <w:bidi w:val="0"/>
                              <w:spacing w:lineRule="atLeast" w:line="240" w:before="240" w:after="283"/>
                              <w:ind w:left="0" w:right="0" w:firstLine="400"/>
                              <w:jc w:val="both"/>
                              <w:rPr/>
                            </w:pPr>
                            <w:r>
                              <w:rPr>
                                <w:spacing w:val="-2"/>
                              </w:rPr>
                              <w:t>In connection with Mr. Grandisson’s appointment to the Board, the Company entered into a supplemental indemnification agreement with Mr. Grandisson (the “</w:t>
                            </w:r>
                            <w:r>
                              <w:rPr>
                                <w:b/>
                                <w:i/>
                              </w:rPr>
                              <w:t>Supplemental Indemnification Agreement</w:t>
                            </w:r>
                            <w:r>
                              <w:rPr>
                                <w:spacing w:val="-2"/>
                              </w:rPr>
                              <w:t xml:space="preserve">”), pursuant to which the Company agreed to indemnify Mr. Grandisson against certain losses arising out of any forfeiture of equity awards from his prior employment at Arch Capital Group Ltd. that may result from his service as a director of, and his arrangements with, the </w:t>
                            </w:r>
                          </w:p>
                        </w:txbxContent>
                      </wps:txbx>
                      <wps:bodyPr anchor="t" lIns="0" tIns="0" rIns="0" bIns="0">
                        <a:noAutofit/>
                      </wps:bodyPr>
                    </wps:wsp>
                  </a:graphicData>
                </a:graphic>
              </wp:anchor>
            </w:drawing>
          </mc:Choice>
          <mc:Fallback>
            <w:pict>
              <v:rect style="position:absolute;rotation:-0;width:240.6pt;height:785.2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ind w:left="760" w:right="0" w:hanging="0"/>
                        <w:jc w:val="both"/>
                        <w:rPr/>
                      </w:pPr>
                      <w:r>
                        <w:rPr>
                          <w:spacing w:val="-2"/>
                        </w:rPr>
                        <w:t>management or advisory fees under the PSCM investment management agreements.</w:t>
                      </w:r>
                      <w:r>
                        <w:rPr>
                          <w:spacing w:val="4"/>
                        </w:rPr>
                        <w:t xml:space="preserve"> </w:t>
                      </w:r>
                    </w:p>
                    <w:p>
                      <w:pPr>
                        <w:pStyle w:val="TextBody"/>
                        <w:bidi w:val="0"/>
                        <w:spacing w:lineRule="atLeast" w:line="240" w:before="120" w:after="0"/>
                        <w:ind w:left="760" w:right="0" w:hanging="0"/>
                        <w:jc w:val="both"/>
                        <w:rPr/>
                      </w:pPr>
                      <w:r>
                        <w:rPr>
                          <w:b/>
                          <w:spacing w:val="0"/>
                        </w:rPr>
                        <w:t>Registration Rights:</w:t>
                      </w:r>
                      <w:r>
                        <w:rPr>
                          <w:spacing w:val="-2"/>
                        </w:rPr>
                        <w:t xml:space="preserve"> PSH has customary registration rights with respect to the Buyer Units issuable upon exchange of the Series A Preferred Stock, including the right to require the Company and Vantage to use reasonable best efforts to conduct an initial public offering or direct listing of Buyer Units concurrently with any exchange.</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20" w:after="0"/>
                        <w:ind w:left="760" w:right="0" w:hanging="0"/>
                        <w:jc w:val="both"/>
                        <w:rPr/>
                      </w:pPr>
                      <w:r>
                        <w:rPr>
                          <w:b/>
                          <w:spacing w:val="0"/>
                        </w:rPr>
                        <w:t>Voting:</w:t>
                      </w:r>
                      <w:r>
                        <w:rPr>
                          <w:spacing w:val="-2"/>
                        </w:rPr>
                        <w:t xml:space="preserve"> The Series A Preferred Stock is non-voting, subject to customary protective rights.</w:t>
                      </w:r>
                      <w:r>
                        <w:rPr>
                          <w:spacing w:val="4"/>
                        </w:rPr>
                        <w:t xml:space="preserve"> </w:t>
                      </w:r>
                    </w:p>
                    <w:p>
                      <w:pPr>
                        <w:pStyle w:val="TextBody"/>
                        <w:bidi w:val="0"/>
                        <w:spacing w:before="0" w:after="0"/>
                        <w:ind w:left="0" w:right="0" w:hanging="0"/>
                        <w:jc w:val="left"/>
                        <w:rPr/>
                      </w:pPr>
                      <w:r>
                        <w:rPr/>
                        <w:t>​</w:t>
                      </w:r>
                    </w:p>
                    <w:p>
                      <w:pPr>
                        <w:pStyle w:val="TextBody"/>
                        <w:bidi w:val="0"/>
                        <w:spacing w:lineRule="atLeast" w:line="340" w:before="240" w:after="283"/>
                        <w:jc w:val="left"/>
                        <w:rPr>
                          <w:b/>
                          <w:color w:val="7F7F7F"/>
                          <w:sz w:val="30"/>
                        </w:rPr>
                      </w:pPr>
                      <w:r>
                        <w:rPr>
                          <w:b/>
                          <w:color w:val="7F7F7F"/>
                          <w:spacing w:val="-1"/>
                          <w:sz w:val="30"/>
                        </w:rPr>
                        <w:t>Marc Grandisson Agreements</w:t>
                      </w:r>
                      <w:r>
                        <w:rPr>
                          <w:b/>
                          <w:color w:val="000000"/>
                          <w:spacing w:val="6"/>
                          <w:sz w:val="30"/>
                        </w:rPr>
                        <w:t xml:space="preserve"> </w:t>
                      </w:r>
                    </w:p>
                    <w:p>
                      <w:pPr>
                        <w:pStyle w:val="TextBody"/>
                        <w:bidi w:val="0"/>
                        <w:spacing w:lineRule="atLeast" w:line="240" w:before="240" w:after="283"/>
                        <w:jc w:val="left"/>
                        <w:rPr>
                          <w:b/>
                          <w:i/>
                        </w:rPr>
                      </w:pPr>
                      <w:r>
                        <w:rPr>
                          <w:b/>
                          <w:i/>
                        </w:rPr>
                        <w:t>Warrant Agreement</w:t>
                      </w:r>
                      <w:r>
                        <w:rPr>
                          <w:b/>
                          <w:i/>
                          <w:caps w:val="false"/>
                          <w:smallCaps w:val="false"/>
                          <w:spacing w:val="4"/>
                        </w:rPr>
                        <w:t xml:space="preserve"> </w:t>
                      </w:r>
                    </w:p>
                    <w:p>
                      <w:pPr>
                        <w:pStyle w:val="TextBody"/>
                        <w:bidi w:val="0"/>
                        <w:spacing w:lineRule="atLeast" w:line="240" w:before="240" w:after="283"/>
                        <w:jc w:val="both"/>
                        <w:rPr/>
                      </w:pPr>
                      <w:r>
                        <w:rPr>
                          <w:spacing w:val="-2"/>
                        </w:rPr>
                        <w:t>On April 20, 2026, the Company entered into a Warrant Agreement (the “Director Warrant Agreement”) with MGFT Investments LLC, a Delaware limited liability company solely owned and controlled by a trust for the benefit of certain members of Marc Grandisson’s family, with Mr. Grandisson serving as the Manager of the Warrantholder. Pursuant to the Director Warrant Agreement, the Company granted and sold to the Warrantholder a warrant (the “Director Warrant”) to acquire up to 1,131,273 shares of the Company’s common stock at an exercise price of $100.00 per share, for a cash purchase price of $10,000,000 (equal to $8.84 per Warrant Share). The Director Warrant was issued in connection with the appointment of Mr. Grandisson to the Board, effective May 7, 2026, pursuant to Pershing Square Holdco, L.P.’s designation rights under the Shareholder Agreement. The Director Warrant becomes exercisable on April 20, 2030, and expires on April 20, 2031, subject to certain regulatory extensions. The Director Warrant may not be transferred or hedged prior to April 20, 2030, except to certain permitted transferees. The disinterested members of the Audit Committee approved this transaction in accordance with the Company’s Related-Party Transactions Policy prior to execution.</w:t>
                      </w:r>
                      <w:r>
                        <w:rPr>
                          <w:spacing w:val="4"/>
                        </w:rPr>
                        <w:t xml:space="preserve"> </w:t>
                      </w:r>
                    </w:p>
                    <w:p>
                      <w:pPr>
                        <w:pStyle w:val="TextBody"/>
                        <w:bidi w:val="0"/>
                        <w:spacing w:lineRule="atLeast" w:line="240" w:before="240" w:after="283"/>
                        <w:jc w:val="left"/>
                        <w:rPr>
                          <w:b/>
                          <w:i/>
                        </w:rPr>
                      </w:pPr>
                      <w:r>
                        <w:rPr>
                          <w:b/>
                          <w:i/>
                        </w:rPr>
                        <w:t>Supplemental Indemnification Agreement</w:t>
                      </w:r>
                      <w:r>
                        <w:rPr>
                          <w:b/>
                          <w:i/>
                          <w:caps w:val="false"/>
                          <w:smallCaps w:val="false"/>
                          <w:spacing w:val="4"/>
                        </w:rPr>
                        <w:t xml:space="preserve"> </w:t>
                      </w:r>
                    </w:p>
                    <w:p>
                      <w:pPr>
                        <w:pStyle w:val="TextBody"/>
                        <w:bidi w:val="0"/>
                        <w:spacing w:lineRule="atLeast" w:line="240" w:before="240" w:after="283"/>
                        <w:ind w:left="0" w:right="0" w:firstLine="400"/>
                        <w:jc w:val="both"/>
                        <w:rPr/>
                      </w:pPr>
                      <w:r>
                        <w:rPr>
                          <w:spacing w:val="-2"/>
                        </w:rPr>
                        <w:t>In connection with Mr. Grandisson’s appointment to the Board, the Company entered into a supplemental indemnification agreement with Mr. Grandisson (the “</w:t>
                      </w:r>
                      <w:r>
                        <w:rPr>
                          <w:b/>
                          <w:i/>
                        </w:rPr>
                        <w:t>Supplemental Indemnification Agreement</w:t>
                      </w:r>
                      <w:r>
                        <w:rPr>
                          <w:spacing w:val="-2"/>
                        </w:rPr>
                        <w:t xml:space="preserve">”), pursuant to which the Company agreed to indemnify Mr. Grandisson against certain losses arising out of any forfeiture of equity awards from his prior employment at Arch Capital Group Ltd. that may result from his service as a director of, and his arrangements with, the </w:t>
                      </w:r>
                    </w:p>
                  </w:txbxContent>
                </v:textbox>
                <w10:wrap type="square" side="right"/>
              </v:rect>
            </w:pict>
          </mc:Fallback>
        </mc:AlternateContent>
      </w:r>
      <w:r>
        <mc:AlternateContent>
          <mc:Choice Requires="wps">
            <w:drawing>
              <wp:anchor behindDoc="0" distT="0" distB="0" distL="304800" distR="0" simplePos="0" locked="0" layoutInCell="1" allowOverlap="1" relativeHeight="382">
                <wp:simplePos x="0" y="0"/>
                <wp:positionH relativeFrom="column">
                  <wp:align>left</wp:align>
                </wp:positionH>
                <wp:positionV relativeFrom="line">
                  <wp:posOffset>635</wp:posOffset>
                </wp:positionV>
                <wp:extent cx="3055620" cy="9972040"/>
                <wp:effectExtent l="0" t="0" r="0" b="0"/>
                <wp:wrapSquare wrapText="right"/>
                <wp:docPr id="328" name="Frame250"/>
                <a:graphic xmlns:a="http://schemas.openxmlformats.org/drawingml/2006/main">
                  <a:graphicData uri="http://schemas.microsoft.com/office/word/2010/wordprocessingShape">
                    <wps:wsp>
                      <wps:cNvSpPr txBox="1"/>
                      <wps:spPr>
                        <a:xfrm>
                          <a:off x="0" y="0"/>
                          <a:ext cx="3055620" cy="9972040"/>
                        </a:xfrm>
                        <a:prstGeom prst="rect"/>
                        <a:solidFill>
                          <a:srgbClr val="FFFFFF"/>
                        </a:solidFill>
                      </wps:spPr>
                      <wps:txbx>
                        <w:txbxContent>
                          <w:p>
                            <w:pPr>
                              <w:pStyle w:val="TextBody"/>
                              <w:bidi w:val="0"/>
                              <w:spacing w:lineRule="atLeast" w:line="240" w:before="0" w:after="0"/>
                              <w:jc w:val="both"/>
                              <w:rPr/>
                            </w:pPr>
                            <w:r>
                              <w:rPr>
                                <w:spacing w:val="-2"/>
                              </w:rPr>
                              <w:t>Company and Pershing Square, including serving as Executive Chairman of Vantage.</w:t>
                            </w:r>
                            <w:r>
                              <w:rPr>
                                <w:spacing w:val="4"/>
                              </w:rPr>
                              <w:t xml:space="preserve"> </w:t>
                            </w:r>
                          </w:p>
                          <w:p>
                            <w:pPr>
                              <w:pStyle w:val="TextBody"/>
                              <w:bidi w:val="0"/>
                              <w:spacing w:lineRule="atLeast" w:line="340" w:before="240" w:after="283"/>
                              <w:jc w:val="left"/>
                              <w:rPr>
                                <w:b/>
                                <w:color w:val="7F7F7F"/>
                                <w:sz w:val="30"/>
                              </w:rPr>
                            </w:pPr>
                            <w:r>
                              <w:rPr>
                                <w:b/>
                                <w:color w:val="7F7F7F"/>
                                <w:spacing w:val="-1"/>
                                <w:sz w:val="30"/>
                              </w:rPr>
                              <w:t>Howden Insurance Transactions</w:t>
                            </w:r>
                            <w:r>
                              <w:rPr>
                                <w:b/>
                                <w:color w:val="000000"/>
                                <w:spacing w:val="6"/>
                                <w:sz w:val="30"/>
                              </w:rPr>
                              <w:t xml:space="preserve"> </w:t>
                            </w:r>
                          </w:p>
                          <w:p>
                            <w:pPr>
                              <w:pStyle w:val="TextBody"/>
                              <w:bidi w:val="0"/>
                              <w:spacing w:lineRule="atLeast" w:line="240" w:before="240" w:after="283"/>
                              <w:jc w:val="left"/>
                              <w:rPr>
                                <w:b/>
                                <w:i/>
                              </w:rPr>
                            </w:pPr>
                            <w:r>
                              <w:rPr>
                                <w:b/>
                                <w:i/>
                              </w:rPr>
                              <w:t>D&amp;O Liability Insurance Placement</w:t>
                            </w:r>
                            <w:r>
                              <w:rPr>
                                <w:b/>
                                <w:i/>
                                <w:caps w:val="false"/>
                                <w:smallCaps w:val="false"/>
                                <w:spacing w:val="4"/>
                              </w:rPr>
                              <w:t xml:space="preserve"> </w:t>
                            </w:r>
                          </w:p>
                          <w:p>
                            <w:pPr>
                              <w:pStyle w:val="TextBody"/>
                              <w:bidi w:val="0"/>
                              <w:spacing w:lineRule="atLeast" w:line="240" w:before="240" w:after="283"/>
                              <w:ind w:left="0" w:right="0" w:firstLine="400"/>
                              <w:jc w:val="both"/>
                              <w:rPr/>
                            </w:pPr>
                            <w:r>
                              <w:rPr>
                                <w:spacing w:val="-2"/>
                              </w:rPr>
                              <w:t>Effective April 1, 2026, the Company engaged Howden Group Holdings Ltd. (“Howden”) as its broker of record for the Company’s directors and officers liability insurance program. Susan Panuccio, the Chair of the Audit Committee and a member of the Board, serves as Chief Financial Officer of Howden Group.</w:t>
                            </w:r>
                            <w:r>
                              <w:rPr>
                                <w:spacing w:val="4"/>
                              </w:rPr>
                              <w:t xml:space="preserve"> </w:t>
                            </w:r>
                          </w:p>
                          <w:p>
                            <w:pPr>
                              <w:pStyle w:val="TextBody"/>
                              <w:bidi w:val="0"/>
                              <w:spacing w:lineRule="atLeast" w:line="240" w:before="160" w:after="283"/>
                              <w:ind w:left="0" w:right="0" w:firstLine="400"/>
                              <w:jc w:val="both"/>
                              <w:rPr/>
                            </w:pPr>
                            <w:r>
                              <w:rPr>
                                <w:spacing w:val="-2"/>
                              </w:rPr>
                              <w:t>Howden was selected following a competitive review process. The Company’s prior broker was evaluated alongside Howden, and the Company determined that Howden offered a superior risk management approach and was expected to achieve savings on the placement of D&amp;O insurance relative to the prior broker’s renewal. Commissions are embedded in the premium on an average annual basis of 15%. The actual commission paid to Howden in respect of the April 1, 2026 policy placements was approximately $177,000.</w:t>
                            </w:r>
                            <w:r>
                              <w:rPr>
                                <w:spacing w:val="4"/>
                              </w:rPr>
                              <w:t xml:space="preserve"> </w:t>
                            </w:r>
                          </w:p>
                          <w:p>
                            <w:pPr>
                              <w:pStyle w:val="TextBody"/>
                              <w:bidi w:val="0"/>
                              <w:spacing w:lineRule="atLeast" w:line="240" w:before="160" w:after="283"/>
                              <w:ind w:left="0" w:right="0" w:firstLine="400"/>
                              <w:jc w:val="both"/>
                              <w:rPr/>
                            </w:pPr>
                            <w:r>
                              <w:rPr>
                                <w:spacing w:val="-2"/>
                              </w:rPr>
                              <w:t>Ms. Panuccio disclosed her relationship with Howden to the Audit Committee and, consistent with the Company’s Related-Party Transactions Policy, recused herself from the Committee’s deliberations and vote with respect to this matter, participating only to provide factual information at the request of the disinterested members of the Committee. Following its review, the disinterested members of the Audit</w:t>
                            </w:r>
                            <w:r>
                              <w:rPr>
                                <w:spacing w:val="4"/>
                              </w:rPr>
                              <w:t xml:space="preserve"> </w:t>
                            </w:r>
                          </w:p>
                          <w:p>
                            <w:pPr>
                              <w:pStyle w:val="TextBody"/>
                              <w:bidi w:val="0"/>
                              <w:spacing w:lineRule="atLeast" w:line="240" w:before="160" w:after="283"/>
                              <w:ind w:left="0" w:right="0" w:firstLine="400"/>
                              <w:jc w:val="both"/>
                              <w:rPr/>
                            </w:pPr>
                            <w:r>
                              <w:rPr>
                                <w:spacing w:val="-2"/>
                              </w:rPr>
                              <w:t>Committee determined that the terms of the engagement were fair and reasonable to the Company, and no less favorable to the Company than could be obtained from an unrelated third party, and that the engagement is in the best interests of the Company and its stockholders.</w:t>
                            </w:r>
                            <w:r>
                              <w:rPr>
                                <w:spacing w:val="4"/>
                              </w:rPr>
                              <w:t xml:space="preserve"> </w:t>
                            </w:r>
                          </w:p>
                          <w:p>
                            <w:pPr>
                              <w:pStyle w:val="TextBody"/>
                              <w:bidi w:val="0"/>
                              <w:spacing w:lineRule="atLeast" w:line="240" w:before="240" w:after="283"/>
                              <w:jc w:val="left"/>
                              <w:rPr>
                                <w:b/>
                                <w:i/>
                              </w:rPr>
                            </w:pPr>
                            <w:r>
                              <w:rPr>
                                <w:b/>
                                <w:i/>
                              </w:rPr>
                              <w:t>Ongoing Brokerage Relationship</w:t>
                            </w:r>
                          </w:p>
                          <w:p>
                            <w:pPr>
                              <w:pStyle w:val="TextBody"/>
                              <w:bidi w:val="0"/>
                              <w:spacing w:lineRule="atLeast" w:line="240" w:before="240" w:after="283"/>
                              <w:ind w:left="0" w:right="0" w:firstLine="400"/>
                              <w:jc w:val="both"/>
                              <w:rPr>
                                <w:spacing w:val="-2"/>
                              </w:rPr>
                            </w:pPr>
                            <w:r>
                              <w:rPr>
                                <w:spacing w:val="-2"/>
                              </w:rPr>
                              <w:t xml:space="preserve">Vantage places a portion of its gross written premium through brokerage arrangements with Howden and its affiliates. This relationship originated prior to Ms. Panuccio’s appointment to our Board and she has not been involved with the relationship or any negotiations since her appointment. In light of the operational scale of the relationship and the impracticability of pre-approving each individual brokerage placement on a transaction-by-transaction basis, on July 31, 2026, the Audit Committee approved a process pursuant to which management presents to the Audit Committee, on a semi-annual basis at its </w:t>
                            </w:r>
                          </w:p>
                        </w:txbxContent>
                      </wps:txbx>
                      <wps:bodyPr anchor="t" lIns="0" tIns="0" rIns="0" bIns="0">
                        <a:noAutofit/>
                      </wps:bodyPr>
                    </wps:wsp>
                  </a:graphicData>
                </a:graphic>
              </wp:anchor>
            </w:drawing>
          </mc:Choice>
          <mc:Fallback>
            <w:pict>
              <v:rect style="position:absolute;rotation:-0;width:240.6pt;height:785.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jc w:val="both"/>
                        <w:rPr/>
                      </w:pPr>
                      <w:r>
                        <w:rPr>
                          <w:spacing w:val="-2"/>
                        </w:rPr>
                        <w:t>Company and Pershing Square, including serving as Executive Chairman of Vantage.</w:t>
                      </w:r>
                      <w:r>
                        <w:rPr>
                          <w:spacing w:val="4"/>
                        </w:rPr>
                        <w:t xml:space="preserve"> </w:t>
                      </w:r>
                    </w:p>
                    <w:p>
                      <w:pPr>
                        <w:pStyle w:val="TextBody"/>
                        <w:bidi w:val="0"/>
                        <w:spacing w:lineRule="atLeast" w:line="340" w:before="240" w:after="283"/>
                        <w:jc w:val="left"/>
                        <w:rPr>
                          <w:b/>
                          <w:color w:val="7F7F7F"/>
                          <w:sz w:val="30"/>
                        </w:rPr>
                      </w:pPr>
                      <w:r>
                        <w:rPr>
                          <w:b/>
                          <w:color w:val="7F7F7F"/>
                          <w:spacing w:val="-1"/>
                          <w:sz w:val="30"/>
                        </w:rPr>
                        <w:t>Howden Insurance Transactions</w:t>
                      </w:r>
                      <w:r>
                        <w:rPr>
                          <w:b/>
                          <w:color w:val="000000"/>
                          <w:spacing w:val="6"/>
                          <w:sz w:val="30"/>
                        </w:rPr>
                        <w:t xml:space="preserve"> </w:t>
                      </w:r>
                    </w:p>
                    <w:p>
                      <w:pPr>
                        <w:pStyle w:val="TextBody"/>
                        <w:bidi w:val="0"/>
                        <w:spacing w:lineRule="atLeast" w:line="240" w:before="240" w:after="283"/>
                        <w:jc w:val="left"/>
                        <w:rPr>
                          <w:b/>
                          <w:i/>
                        </w:rPr>
                      </w:pPr>
                      <w:r>
                        <w:rPr>
                          <w:b/>
                          <w:i/>
                        </w:rPr>
                        <w:t>D&amp;O Liability Insurance Placement</w:t>
                      </w:r>
                      <w:r>
                        <w:rPr>
                          <w:b/>
                          <w:i/>
                          <w:caps w:val="false"/>
                          <w:smallCaps w:val="false"/>
                          <w:spacing w:val="4"/>
                        </w:rPr>
                        <w:t xml:space="preserve"> </w:t>
                      </w:r>
                    </w:p>
                    <w:p>
                      <w:pPr>
                        <w:pStyle w:val="TextBody"/>
                        <w:bidi w:val="0"/>
                        <w:spacing w:lineRule="atLeast" w:line="240" w:before="240" w:after="283"/>
                        <w:ind w:left="0" w:right="0" w:firstLine="400"/>
                        <w:jc w:val="both"/>
                        <w:rPr/>
                      </w:pPr>
                      <w:r>
                        <w:rPr>
                          <w:spacing w:val="-2"/>
                        </w:rPr>
                        <w:t>Effective April 1, 2026, the Company engaged Howden Group Holdings Ltd. (“Howden”) as its broker of record for the Company’s directors and officers liability insurance program. Susan Panuccio, the Chair of the Audit Committee and a member of the Board, serves as Chief Financial Officer of Howden Group.</w:t>
                      </w:r>
                      <w:r>
                        <w:rPr>
                          <w:spacing w:val="4"/>
                        </w:rPr>
                        <w:t xml:space="preserve"> </w:t>
                      </w:r>
                    </w:p>
                    <w:p>
                      <w:pPr>
                        <w:pStyle w:val="TextBody"/>
                        <w:bidi w:val="0"/>
                        <w:spacing w:lineRule="atLeast" w:line="240" w:before="160" w:after="283"/>
                        <w:ind w:left="0" w:right="0" w:firstLine="400"/>
                        <w:jc w:val="both"/>
                        <w:rPr/>
                      </w:pPr>
                      <w:r>
                        <w:rPr>
                          <w:spacing w:val="-2"/>
                        </w:rPr>
                        <w:t>Howden was selected following a competitive review process. The Company’s prior broker was evaluated alongside Howden, and the Company determined that Howden offered a superior risk management approach and was expected to achieve savings on the placement of D&amp;O insurance relative to the prior broker’s renewal. Commissions are embedded in the premium on an average annual basis of 15%. The actual commission paid to Howden in respect of the April 1, 2026 policy placements was approximately $177,000.</w:t>
                      </w:r>
                      <w:r>
                        <w:rPr>
                          <w:spacing w:val="4"/>
                        </w:rPr>
                        <w:t xml:space="preserve"> </w:t>
                      </w:r>
                    </w:p>
                    <w:p>
                      <w:pPr>
                        <w:pStyle w:val="TextBody"/>
                        <w:bidi w:val="0"/>
                        <w:spacing w:lineRule="atLeast" w:line="240" w:before="160" w:after="283"/>
                        <w:ind w:left="0" w:right="0" w:firstLine="400"/>
                        <w:jc w:val="both"/>
                        <w:rPr/>
                      </w:pPr>
                      <w:r>
                        <w:rPr>
                          <w:spacing w:val="-2"/>
                        </w:rPr>
                        <w:t>Ms. Panuccio disclosed her relationship with Howden to the Audit Committee and, consistent with the Company’s Related-Party Transactions Policy, recused herself from the Committee’s deliberations and vote with respect to this matter, participating only to provide factual information at the request of the disinterested members of the Committee. Following its review, the disinterested members of the Audit</w:t>
                      </w:r>
                      <w:r>
                        <w:rPr>
                          <w:spacing w:val="4"/>
                        </w:rPr>
                        <w:t xml:space="preserve"> </w:t>
                      </w:r>
                    </w:p>
                    <w:p>
                      <w:pPr>
                        <w:pStyle w:val="TextBody"/>
                        <w:bidi w:val="0"/>
                        <w:spacing w:lineRule="atLeast" w:line="240" w:before="160" w:after="283"/>
                        <w:ind w:left="0" w:right="0" w:firstLine="400"/>
                        <w:jc w:val="both"/>
                        <w:rPr/>
                      </w:pPr>
                      <w:r>
                        <w:rPr>
                          <w:spacing w:val="-2"/>
                        </w:rPr>
                        <w:t>Committee determined that the terms of the engagement were fair and reasonable to the Company, and no less favorable to the Company than could be obtained from an unrelated third party, and that the engagement is in the best interests of the Company and its stockholders.</w:t>
                      </w:r>
                      <w:r>
                        <w:rPr>
                          <w:spacing w:val="4"/>
                        </w:rPr>
                        <w:t xml:space="preserve"> </w:t>
                      </w:r>
                    </w:p>
                    <w:p>
                      <w:pPr>
                        <w:pStyle w:val="TextBody"/>
                        <w:bidi w:val="0"/>
                        <w:spacing w:lineRule="atLeast" w:line="240" w:before="240" w:after="283"/>
                        <w:jc w:val="left"/>
                        <w:rPr>
                          <w:b/>
                          <w:i/>
                        </w:rPr>
                      </w:pPr>
                      <w:r>
                        <w:rPr>
                          <w:b/>
                          <w:i/>
                        </w:rPr>
                        <w:t>Ongoing Brokerage Relationship</w:t>
                      </w:r>
                    </w:p>
                    <w:p>
                      <w:pPr>
                        <w:pStyle w:val="TextBody"/>
                        <w:bidi w:val="0"/>
                        <w:spacing w:lineRule="atLeast" w:line="240" w:before="240" w:after="283"/>
                        <w:ind w:left="0" w:right="0" w:firstLine="400"/>
                        <w:jc w:val="both"/>
                        <w:rPr>
                          <w:spacing w:val="-2"/>
                        </w:rPr>
                      </w:pPr>
                      <w:r>
                        <w:rPr>
                          <w:spacing w:val="-2"/>
                        </w:rPr>
                        <w:t xml:space="preserve">Vantage places a portion of its gross written premium through brokerage arrangements with Howden and its affiliates. This relationship originated prior to Ms. Panuccio’s appointment to our Board and she has not been involved with the relationship or any negotiations since her appointment. In light of the operational scale of the relationship and the impracticability of pre-approving each individual brokerage placement on a transaction-by-transaction basis, on July 31, 2026, the Audit Committee approved a process pursuant to which management presents to the Audit Committee, on a semi-annual basis at its </w:t>
                      </w:r>
                    </w:p>
                  </w:txbxContent>
                </v:textbox>
                <w10:wrap type="square" side="right"/>
              </v:rect>
            </w:pict>
          </mc:Fallback>
        </mc:AlternateContent>
      </w:r>
      <w:r>
        <mc:AlternateContent>
          <mc:Choice Requires="wps">
            <w:drawing>
              <wp:anchor behindDoc="0" distT="76200" distB="0" distL="254000" distR="0" simplePos="0" locked="0" layoutInCell="1" allowOverlap="1" relativeHeight="380">
                <wp:simplePos x="0" y="0"/>
                <wp:positionH relativeFrom="column">
                  <wp:align>left</wp:align>
                </wp:positionH>
                <wp:positionV relativeFrom="line">
                  <wp:align>top</wp:align>
                </wp:positionV>
                <wp:extent cx="228600" cy="350520"/>
                <wp:effectExtent l="0" t="0" r="0" b="0"/>
                <wp:wrapSquare wrapText="right"/>
                <wp:docPr id="329" name="Frame24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76200" distB="0" distL="254000" distR="0" simplePos="0" locked="0" layoutInCell="1" allowOverlap="1" relativeHeight="381">
                <wp:simplePos x="0" y="0"/>
                <wp:positionH relativeFrom="column">
                  <wp:align>left</wp:align>
                </wp:positionH>
                <wp:positionV relativeFrom="line">
                  <wp:align>top</wp:align>
                </wp:positionV>
                <wp:extent cx="228600" cy="350520"/>
                <wp:effectExtent l="0" t="0" r="0" b="0"/>
                <wp:wrapSquare wrapText="right"/>
                <wp:docPr id="330" name="Frame24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/ 35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Related-Party Transactions and Certain Relationships</w:t>
      </w:r>
      <w:r>
        <w:rPr>
          <w:rFonts w:ascii="Arial;Helvetica;sans-serif" w:hAnsi="Arial;Helvetica;sans-serif"/>
          <w:b/>
          <w:i w:val="false"/>
          <w:caps w:val="false"/>
          <w:smallCaps w:val="false"/>
          <w:color w:val="7F7F7F"/>
          <w:spacing w:val="-3"/>
          <w:sz w:val="22"/>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383">
                <wp:simplePos x="0" y="0"/>
                <wp:positionH relativeFrom="column">
                  <wp:align>left</wp:align>
                </wp:positionH>
                <wp:positionV relativeFrom="line">
                  <wp:posOffset>635</wp:posOffset>
                </wp:positionV>
                <wp:extent cx="3055620" cy="2981960"/>
                <wp:effectExtent l="0" t="0" r="0" b="0"/>
                <wp:wrapSquare wrapText="right"/>
                <wp:docPr id="331" name="Frame251"/>
                <a:graphic xmlns:a="http://schemas.openxmlformats.org/drawingml/2006/main">
                  <a:graphicData uri="http://schemas.microsoft.com/office/word/2010/wordprocessingShape">
                    <wps:wsp>
                      <wps:cNvSpPr txBox="1"/>
                      <wps:spPr>
                        <a:xfrm>
                          <a:off x="0" y="0"/>
                          <a:ext cx="3055620" cy="2981960"/>
                        </a:xfrm>
                        <a:prstGeom prst="rect"/>
                        <a:solidFill>
                          <a:srgbClr val="FFFFFF"/>
                        </a:solidFill>
                      </wps:spPr>
                      <wps:txbx>
                        <w:txbxContent>
                          <w:p>
                            <w:pPr>
                              <w:pStyle w:val="TextBody"/>
                              <w:bidi w:val="0"/>
                              <w:spacing w:lineRule="atLeast" w:line="240" w:before="0" w:after="0"/>
                              <w:jc w:val="both"/>
                              <w:rPr/>
                            </w:pPr>
                            <w:r>
                              <w:rPr>
                                <w:spacing w:val="-2"/>
                              </w:rPr>
                              <w:t>first-quarter and third-quarter meetings, a summary of the business conducted between Vantage and Howden during the preceding two quarters, together with available benchmarking information. Ms. Panuccio does not participate in the Audit Committee's deliberations, or vote, with respect to the Vantage/Howden relationship.</w:t>
                            </w:r>
                            <w:r>
                              <w:rPr>
                                <w:spacing w:val="4"/>
                              </w:rPr>
                              <w:t xml:space="preserve"> </w:t>
                            </w:r>
                          </w:p>
                          <w:p>
                            <w:pPr>
                              <w:pStyle w:val="TextBody"/>
                              <w:bidi w:val="0"/>
                              <w:spacing w:lineRule="atLeast" w:line="340" w:before="240" w:after="283"/>
                              <w:jc w:val="left"/>
                              <w:rPr>
                                <w:b/>
                                <w:color w:val="7F7F7F"/>
                                <w:sz w:val="30"/>
                              </w:rPr>
                            </w:pPr>
                            <w:r>
                              <w:rPr>
                                <w:b/>
                                <w:color w:val="7F7F7F"/>
                                <w:spacing w:val="-4"/>
                                <w:sz w:val="30"/>
                              </w:rPr>
                              <w:t>OXMAN</w:t>
                            </w:r>
                            <w:r>
                              <w:rPr>
                                <w:b/>
                                <w:color w:val="7F7F7F"/>
                                <w:spacing w:val="-1"/>
                                <w:sz w:val="30"/>
                              </w:rPr>
                              <w:t> Design Services Agreement</w:t>
                            </w:r>
                            <w:r>
                              <w:rPr>
                                <w:b/>
                                <w:color w:val="7F7F7F"/>
                                <w:spacing w:val="-4"/>
                                <w:sz w:val="30"/>
                              </w:rPr>
                              <w:t xml:space="preserve"> </w:t>
                            </w:r>
                          </w:p>
                          <w:p>
                            <w:pPr>
                              <w:pStyle w:val="TextBody"/>
                              <w:bidi w:val="0"/>
                              <w:spacing w:lineRule="atLeast" w:line="240" w:before="240" w:after="283"/>
                              <w:ind w:left="0" w:right="0" w:firstLine="400"/>
                              <w:jc w:val="both"/>
                              <w:rPr>
                                <w:spacing w:val="-2"/>
                              </w:rPr>
                            </w:pPr>
                            <w:r>
                              <w:rPr>
                                <w:spacing w:val="-2"/>
                              </w:rPr>
                              <w:t xml:space="preserve">In June 2026, Howard Hughes Management Co., LLC entered into a Master Professional Services Agreement with Neox Public Benefit LLC d/b/a OXMAN, and Trillium Management Development Company LLC entered into a related work order with OXMAN for </w:t>
                            </w:r>
                          </w:p>
                        </w:txbxContent>
                      </wps:txbx>
                      <wps:bodyPr anchor="t" lIns="0" tIns="0" rIns="0" bIns="0">
                        <a:noAutofit/>
                      </wps:bodyPr>
                    </wps:wsp>
                  </a:graphicData>
                </a:graphic>
              </wp:anchor>
            </w:drawing>
          </mc:Choice>
          <mc:Fallback>
            <w:pict>
              <v:rect style="position:absolute;rotation:-0;width:240.6pt;height:234.8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jc w:val="both"/>
                        <w:rPr/>
                      </w:pPr>
                      <w:r>
                        <w:rPr>
                          <w:spacing w:val="-2"/>
                        </w:rPr>
                        <w:t>first-quarter and third-quarter meetings, a summary of the business conducted between Vantage and Howden during the preceding two quarters, together with available benchmarking information. Ms. Panuccio does not participate in the Audit Committee's deliberations, or vote, with respect to the Vantage/Howden relationship.</w:t>
                      </w:r>
                      <w:r>
                        <w:rPr>
                          <w:spacing w:val="4"/>
                        </w:rPr>
                        <w:t xml:space="preserve"> </w:t>
                      </w:r>
                    </w:p>
                    <w:p>
                      <w:pPr>
                        <w:pStyle w:val="TextBody"/>
                        <w:bidi w:val="0"/>
                        <w:spacing w:lineRule="atLeast" w:line="340" w:before="240" w:after="283"/>
                        <w:jc w:val="left"/>
                        <w:rPr>
                          <w:b/>
                          <w:color w:val="7F7F7F"/>
                          <w:sz w:val="30"/>
                        </w:rPr>
                      </w:pPr>
                      <w:r>
                        <w:rPr>
                          <w:b/>
                          <w:color w:val="7F7F7F"/>
                          <w:spacing w:val="-4"/>
                          <w:sz w:val="30"/>
                        </w:rPr>
                        <w:t>OXMAN</w:t>
                      </w:r>
                      <w:r>
                        <w:rPr>
                          <w:b/>
                          <w:color w:val="7F7F7F"/>
                          <w:spacing w:val="-1"/>
                          <w:sz w:val="30"/>
                        </w:rPr>
                        <w:t> Design Services Agreement</w:t>
                      </w:r>
                      <w:r>
                        <w:rPr>
                          <w:b/>
                          <w:color w:val="7F7F7F"/>
                          <w:spacing w:val="-4"/>
                          <w:sz w:val="30"/>
                        </w:rPr>
                        <w:t xml:space="preserve"> </w:t>
                      </w:r>
                    </w:p>
                    <w:p>
                      <w:pPr>
                        <w:pStyle w:val="TextBody"/>
                        <w:bidi w:val="0"/>
                        <w:spacing w:lineRule="atLeast" w:line="240" w:before="240" w:after="283"/>
                        <w:ind w:left="0" w:right="0" w:firstLine="400"/>
                        <w:jc w:val="both"/>
                        <w:rPr>
                          <w:spacing w:val="-2"/>
                        </w:rPr>
                      </w:pPr>
                      <w:r>
                        <w:rPr>
                          <w:spacing w:val="-2"/>
                        </w:rPr>
                        <w:t xml:space="preserve">In June 2026, Howard Hughes Management Co., LLC entered into a Master Professional Services Agreement with Neox Public Benefit LLC d/b/a OXMAN, and Trillium Management Development Company LLC entered into a related work order with OXMAN for </w:t>
                      </w:r>
                    </w:p>
                  </w:txbxContent>
                </v:textbox>
                <w10:wrap type="square" side="right"/>
              </v:rect>
            </w:pict>
          </mc:Fallback>
        </mc:AlternateContent>
      </w:r>
      <w:r>
        <mc:AlternateContent>
          <mc:Choice Requires="wps">
            <w:drawing>
              <wp:anchor behindDoc="0" distT="0" distB="0" distL="304800" distR="0" simplePos="0" locked="0" layoutInCell="1" allowOverlap="1" relativeHeight="384">
                <wp:simplePos x="0" y="0"/>
                <wp:positionH relativeFrom="column">
                  <wp:align>left</wp:align>
                </wp:positionH>
                <wp:positionV relativeFrom="line">
                  <wp:posOffset>635</wp:posOffset>
                </wp:positionV>
                <wp:extent cx="3055620" cy="2979420"/>
                <wp:effectExtent l="0" t="0" r="0" b="0"/>
                <wp:wrapSquare wrapText="right"/>
                <wp:docPr id="332" name="Frame252"/>
                <a:graphic xmlns:a="http://schemas.openxmlformats.org/drawingml/2006/main">
                  <a:graphicData uri="http://schemas.microsoft.com/office/word/2010/wordprocessingShape">
                    <wps:wsp>
                      <wps:cNvSpPr txBox="1"/>
                      <wps:spPr>
                        <a:xfrm>
                          <a:off x="0" y="0"/>
                          <a:ext cx="3055620" cy="2979420"/>
                        </a:xfrm>
                        <a:prstGeom prst="rect"/>
                        <a:solidFill>
                          <a:srgbClr val="FFFFFF"/>
                        </a:solidFill>
                      </wps:spPr>
                      <wps:txbx>
                        <w:txbxContent>
                          <w:p>
                            <w:pPr>
                              <w:pStyle w:val="TextBody"/>
                              <w:bidi w:val="0"/>
                              <w:spacing w:lineRule="atLeast" w:line="240" w:before="0" w:after="0"/>
                              <w:jc w:val="both"/>
                              <w:rPr/>
                            </w:pPr>
                            <w:r>
                              <w:rPr>
                                <w:spacing w:val="-2"/>
                              </w:rPr>
                              <w:t>design research and concept development services relating to a Floreo development unit. The work order provides for a fixed fee of $345,000, plus reimbursable expenses. This transaction is a related party transaction because OXMAN is operated by Neri Oxman, the spouse of William A. Ackman, our Executive Chairman and a director. Company management disclosed Ms. Oxman’s relationship with Mr. Ackman to the Audit Committee, consistent with the Company’s Related-Party Transactions Policy. The Audit Committee determined that the terms of the engagement were fair and reasonable to, and no less favorable to the Company than could be obtained from an unrelated third party, and that the engagement is in the best interests of the Company and its stockholders.</w:t>
                            </w:r>
                            <w:r>
                              <w:rPr/>
                              <w:t xml:space="preserve"> </w:t>
                            </w:r>
                          </w:p>
                        </w:txbxContent>
                      </wps:txbx>
                      <wps:bodyPr anchor="t" lIns="0" tIns="0" rIns="0" bIns="0">
                        <a:noAutofit/>
                      </wps:bodyPr>
                    </wps:wsp>
                  </a:graphicData>
                </a:graphic>
              </wp:anchor>
            </w:drawing>
          </mc:Choice>
          <mc:Fallback>
            <w:pict>
              <v:rect style="position:absolute;rotation:-0;width:240.6pt;height:234.6pt;mso-wrap-distance-left:24pt;mso-wrap-distance-right:0pt;mso-wrap-distance-top:0pt;mso-wrap-distance-bottom:0pt;margin-top:0pt;mso-position-vertical:top;mso-position-vertical-relative:text;margin-left:288.6pt;mso-position-horizontal:left;mso-position-horizontal-relative:text">
                <v:textbox>
                  <w:txbxContent>
                    <w:p>
                      <w:pPr>
                        <w:pStyle w:val="TextBody"/>
                        <w:bidi w:val="0"/>
                        <w:spacing w:lineRule="atLeast" w:line="240" w:before="0" w:after="0"/>
                        <w:jc w:val="both"/>
                        <w:rPr/>
                      </w:pPr>
                      <w:r>
                        <w:rPr>
                          <w:spacing w:val="-2"/>
                        </w:rPr>
                        <w:t>design research and concept development services relating to a Floreo development unit. The work order provides for a fixed fee of $345,000, plus reimbursable expenses. This transaction is a related party transaction because OXMAN is operated by Neri Oxman, the spouse of William A. Ackman, our Executive Chairman and a director. Company management disclosed Ms. Oxman’s relationship with Mr. Ackman to the Audit Committee, consistent with the Company’s Related-Party Transactions Policy. The Audit Committee determined that the terms of the engagement were fair and reasonable to, and no less favorable to the Company than could be obtained from an unrelated third party, and that the engagement is in the best interests of the Company and its stockholders.</w:t>
                      </w:r>
                      <w:r>
                        <w:rPr/>
                        <w:t xml:space="preserve"> </w:t>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36 \ 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PN1E"/>
      <w:bookmarkEnd w:id="47"/>
      <w:r>
        <w:rPr>
          <w:rFonts w:ascii="calibri;arial;sans-serif" w:hAnsi="calibri;arial;sans-serif"/>
          <w:b w:val="false"/>
          <w:i w:val="false"/>
          <w:caps w:val="false"/>
          <w:smallCaps w:val="false"/>
          <w:color w:val="000000"/>
          <w:sz w:val="16"/>
        </w:rPr>
        <w:t xml:space="preserve">​ </w:t>
      </w:r>
    </w:p>
    <w:tbl>
      <w:tblPr>
        <w:tblW w:w="4667" w:type="dxa"/>
        <w:jc w:val="left"/>
        <w:tblInd w:w="0" w:type="dxa"/>
        <w:tblLayout w:type="fixed"/>
        <w:tblCellMar>
          <w:top w:w="0" w:type="dxa"/>
          <w:left w:w="0" w:type="dxa"/>
          <w:bottom w:w="0" w:type="dxa"/>
          <w:right w:w="0" w:type="dxa"/>
        </w:tblCellMar>
      </w:tblPr>
      <w:tblGrid>
        <w:gridCol w:w="124"/>
        <w:gridCol w:w="109"/>
        <w:gridCol w:w="109"/>
        <w:gridCol w:w="109"/>
        <w:gridCol w:w="3735"/>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35" w:type="dxa"/>
            <w:tcBorders/>
            <w:vAlign w:val="center"/>
          </w:tcPr>
          <w:p>
            <w:pPr>
              <w:pStyle w:val="TableContents"/>
              <w:bidi w:val="0"/>
              <w:spacing w:before="0" w:after="0"/>
              <w:jc w:val="left"/>
              <w:rPr/>
            </w:pPr>
            <w:r>
              <w:rPr>
                <w:spacing w:val="-1"/>
              </w:rPr>
              <w:t>Proposal No. 1</w:t>
            </w:r>
            <w:r>
              <w:rPr>
                <w:spacing w:val="-6"/>
              </w:rPr>
              <w:t> – </w:t>
            </w:r>
            <w:r>
              <w:rPr>
                <w:spacing w:val="-1"/>
              </w:rPr>
              <w:t xml:space="preserve">Election of Directors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385">
                <wp:simplePos x="0" y="0"/>
                <wp:positionH relativeFrom="column">
                  <wp:align>left</wp:align>
                </wp:positionH>
                <wp:positionV relativeFrom="line">
                  <wp:posOffset>635</wp:posOffset>
                </wp:positionV>
                <wp:extent cx="3054350" cy="3431540"/>
                <wp:effectExtent l="0" t="0" r="0" b="0"/>
                <wp:wrapSquare wrapText="right"/>
                <wp:docPr id="333" name="Frame253"/>
                <a:graphic xmlns:a="http://schemas.openxmlformats.org/drawingml/2006/main">
                  <a:graphicData uri="http://schemas.microsoft.com/office/word/2010/wordprocessingShape">
                    <wps:wsp>
                      <wps:cNvSpPr txBox="1"/>
                      <wps:spPr>
                        <a:xfrm>
                          <a:off x="0" y="0"/>
                          <a:ext cx="3054350" cy="3431540"/>
                        </a:xfrm>
                        <a:prstGeom prst="rect"/>
                        <a:solidFill>
                          <a:srgbClr val="FFFFFF"/>
                        </a:solidFill>
                      </wps:spPr>
                      <wps:txbx>
                        <w:txbxContent>
                          <w:p>
                            <w:pPr>
                              <w:pStyle w:val="TextBody"/>
                              <w:bidi w:val="0"/>
                              <w:spacing w:lineRule="atLeast" w:line="230" w:before="0" w:after="0"/>
                              <w:jc w:val="both"/>
                              <w:rPr/>
                            </w:pPr>
                            <w:r>
                              <w:rPr>
                                <w:spacing w:val="-2"/>
                              </w:rPr>
                              <w:t>The Company’s bylaws provide that the number of directors will be determined by the Board from time to time. As of the date of this Proxy Statement, and in accordance with the terms of the Standstill Agreement, there are currently eleven members of the Board.</w:t>
                            </w:r>
                            <w:r>
                              <w:rPr>
                                <w:spacing w:val="4"/>
                              </w:rPr>
                              <w:t xml:space="preserve"> </w:t>
                            </w:r>
                          </w:p>
                          <w:p>
                            <w:pPr>
                              <w:pStyle w:val="TextBody"/>
                              <w:bidi w:val="0"/>
                              <w:spacing w:lineRule="atLeast" w:line="230" w:before="160" w:after="283"/>
                              <w:jc w:val="both"/>
                              <w:rPr/>
                            </w:pPr>
                            <w:r>
                              <w:rPr>
                                <w:spacing w:val="-2"/>
                              </w:rPr>
                              <w:t>The nomination to serve on the Board of each director nominee identified below was recommended by the N&amp;CG committee and approved by the Board. Each director nominee, if elected, will serve until the 2027 annual meeting of stockholders (the “2027 Annual Meeting”) and until such director’s successor is duly elected and qualified or until such director’s earlier death, incapacity, resignation, retirement, disqualification or removal from office. Each of the director nominees has consented to being named in this proxy statement and to serve as a director if elected.</w:t>
                            </w:r>
                            <w:r>
                              <w:rPr>
                                <w:spacing w:val="4"/>
                              </w:rPr>
                              <w:t xml:space="preserve"> </w:t>
                            </w:r>
                          </w:p>
                        </w:txbxContent>
                      </wps:txbx>
                      <wps:bodyPr anchor="t" lIns="0" tIns="0" rIns="0" bIns="0">
                        <a:noAutofit/>
                      </wps:bodyPr>
                    </wps:wsp>
                  </a:graphicData>
                </a:graphic>
              </wp:anchor>
            </w:drawing>
          </mc:Choice>
          <mc:Fallback>
            <w:pict>
              <v:rect style="position:absolute;rotation:-0;width:240.5pt;height:270.2pt;mso-wrap-distance-left:45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lineRule="atLeast" w:line="230" w:before="0" w:after="0"/>
                        <w:jc w:val="both"/>
                        <w:rPr/>
                      </w:pPr>
                      <w:r>
                        <w:rPr>
                          <w:spacing w:val="-2"/>
                        </w:rPr>
                        <w:t>The Company’s bylaws provide that the number of directors will be determined by the Board from time to time. As of the date of this Proxy Statement, and in accordance with the terms of the Standstill Agreement, there are currently eleven members of the Board.</w:t>
                      </w:r>
                      <w:r>
                        <w:rPr>
                          <w:spacing w:val="4"/>
                        </w:rPr>
                        <w:t xml:space="preserve"> </w:t>
                      </w:r>
                    </w:p>
                    <w:p>
                      <w:pPr>
                        <w:pStyle w:val="TextBody"/>
                        <w:bidi w:val="0"/>
                        <w:spacing w:lineRule="atLeast" w:line="230" w:before="160" w:after="283"/>
                        <w:jc w:val="both"/>
                        <w:rPr/>
                      </w:pPr>
                      <w:r>
                        <w:rPr>
                          <w:spacing w:val="-2"/>
                        </w:rPr>
                        <w:t>The nomination to serve on the Board of each director nominee identified below was recommended by the N&amp;CG committee and approved by the Board. Each director nominee, if elected, will serve until the 2027 annual meeting of stockholders (the “2027 Annual Meeting”) and until such director’s successor is duly elected and qualified or until such director’s earlier death, incapacity, resignation, retirement, disqualification or removal from office. Each of the director nominees has consented to being named in this proxy statement and to serve as a director if elected.</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386">
                <wp:simplePos x="0" y="0"/>
                <wp:positionH relativeFrom="column">
                  <wp:align>left</wp:align>
                </wp:positionH>
                <wp:positionV relativeFrom="line">
                  <wp:posOffset>635</wp:posOffset>
                </wp:positionV>
                <wp:extent cx="3054350" cy="2730500"/>
                <wp:effectExtent l="0" t="0" r="0" b="0"/>
                <wp:wrapSquare wrapText="right"/>
                <wp:docPr id="334" name="Frame254"/>
                <a:graphic xmlns:a="http://schemas.openxmlformats.org/drawingml/2006/main">
                  <a:graphicData uri="http://schemas.microsoft.com/office/word/2010/wordprocessingShape">
                    <wps:wsp>
                      <wps:cNvSpPr txBox="1"/>
                      <wps:spPr>
                        <a:xfrm>
                          <a:off x="0" y="0"/>
                          <a:ext cx="3054350" cy="2730500"/>
                        </a:xfrm>
                        <a:prstGeom prst="rect"/>
                        <a:solidFill>
                          <a:srgbClr val="FFFFFF"/>
                        </a:solidFill>
                      </wps:spPr>
                      <wps:txbx>
                        <w:txbxContent>
                          <w:p>
                            <w:pPr>
                              <w:pStyle w:val="TextBody"/>
                              <w:bidi w:val="0"/>
                              <w:spacing w:lineRule="atLeast" w:line="250" w:before="0" w:after="0"/>
                              <w:jc w:val="both"/>
                              <w:rPr/>
                            </w:pPr>
                            <w:r>
                              <w:rPr>
                                <w:spacing w:val="-2"/>
                              </w:rPr>
                              <w:t>The primary qualities and characteristics that nominees to the Board should possess are strong business expertise and, in particular, experiences and expertise with regard to operations, real estate development and management, capital markets, marketing, technology, financial statements and reporting, risk management, and insurance. All eleven of the nominees possess the majority of these attributes. The specific experiences, qualifications, attributes and skills of each individual leading to his or her nomination are included in the individual discussions below.</w:t>
                            </w:r>
                            <w:r>
                              <w:rPr>
                                <w:spacing w:val="4"/>
                              </w:rPr>
                              <w:t xml:space="preserve"> </w:t>
                            </w:r>
                          </w:p>
                          <w:p>
                            <w:pPr>
                              <w:pStyle w:val="TextBody"/>
                              <w:bidi w:val="0"/>
                              <w:spacing w:lineRule="atLeast" w:line="250" w:before="160" w:after="283"/>
                              <w:jc w:val="both"/>
                              <w:rPr/>
                            </w:pPr>
                            <w:r>
                              <w:rPr>
                                <w:spacing w:val="-2"/>
                              </w:rPr>
                              <w:t>A director is elected by a majority of votes cast “for” his or her election at a meeting at which a quorum is present.</w:t>
                            </w:r>
                            <w:r>
                              <w:rPr/>
                              <w:t xml:space="preserve"> </w:t>
                            </w:r>
                          </w:p>
                        </w:txbxContent>
                      </wps:txbx>
                      <wps:bodyPr anchor="t" lIns="0" tIns="0" rIns="0" bIns="0">
                        <a:noAutofit/>
                      </wps:bodyPr>
                    </wps:wsp>
                  </a:graphicData>
                </a:graphic>
              </wp:anchor>
            </w:drawing>
          </mc:Choice>
          <mc:Fallback>
            <w:pict>
              <v:rect style="position:absolute;rotation:-0;width:240.5pt;height:215pt;mso-wrap-distance-left:24pt;mso-wrap-distance-right:0pt;mso-wrap-distance-top:0pt;mso-wrap-distance-bottom:0pt;margin-top:0pt;mso-position-vertical:top;mso-position-vertical-relative:text;margin-left:288.6pt;mso-position-horizontal:left;mso-position-horizontal-relative:text">
                <v:textbox>
                  <w:txbxContent>
                    <w:p>
                      <w:pPr>
                        <w:pStyle w:val="TextBody"/>
                        <w:bidi w:val="0"/>
                        <w:spacing w:lineRule="atLeast" w:line="250" w:before="0" w:after="0"/>
                        <w:jc w:val="both"/>
                        <w:rPr/>
                      </w:pPr>
                      <w:r>
                        <w:rPr>
                          <w:spacing w:val="-2"/>
                        </w:rPr>
                        <w:t>The primary qualities and characteristics that nominees to the Board should possess are strong business expertise and, in particular, experiences and expertise with regard to operations, real estate development and management, capital markets, marketing, technology, financial statements and reporting, risk management, and insurance. All eleven of the nominees possess the majority of these attributes. The specific experiences, qualifications, attributes and skills of each individual leading to his or her nomination are included in the individual discussions below.</w:t>
                      </w:r>
                      <w:r>
                        <w:rPr>
                          <w:spacing w:val="4"/>
                        </w:rPr>
                        <w:t xml:space="preserve"> </w:t>
                      </w:r>
                    </w:p>
                    <w:p>
                      <w:pPr>
                        <w:pStyle w:val="TextBody"/>
                        <w:bidi w:val="0"/>
                        <w:spacing w:lineRule="atLeast" w:line="250" w:before="160" w:after="283"/>
                        <w:jc w:val="both"/>
                        <w:rPr/>
                      </w:pPr>
                      <w:r>
                        <w:rPr>
                          <w:spacing w:val="-2"/>
                        </w:rPr>
                        <w:t>A director is elected by a majority of votes cast “for” his or her election at a meeting at which a quorum is present.</w:t>
                      </w:r>
                      <w:r>
                        <w:rPr/>
                        <w:t xml:space="preserve"> </w:t>
                      </w:r>
                    </w:p>
                  </w:txbxContent>
                </v:textbox>
                <w10:wrap type="square" side="right"/>
              </v:rect>
            </w:pict>
          </mc:Fallback>
        </mc:AlternateContent>
      </w:r>
    </w:p>
    <w:p>
      <w:pPr>
        <w:pStyle w:val="TextBody"/>
        <w:bidi w:val="0"/>
        <w:spacing w:before="0" w:after="283"/>
        <w:ind w:left="900" w:right="0" w:hanging="0"/>
        <w:jc w:val="both"/>
        <w:rPr>
          <w:caps w:val="false"/>
          <w:smallCaps w:val="false"/>
          <w:color w:val="000000"/>
          <w:bdr w:val="single" w:sz="8" w:space="1" w:color="BFBFBF"/>
        </w:rPr>
      </w:pPr>
      <w:r>
        <w:rPr>
          <w:caps w:val="false"/>
          <w:smallCaps w:val="false"/>
          <w:color w:val="000000"/>
          <w:bdr w:val="single" w:sz="8" w:space="1" w:color="BFBFBF"/>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43">
                <wp:simplePos x="0" y="0"/>
                <wp:positionH relativeFrom="column">
                  <wp:align>left</wp:align>
                </wp:positionH>
                <wp:positionV relativeFrom="line">
                  <wp:posOffset>635</wp:posOffset>
                </wp:positionV>
                <wp:extent cx="3054350" cy="6678930"/>
                <wp:effectExtent l="0" t="0" r="0" b="0"/>
                <wp:wrapSquare wrapText="right"/>
                <wp:docPr id="335" name="Frame255"/>
                <a:graphic xmlns:a="http://schemas.openxmlformats.org/drawingml/2006/main">
                  <a:graphicData uri="http://schemas.microsoft.com/office/word/2010/wordprocessingShape">
                    <wps:wsp>
                      <wps:cNvSpPr txBox="1"/>
                      <wps:spPr>
                        <a:xfrm>
                          <a:off x="0" y="0"/>
                          <a:ext cx="3054350" cy="6678930"/>
                        </a:xfrm>
                        <a:prstGeom prst="rect"/>
                        <a:solidFill>
                          <a:srgbClr val="FFFFFF"/>
                        </a:solidFill>
                      </wps:spPr>
                      <wps:txbx>
                        <w:txbxContent>
                          <w:tbl>
                            <w:tblPr>
                              <w:tblW w:w="5029" w:type="dxa"/>
                              <w:jc w:val="left"/>
                              <w:tblInd w:w="0" w:type="dxa"/>
                              <w:tblLayout w:type="fixed"/>
                              <w:tblCellMar>
                                <w:top w:w="0" w:type="dxa"/>
                                <w:left w:w="0" w:type="dxa"/>
                                <w:bottom w:w="0" w:type="dxa"/>
                                <w:right w:w="0" w:type="dxa"/>
                              </w:tblCellMar>
                            </w:tblPr>
                            <w:tblGrid>
                              <w:gridCol w:w="124"/>
                              <w:gridCol w:w="1751"/>
                              <w:gridCol w:w="109"/>
                              <w:gridCol w:w="109"/>
                              <w:gridCol w:w="2782"/>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33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79" descr=""/>
                                                <pic:cNvPicPr>
                                                  <a:picLocks noChangeAspect="1" noChangeArrowheads="1"/>
                                                </pic:cNvPicPr>
                                              </pic:nvPicPr>
                                              <pic:blipFill>
                                                <a:blip r:embed="rId82"/>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782" w:type="dxa"/>
                                  <w:tcBorders/>
                                  <w:shd w:fill="E5E5E5" w:val="clear"/>
                                  <w:vAlign w:val="center"/>
                                </w:tcPr>
                                <w:p>
                                  <w:pPr>
                                    <w:pStyle w:val="TableContents"/>
                                    <w:bidi w:val="0"/>
                                    <w:spacing w:lineRule="atLeast" w:line="216" w:before="0" w:after="0"/>
                                    <w:jc w:val="left"/>
                                    <w:rPr>
                                      <w:b/>
                                    </w:rPr>
                                  </w:pPr>
                                  <w:r>
                                    <w:rPr>
                                      <w:b/>
                                      <w:spacing w:val="-2"/>
                                    </w:rPr>
                                    <w:t>WILLIAM A. ACKMAN</w:t>
                                  </w:r>
                                  <w:r>
                                    <w:rPr>
                                      <w:b/>
                                    </w:rPr>
                                    <w:t xml:space="preserve"> </w:t>
                                  </w:r>
                                </w:p>
                                <w:p>
                                  <w:pPr>
                                    <w:pStyle w:val="TableContents"/>
                                    <w:bidi w:val="0"/>
                                    <w:spacing w:lineRule="atLeast" w:line="180" w:before="156" w:after="283"/>
                                    <w:jc w:val="left"/>
                                    <w:rPr/>
                                  </w:pPr>
                                  <w:r>
                                    <w:rPr>
                                      <w:spacing w:val="-1"/>
                                    </w:rPr>
                                    <w:t>Age 60</w:t>
                                  </w:r>
                                  <w:r>
                                    <w:rPr/>
                                    <w:t xml:space="preserve"> </w:t>
                                  </w:r>
                                </w:p>
                                <w:p>
                                  <w:pPr>
                                    <w:pStyle w:val="TableContents"/>
                                    <w:bidi w:val="0"/>
                                    <w:spacing w:lineRule="atLeast" w:line="215" w:before="156" w:after="283"/>
                                    <w:jc w:val="left"/>
                                    <w:rPr/>
                                  </w:pPr>
                                  <w:r>
                                    <w:rPr>
                                      <w:spacing w:val="-1"/>
                                    </w:rPr>
                                    <w:t xml:space="preserve">Executive Chairman since </w:t>
                                    <w:br/>
                                    <w:t>May 2025</w:t>
                                  </w:r>
                                  <w:r>
                                    <w:rPr/>
                                    <w:t xml:space="preserve"> </w:t>
                                  </w:r>
                                </w:p>
                                <w:p>
                                  <w:pPr>
                                    <w:pStyle w:val="TableContents"/>
                                    <w:bidi w:val="0"/>
                                    <w:spacing w:lineRule="atLeast" w:line="180" w:before="156" w:after="283"/>
                                    <w:jc w:val="left"/>
                                    <w:rPr/>
                                  </w:pPr>
                                  <w:r>
                                    <w:rPr>
                                      <w:spacing w:val="-1"/>
                                    </w:rPr>
                                    <w:t>Committees</w:t>
                                  </w:r>
                                  <w:r>
                                    <w:rPr/>
                                    <w:t xml:space="preserve"> </w:t>
                                  </w:r>
                                </w:p>
                                <w:p>
                                  <w:pPr>
                                    <w:pStyle w:val="TableContents"/>
                                    <w:bidi w:val="0"/>
                                    <w:spacing w:lineRule="atLeast" w:line="180" w:before="76" w:after="0"/>
                                    <w:ind w:left="460" w:right="0" w:hanging="0"/>
                                    <w:jc w:val="left"/>
                                    <w:rPr/>
                                  </w:pPr>
                                  <w:r>
                                    <w:rPr>
                                      <w:spacing w:val="-1"/>
                                    </w:rPr>
                                    <w:t>Insurance</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6" w:after="283"/>
                              <w:jc w:val="left"/>
                              <w:rPr>
                                <w:b/>
                              </w:rPr>
                            </w:pPr>
                            <w:r>
                              <w:rPr>
                                <w:b/>
                                <w:spacing w:val="0"/>
                              </w:rPr>
                              <w:t>Background</w:t>
                            </w:r>
                            <w:r>
                              <w:rPr>
                                <w:b/>
                                <w:spacing w:val="4"/>
                              </w:rPr>
                              <w:t xml:space="preserve"> </w:t>
                            </w:r>
                          </w:p>
                          <w:p>
                            <w:pPr>
                              <w:pStyle w:val="TextBody"/>
                              <w:bidi w:val="0"/>
                              <w:spacing w:lineRule="atLeast" w:line="240" w:before="240" w:after="283"/>
                              <w:jc w:val="both"/>
                              <w:rPr/>
                            </w:pPr>
                            <w:r>
                              <w:rPr>
                                <w:b/>
                                <w:spacing w:val="0"/>
                              </w:rPr>
                              <w:t>Bill Ackman</w:t>
                            </w:r>
                            <w:r>
                              <w:rPr>
                                <w:spacing w:val="-2"/>
                              </w:rPr>
                              <w:t xml:space="preserve"> has served as Executive Chairman of the Board since May 2025, and previously served as Chairman of the Board from November 2010 to May 2024. Mr. Ackman has served as the Founder and Chief Executive Officer of PSCM since its founding in 2003, and as Chairman of the board of directors of PS  Inc. since June 2024. Prior to founding PSCM, Mr. Ackman co-founded and co-managed Gotham Partners Management Co., LLC, an investment adviser that managed public and private equity hedge fund portfolios, until 2003. Mr. Ackman is Chairman and Chief Executive Officer of Pershing Square SPARC Holdings, Ltd. In addition, Mr. Ackman serves on the board of The Pershing Square Foundation, which he founded in 2006. Mr. Ackman previously served as Chief Executive Officer and Chairman of Pershing Square Tontine Holdings, Ltd., as a member of the Federal Reserve Bank of New York’s Investment Advisory Committee on Financial Markets and as a </w:t>
                            </w:r>
                          </w:p>
                        </w:txbxContent>
                      </wps:txbx>
                      <wps:bodyPr anchor="t" lIns="0" tIns="0" rIns="0" bIns="0">
                        <a:noAutofit/>
                      </wps:bodyPr>
                    </wps:wsp>
                  </a:graphicData>
                </a:graphic>
              </wp:anchor>
            </w:drawing>
          </mc:Choice>
          <mc:Fallback>
            <w:pict>
              <v:rect style="position:absolute;rotation:-0;width:240.5pt;height:525.9pt;mso-wrap-distance-left:45pt;mso-wrap-distance-right:0pt;mso-wrap-distance-top:0pt;mso-wrap-distance-bottom:0pt;margin-top:0pt;mso-position-vertical:top;mso-position-vertical-relative:text;margin-left:45pt;mso-position-horizontal:left;mso-position-horizontal-relative:text">
                <v:textbox>
                  <w:txbxContent>
                    <w:tbl>
                      <w:tblPr>
                        <w:tblW w:w="5029" w:type="dxa"/>
                        <w:jc w:val="left"/>
                        <w:tblInd w:w="0" w:type="dxa"/>
                        <w:tblLayout w:type="fixed"/>
                        <w:tblCellMar>
                          <w:top w:w="0" w:type="dxa"/>
                          <w:left w:w="0" w:type="dxa"/>
                          <w:bottom w:w="0" w:type="dxa"/>
                          <w:right w:w="0" w:type="dxa"/>
                        </w:tblCellMar>
                      </w:tblPr>
                      <w:tblGrid>
                        <w:gridCol w:w="124"/>
                        <w:gridCol w:w="1751"/>
                        <w:gridCol w:w="109"/>
                        <w:gridCol w:w="109"/>
                        <w:gridCol w:w="2782"/>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33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79" descr=""/>
                                          <pic:cNvPicPr>
                                            <a:picLocks noChangeAspect="1" noChangeArrowheads="1"/>
                                          </pic:cNvPicPr>
                                        </pic:nvPicPr>
                                        <pic:blipFill>
                                          <a:blip r:embed="rId83"/>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782" w:type="dxa"/>
                            <w:tcBorders/>
                            <w:shd w:fill="E5E5E5" w:val="clear"/>
                            <w:vAlign w:val="center"/>
                          </w:tcPr>
                          <w:p>
                            <w:pPr>
                              <w:pStyle w:val="TableContents"/>
                              <w:bidi w:val="0"/>
                              <w:spacing w:lineRule="atLeast" w:line="216" w:before="0" w:after="0"/>
                              <w:jc w:val="left"/>
                              <w:rPr>
                                <w:b/>
                              </w:rPr>
                            </w:pPr>
                            <w:r>
                              <w:rPr>
                                <w:b/>
                                <w:spacing w:val="-2"/>
                              </w:rPr>
                              <w:t>WILLIAM A. ACKMAN</w:t>
                            </w:r>
                            <w:r>
                              <w:rPr>
                                <w:b/>
                              </w:rPr>
                              <w:t xml:space="preserve"> </w:t>
                            </w:r>
                          </w:p>
                          <w:p>
                            <w:pPr>
                              <w:pStyle w:val="TableContents"/>
                              <w:bidi w:val="0"/>
                              <w:spacing w:lineRule="atLeast" w:line="180" w:before="156" w:after="283"/>
                              <w:jc w:val="left"/>
                              <w:rPr/>
                            </w:pPr>
                            <w:r>
                              <w:rPr>
                                <w:spacing w:val="-1"/>
                              </w:rPr>
                              <w:t>Age 60</w:t>
                            </w:r>
                            <w:r>
                              <w:rPr/>
                              <w:t xml:space="preserve"> </w:t>
                            </w:r>
                          </w:p>
                          <w:p>
                            <w:pPr>
                              <w:pStyle w:val="TableContents"/>
                              <w:bidi w:val="0"/>
                              <w:spacing w:lineRule="atLeast" w:line="215" w:before="156" w:after="283"/>
                              <w:jc w:val="left"/>
                              <w:rPr/>
                            </w:pPr>
                            <w:r>
                              <w:rPr>
                                <w:spacing w:val="-1"/>
                              </w:rPr>
                              <w:t xml:space="preserve">Executive Chairman since </w:t>
                              <w:br/>
                              <w:t>May 2025</w:t>
                            </w:r>
                            <w:r>
                              <w:rPr/>
                              <w:t xml:space="preserve"> </w:t>
                            </w:r>
                          </w:p>
                          <w:p>
                            <w:pPr>
                              <w:pStyle w:val="TableContents"/>
                              <w:bidi w:val="0"/>
                              <w:spacing w:lineRule="atLeast" w:line="180" w:before="156" w:after="283"/>
                              <w:jc w:val="left"/>
                              <w:rPr/>
                            </w:pPr>
                            <w:r>
                              <w:rPr>
                                <w:spacing w:val="-1"/>
                              </w:rPr>
                              <w:t>Committees</w:t>
                            </w:r>
                            <w:r>
                              <w:rPr/>
                              <w:t xml:space="preserve"> </w:t>
                            </w:r>
                          </w:p>
                          <w:p>
                            <w:pPr>
                              <w:pStyle w:val="TableContents"/>
                              <w:bidi w:val="0"/>
                              <w:spacing w:lineRule="atLeast" w:line="180" w:before="76" w:after="0"/>
                              <w:ind w:left="460" w:right="0" w:hanging="0"/>
                              <w:jc w:val="left"/>
                              <w:rPr/>
                            </w:pPr>
                            <w:r>
                              <w:rPr>
                                <w:spacing w:val="-1"/>
                              </w:rPr>
                              <w:t>Insurance</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6" w:after="283"/>
                        <w:jc w:val="left"/>
                        <w:rPr>
                          <w:b/>
                        </w:rPr>
                      </w:pPr>
                      <w:r>
                        <w:rPr>
                          <w:b/>
                          <w:spacing w:val="0"/>
                        </w:rPr>
                        <w:t>Background</w:t>
                      </w:r>
                      <w:r>
                        <w:rPr>
                          <w:b/>
                          <w:spacing w:val="4"/>
                        </w:rPr>
                        <w:t xml:space="preserve"> </w:t>
                      </w:r>
                    </w:p>
                    <w:p>
                      <w:pPr>
                        <w:pStyle w:val="TextBody"/>
                        <w:bidi w:val="0"/>
                        <w:spacing w:lineRule="atLeast" w:line="240" w:before="240" w:after="283"/>
                        <w:jc w:val="both"/>
                        <w:rPr/>
                      </w:pPr>
                      <w:r>
                        <w:rPr>
                          <w:b/>
                          <w:spacing w:val="0"/>
                        </w:rPr>
                        <w:t>Bill Ackman</w:t>
                      </w:r>
                      <w:r>
                        <w:rPr>
                          <w:spacing w:val="-2"/>
                        </w:rPr>
                        <w:t xml:space="preserve"> has served as Executive Chairman of the Board since May 2025, and previously served as Chairman of the Board from November 2010 to May 2024. Mr. Ackman has served as the Founder and Chief Executive Officer of PSCM since its founding in 2003, and as Chairman of the board of directors of PS  Inc. since June 2024. Prior to founding PSCM, Mr. Ackman co-founded and co-managed Gotham Partners Management Co., LLC, an investment adviser that managed public and private equity hedge fund portfolios, until 2003. Mr. Ackman is Chairman and Chief Executive Officer of Pershing Square SPARC Holdings, Ltd. In addition, Mr. Ackman serves on the board of The Pershing Square Foundation, which he founded in 2006. Mr. Ackman previously served as Chief Executive Officer and Chairman of Pershing Square Tontine Holdings, Ltd., as a member of the Federal Reserve Bank of New York’s Investment Advisory Committee on Financial Markets and as a </w:t>
                      </w:r>
                    </w:p>
                  </w:txbxContent>
                </v:textbox>
                <w10:wrap type="square" side="right"/>
              </v:rect>
            </w:pict>
          </mc:Fallback>
        </mc:AlternateContent>
      </w:r>
      <w:r>
        <mc:AlternateContent>
          <mc:Choice Requires="wps">
            <w:drawing>
              <wp:anchor behindDoc="0" distT="0" distB="0" distL="304800" distR="0" simplePos="0" locked="0" layoutInCell="1" allowOverlap="1" relativeHeight="388">
                <wp:simplePos x="0" y="0"/>
                <wp:positionH relativeFrom="column">
                  <wp:align>left</wp:align>
                </wp:positionH>
                <wp:positionV relativeFrom="line">
                  <wp:posOffset>635</wp:posOffset>
                </wp:positionV>
                <wp:extent cx="3054350" cy="2587625"/>
                <wp:effectExtent l="0" t="0" r="0" b="0"/>
                <wp:wrapSquare wrapText="right"/>
                <wp:docPr id="338" name="Frame257"/>
                <a:graphic xmlns:a="http://schemas.openxmlformats.org/drawingml/2006/main">
                  <a:graphicData uri="http://schemas.microsoft.com/office/word/2010/wordprocessingShape">
                    <wps:wsp>
                      <wps:cNvSpPr txBox="1"/>
                      <wps:spPr>
                        <a:xfrm>
                          <a:off x="0" y="0"/>
                          <a:ext cx="3054350" cy="2587625"/>
                        </a:xfrm>
                        <a:prstGeom prst="rect"/>
                        <a:solidFill>
                          <a:srgbClr val="FFFFFF"/>
                        </a:solidFill>
                      </wps:spPr>
                      <wps:txbx>
                        <w:txbxContent>
                          <w:p>
                            <w:pPr>
                              <w:pStyle w:val="TextBody"/>
                              <w:bidi w:val="0"/>
                              <w:spacing w:lineRule="atLeast" w:line="240" w:before="0" w:after="0"/>
                              <w:jc w:val="both"/>
                              <w:rPr/>
                            </w:pPr>
                            <w:r>
                              <w:rPr>
                                <w:spacing w:val="-2"/>
                              </w:rPr>
                              <w:t>director of Universal Music Group N.V. Mr. Ackman received a Masters in Business Administration from the Harvard Business School and a Bachelor of Arts magna cum laude from Harvard College.</w:t>
                            </w:r>
                            <w:r>
                              <w:rPr>
                                <w:spacing w:val="4"/>
                              </w:rPr>
                              <w:t xml:space="preserve"> </w:t>
                            </w:r>
                          </w:p>
                          <w:p>
                            <w:pPr>
                              <w:pStyle w:val="TextBody"/>
                              <w:bidi w:val="0"/>
                              <w:spacing w:lineRule="atLeast" w:line="240" w:before="240" w:after="283"/>
                              <w:jc w:val="left"/>
                              <w:rPr>
                                <w:b/>
                              </w:rPr>
                            </w:pPr>
                            <w:r>
                              <w:rPr>
                                <w:b/>
                                <w:spacing w:val="0"/>
                              </w:rPr>
                              <w:t>Qualifications</w:t>
                            </w:r>
                            <w:r>
                              <w:rPr>
                                <w:b/>
                                <w:spacing w:val="4"/>
                              </w:rPr>
                              <w:t xml:space="preserve"> </w:t>
                            </w:r>
                          </w:p>
                          <w:p>
                            <w:pPr>
                              <w:pStyle w:val="TextBody"/>
                              <w:bidi w:val="0"/>
                              <w:spacing w:lineRule="atLeast" w:line="240" w:before="240" w:after="283"/>
                              <w:jc w:val="both"/>
                              <w:rPr/>
                            </w:pPr>
                            <w:r>
                              <w:rPr>
                                <w:spacing w:val="-2"/>
                              </w:rPr>
                              <w:t>Mr. Ackman’s management experience, his service on boards of directors of public companies, and his investment experience in public and private companies and real estate provide him with valuable insights and perspectives that can assist the Company and the Board.</w:t>
                            </w:r>
                            <w:r>
                              <w:rPr/>
                              <w:t xml:space="preserve"> </w:t>
                            </w:r>
                          </w:p>
                        </w:txbxContent>
                      </wps:txbx>
                      <wps:bodyPr anchor="t" lIns="0" tIns="0" rIns="0" bIns="0">
                        <a:noAutofit/>
                      </wps:bodyPr>
                    </wps:wsp>
                  </a:graphicData>
                </a:graphic>
              </wp:anchor>
            </w:drawing>
          </mc:Choice>
          <mc:Fallback>
            <w:pict>
              <v:rect style="position:absolute;rotation:-0;width:240.5pt;height:203.7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jc w:val="both"/>
                        <w:rPr/>
                      </w:pPr>
                      <w:r>
                        <w:rPr>
                          <w:spacing w:val="-2"/>
                        </w:rPr>
                        <w:t>director of Universal Music Group N.V. Mr. Ackman received a Masters in Business Administration from the Harvard Business School and a Bachelor of Arts magna cum laude from Harvard College.</w:t>
                      </w:r>
                      <w:r>
                        <w:rPr>
                          <w:spacing w:val="4"/>
                        </w:rPr>
                        <w:t xml:space="preserve"> </w:t>
                      </w:r>
                    </w:p>
                    <w:p>
                      <w:pPr>
                        <w:pStyle w:val="TextBody"/>
                        <w:bidi w:val="0"/>
                        <w:spacing w:lineRule="atLeast" w:line="240" w:before="240" w:after="283"/>
                        <w:jc w:val="left"/>
                        <w:rPr>
                          <w:b/>
                        </w:rPr>
                      </w:pPr>
                      <w:r>
                        <w:rPr>
                          <w:b/>
                          <w:spacing w:val="0"/>
                        </w:rPr>
                        <w:t>Qualifications</w:t>
                      </w:r>
                      <w:r>
                        <w:rPr>
                          <w:b/>
                          <w:spacing w:val="4"/>
                        </w:rPr>
                        <w:t xml:space="preserve"> </w:t>
                      </w:r>
                    </w:p>
                    <w:p>
                      <w:pPr>
                        <w:pStyle w:val="TextBody"/>
                        <w:bidi w:val="0"/>
                        <w:spacing w:lineRule="atLeast" w:line="240" w:before="240" w:after="283"/>
                        <w:jc w:val="both"/>
                        <w:rPr/>
                      </w:pPr>
                      <w:r>
                        <w:rPr>
                          <w:spacing w:val="-2"/>
                        </w:rPr>
                        <w:t>Mr. Ackman’s management experience, his service on boards of directors of public companies, and his investment experience in public and private companies and real estate provide him with valuable insights and perspectives that can assist the Company and the Board.</w:t>
                      </w:r>
                      <w:r>
                        <w:rPr/>
                        <w:t xml:space="preserve"> </w:t>
                      </w:r>
                    </w:p>
                  </w:txbxContent>
                </v:textbox>
                <w10:wrap type="square" side="right"/>
              </v:rect>
            </w:pict>
          </mc:Fallback>
        </mc:AlternateContent>
      </w:r>
      <w:r>
        <mc:AlternateContent>
          <mc:Choice Requires="wps">
            <w:drawing>
              <wp:anchor behindDoc="0" distT="48260" distB="0" distL="63500" distR="0" simplePos="0" locked="0" layoutInCell="1" allowOverlap="1" relativeHeight="387">
                <wp:simplePos x="0" y="0"/>
                <wp:positionH relativeFrom="column">
                  <wp:align>left</wp:align>
                </wp:positionH>
                <wp:positionV relativeFrom="line">
                  <wp:align>top</wp:align>
                </wp:positionV>
                <wp:extent cx="228600" cy="350520"/>
                <wp:effectExtent l="0" t="0" r="0" b="0"/>
                <wp:wrapSquare wrapText="right"/>
                <wp:docPr id="339" name="Frame25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5pt;mso-wrap-distance-right:0pt;mso-wrap-distance-top:3.8pt;mso-wrap-distance-bottom:0pt;margin-top:3.8pt;mso-position-vertical:top;mso-position-vertical-relative:text;margin-left:5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/ 37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Proposal No. 1 – Election of Directors</w:t>
      </w:r>
      <w:r>
        <w:rPr>
          <w:rFonts w:ascii="Arial;Helvetica;sans-serif" w:hAnsi="Arial;Helvetica;sans-serif"/>
          <w:b/>
          <w:i w:val="false"/>
          <w:caps w:val="false"/>
          <w:smallCaps w:val="false"/>
          <w:color w:val="7F7F7F"/>
          <w:spacing w:val="-3"/>
          <w:sz w:val="22"/>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45">
                <wp:simplePos x="0" y="0"/>
                <wp:positionH relativeFrom="column">
                  <wp:align>left</wp:align>
                </wp:positionH>
                <wp:positionV relativeFrom="line">
                  <wp:posOffset>635</wp:posOffset>
                </wp:positionV>
                <wp:extent cx="3055620" cy="9972040"/>
                <wp:effectExtent l="0" t="0" r="0" b="0"/>
                <wp:wrapSquare wrapText="right"/>
                <wp:docPr id="340" name="Frame258"/>
                <a:graphic xmlns:a="http://schemas.openxmlformats.org/drawingml/2006/main">
                  <a:graphicData uri="http://schemas.microsoft.com/office/word/2010/wordprocessingShape">
                    <wps:wsp>
                      <wps:cNvSpPr txBox="1"/>
                      <wps:spPr>
                        <a:xfrm>
                          <a:off x="0" y="0"/>
                          <a:ext cx="3055620" cy="9972040"/>
                        </a:xfrm>
                        <a:prstGeom prst="rect"/>
                        <a:solidFill>
                          <a:srgbClr val="FFFFFF"/>
                        </a:solidFill>
                      </wps:spPr>
                      <wps:txbx>
                        <w:txbxContent>
                          <w:tbl>
                            <w:tblPr>
                              <w:tblW w:w="4897" w:type="dxa"/>
                              <w:jc w:val="left"/>
                              <w:tblInd w:w="0" w:type="dxa"/>
                              <w:tblLayout w:type="fixed"/>
                              <w:tblCellMar>
                                <w:top w:w="0" w:type="dxa"/>
                                <w:left w:w="0" w:type="dxa"/>
                                <w:bottom w:w="0" w:type="dxa"/>
                                <w:right w:w="0" w:type="dxa"/>
                              </w:tblCellMar>
                            </w:tblPr>
                            <w:tblGrid>
                              <w:gridCol w:w="124"/>
                              <w:gridCol w:w="1766"/>
                              <w:gridCol w:w="109"/>
                              <w:gridCol w:w="109"/>
                              <w:gridCol w:w="2635"/>
                              <w:gridCol w:w="154"/>
                            </w:tblGrid>
                            <w:tr>
                              <w:trPr/>
                              <w:tc>
                                <w:tcPr>
                                  <w:tcW w:w="124" w:type="dxa"/>
                                  <w:tcBorders/>
                                  <w:vAlign w:val="center"/>
                                </w:tcPr>
                                <w:p>
                                  <w:pPr>
                                    <w:pStyle w:val="TableContents"/>
                                    <w:bidi w:val="0"/>
                                    <w:spacing w:before="0" w:after="283"/>
                                    <w:jc w:val="left"/>
                                    <w:rPr/>
                                  </w:pPr>
                                  <w:r>
                                    <w:rPr/>
                                    <w:t>​</w:t>
                                  </w:r>
                                </w:p>
                              </w:tc>
                              <w:tc>
                                <w:tcPr>
                                  <w:tcW w:w="1766" w:type="dxa"/>
                                  <w:tcBorders/>
                                  <w:vAlign w:val="center"/>
                                </w:tcPr>
                                <w:p>
                                  <w:pPr>
                                    <w:pStyle w:val="TableContents"/>
                                    <w:bidi w:val="0"/>
                                    <w:spacing w:before="0" w:after="0"/>
                                    <w:jc w:val="left"/>
                                    <w:rPr/>
                                  </w:pPr>
                                  <w:r>
                                    <w:rPr/>
                                    <w:drawing>
                                      <wp:inline distT="0" distB="0" distL="0" distR="0">
                                        <wp:extent cx="1028700" cy="1028700"/>
                                        <wp:effectExtent l="0" t="0" r="0" b="0"/>
                                        <wp:docPr id="34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80" descr=""/>
                                                <pic:cNvPicPr>
                                                  <a:picLocks noChangeAspect="1" noChangeArrowheads="1"/>
                                                </pic:cNvPicPr>
                                              </pic:nvPicPr>
                                              <pic:blipFill>
                                                <a:blip r:embed="rId84"/>
                                                <a:stretch>
                                                  <a:fillRect/>
                                                </a:stretch>
                                              </pic:blipFill>
                                              <pic:spPr bwMode="auto">
                                                <a:xfrm>
                                                  <a:off x="0" y="0"/>
                                                  <a:ext cx="1028700" cy="10287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635" w:type="dxa"/>
                                  <w:tcBorders/>
                                  <w:shd w:fill="E5E5E5" w:val="clear"/>
                                  <w:vAlign w:val="center"/>
                                </w:tcPr>
                                <w:p>
                                  <w:pPr>
                                    <w:pStyle w:val="TableContents"/>
                                    <w:bidi w:val="0"/>
                                    <w:spacing w:lineRule="atLeast" w:line="216" w:before="0" w:after="0"/>
                                    <w:jc w:val="left"/>
                                    <w:rPr>
                                      <w:b/>
                                    </w:rPr>
                                  </w:pPr>
                                  <w:r>
                                    <w:rPr>
                                      <w:b/>
                                      <w:spacing w:val="-2"/>
                                    </w:rPr>
                                    <w:t>DAVID EUN</w:t>
                                  </w:r>
                                  <w:r>
                                    <w:rPr>
                                      <w:b/>
                                    </w:rPr>
                                    <w:t xml:space="preserve"> </w:t>
                                  </w:r>
                                </w:p>
                                <w:p>
                                  <w:pPr>
                                    <w:pStyle w:val="TableContents"/>
                                    <w:bidi w:val="0"/>
                                    <w:spacing w:lineRule="atLeast" w:line="180" w:before="156" w:after="283"/>
                                    <w:jc w:val="left"/>
                                    <w:rPr/>
                                  </w:pPr>
                                  <w:r>
                                    <w:rPr>
                                      <w:spacing w:val="-1"/>
                                    </w:rPr>
                                    <w:t>Age 59</w:t>
                                  </w:r>
                                  <w:r>
                                    <w:rPr/>
                                    <w:t xml:space="preserve"> </w:t>
                                  </w:r>
                                </w:p>
                                <w:p>
                                  <w:pPr>
                                    <w:pStyle w:val="TableContents"/>
                                    <w:bidi w:val="0"/>
                                    <w:spacing w:lineRule="atLeast" w:line="215" w:before="156" w:after="283"/>
                                    <w:jc w:val="left"/>
                                    <w:rPr/>
                                  </w:pPr>
                                  <w:r>
                                    <w:rPr>
                                      <w:spacing w:val="-1"/>
                                    </w:rPr>
                                    <w:t xml:space="preserve">Independent director since </w:t>
                                    <w:br/>
                                    <w:t>May 2023</w:t>
                                  </w:r>
                                  <w:r>
                                    <w:rPr/>
                                    <w:t xml:space="preserve"> </w:t>
                                  </w:r>
                                </w:p>
                                <w:p>
                                  <w:pPr>
                                    <w:pStyle w:val="TableContents"/>
                                    <w:bidi w:val="0"/>
                                    <w:spacing w:lineRule="atLeast" w:line="180" w:before="156" w:after="283"/>
                                    <w:jc w:val="left"/>
                                    <w:rPr/>
                                  </w:pPr>
                                  <w:r>
                                    <w:rPr>
                                      <w:spacing w:val="-1"/>
                                    </w:rPr>
                                    <w:t>Committees</w:t>
                                  </w:r>
                                  <w:r>
                                    <w:rPr/>
                                    <w:t xml:space="preserve"> </w:t>
                                  </w:r>
                                </w:p>
                                <w:p>
                                  <w:pPr>
                                    <w:pStyle w:val="TableContents"/>
                                    <w:bidi w:val="0"/>
                                    <w:spacing w:lineRule="atLeast" w:line="180" w:before="76" w:after="0"/>
                                    <w:ind w:left="460" w:right="0" w:hanging="0"/>
                                    <w:jc w:val="left"/>
                                    <w:rPr/>
                                  </w:pPr>
                                  <w:r>
                                    <w:rPr>
                                      <w:spacing w:val="-1"/>
                                    </w:rPr>
                                    <w:t>Audit</w:t>
                                  </w:r>
                                  <w:r>
                                    <w:rPr/>
                                    <w:t xml:space="preserve"> </w:t>
                                  </w:r>
                                </w:p>
                                <w:p>
                                  <w:pPr>
                                    <w:pStyle w:val="TableContents"/>
                                    <w:bidi w:val="0"/>
                                    <w:spacing w:before="0" w:after="0"/>
                                    <w:ind w:left="0" w:right="0" w:hanging="0"/>
                                    <w:jc w:val="left"/>
                                    <w:rPr/>
                                  </w:pPr>
                                  <w:r>
                                    <w:rPr/>
                                    <w:t>​</w:t>
                                  </w:r>
                                </w:p>
                                <w:p>
                                  <w:pPr>
                                    <w:pStyle w:val="TableContents"/>
                                    <w:bidi w:val="0"/>
                                    <w:spacing w:lineRule="atLeast" w:line="180" w:before="76" w:after="0"/>
                                    <w:ind w:left="460" w:right="0" w:hanging="0"/>
                                    <w:jc w:val="left"/>
                                    <w:rPr/>
                                  </w:pPr>
                                  <w:r>
                                    <w:rPr>
                                      <w:spacing w:val="-1"/>
                                    </w:rPr>
                                    <w:t>Technology (Chair)</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4" w:after="283"/>
                              <w:jc w:val="left"/>
                              <w:rPr>
                                <w:b/>
                              </w:rPr>
                            </w:pPr>
                            <w:r>
                              <w:rPr>
                                <w:b/>
                                <w:spacing w:val="0"/>
                              </w:rPr>
                              <w:t>Background</w:t>
                            </w:r>
                            <w:r>
                              <w:rPr>
                                <w:b/>
                                <w:spacing w:val="4"/>
                              </w:rPr>
                              <w:t xml:space="preserve"> </w:t>
                            </w:r>
                          </w:p>
                          <w:p>
                            <w:pPr>
                              <w:pStyle w:val="TextBody"/>
                              <w:bidi w:val="0"/>
                              <w:spacing w:lineRule="atLeast" w:line="230" w:before="80" w:after="283"/>
                              <w:jc w:val="both"/>
                              <w:rPr/>
                            </w:pPr>
                            <w:r>
                              <w:rPr>
                                <w:b/>
                                <w:spacing w:val="0"/>
                              </w:rPr>
                              <w:t>David Eun</w:t>
                            </w:r>
                            <w:r>
                              <w:rPr>
                                <w:spacing w:val="-2"/>
                              </w:rPr>
                              <w:t xml:space="preserve"> has served as a director since May 2023. He was Co-Founder of Alakai Group, an investment firm. Mr. Eun previously worked at Samsung Electronics from January 2012 to December 2020. At Samsung, Mr. Eun served as President and Chief Innovation Officer for Samsung Electronics, a role in which he identified new industry and consumer trends, developed long-term strategies for driving future growth opportunities, and negotiated alliances with top technology partners. Mr. Eun also served as President of Samsung NEXT, an innovation group he founded providing venture capital, partnership formation, product development, M&amp;A advisory, and operational support to startups globally. Prior to joining Samsung, Mr. Eun served as President of AOL Media, and Global Head of Content Partnerships and Business Development at Google and YouTube, following executive roles in media and venture capital. Mr. Eun has served as a director of Versant Media Group, Inc. since January 2026 and is a member of its Nominating and Corporate Governance Committee. Mr. Eun is a graduate of Harvard College and Harvard Law School. </w:t>
                            </w:r>
                          </w:p>
                          <w:p>
                            <w:pPr>
                              <w:pStyle w:val="TextBody"/>
                              <w:bidi w:val="0"/>
                              <w:spacing w:lineRule="atLeast" w:line="240" w:before="240" w:after="283"/>
                              <w:jc w:val="left"/>
                              <w:rPr>
                                <w:b/>
                              </w:rPr>
                            </w:pPr>
                            <w:r>
                              <w:rPr>
                                <w:b/>
                                <w:spacing w:val="0"/>
                              </w:rPr>
                              <w:t>Qualifications</w:t>
                            </w:r>
                            <w:r>
                              <w:rPr>
                                <w:b/>
                                <w:spacing w:val="4"/>
                              </w:rPr>
                              <w:t xml:space="preserve"> </w:t>
                            </w:r>
                          </w:p>
                          <w:p>
                            <w:pPr>
                              <w:pStyle w:val="TextBody"/>
                              <w:bidi w:val="0"/>
                              <w:spacing w:lineRule="atLeast" w:line="230" w:before="80" w:after="283"/>
                              <w:jc w:val="both"/>
                              <w:rPr/>
                            </w:pPr>
                            <w:r>
                              <w:rPr>
                                <w:spacing w:val="-2"/>
                              </w:rPr>
                              <w:t>We believe Mr. Eun’s experience in the media and technology industries and his familiarity with corporate innovation and operations will provide the Board with valuable insights into key matters.</w:t>
                            </w:r>
                            <w:r>
                              <w:rPr>
                                <w:spacing w:val="4"/>
                              </w:rPr>
                              <w:t xml:space="preserve"> </w:t>
                            </w:r>
                          </w:p>
                          <w:tbl>
                            <w:tblPr>
                              <w:tblW w:w="4834" w:type="dxa"/>
                              <w:jc w:val="left"/>
                              <w:tblInd w:w="0" w:type="dxa"/>
                              <w:tblLayout w:type="fixed"/>
                              <w:tblCellMar>
                                <w:top w:w="0" w:type="dxa"/>
                                <w:left w:w="0" w:type="dxa"/>
                                <w:bottom w:w="0" w:type="dxa"/>
                                <w:right w:w="0" w:type="dxa"/>
                              </w:tblCellMar>
                            </w:tblPr>
                            <w:tblGrid>
                              <w:gridCol w:w="124"/>
                              <w:gridCol w:w="1751"/>
                              <w:gridCol w:w="109"/>
                              <w:gridCol w:w="109"/>
                              <w:gridCol w:w="2587"/>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34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81" descr=""/>
                                                <pic:cNvPicPr>
                                                  <a:picLocks noChangeAspect="1" noChangeArrowheads="1"/>
                                                </pic:cNvPicPr>
                                              </pic:nvPicPr>
                                              <pic:blipFill>
                                                <a:blip r:embed="rId85"/>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587" w:type="dxa"/>
                                  <w:tcBorders/>
                                  <w:shd w:fill="E5E5E5" w:val="clear"/>
                                  <w:vAlign w:val="center"/>
                                </w:tcPr>
                                <w:p>
                                  <w:pPr>
                                    <w:pStyle w:val="TableContents"/>
                                    <w:bidi w:val="0"/>
                                    <w:spacing w:lineRule="atLeast" w:line="216" w:before="0" w:after="0"/>
                                    <w:jc w:val="left"/>
                                    <w:rPr>
                                      <w:b/>
                                    </w:rPr>
                                  </w:pPr>
                                  <w:r>
                                    <w:rPr>
                                      <w:b/>
                                      <w:spacing w:val="-2"/>
                                    </w:rPr>
                                    <w:t>MARC GRANDISSON</w:t>
                                  </w:r>
                                  <w:r>
                                    <w:rPr>
                                      <w:b/>
                                    </w:rPr>
                                    <w:t xml:space="preserve"> </w:t>
                                  </w:r>
                                </w:p>
                                <w:p>
                                  <w:pPr>
                                    <w:pStyle w:val="TableContents"/>
                                    <w:bidi w:val="0"/>
                                    <w:spacing w:lineRule="atLeast" w:line="180" w:before="156" w:after="283"/>
                                    <w:jc w:val="left"/>
                                    <w:rPr/>
                                  </w:pPr>
                                  <w:r>
                                    <w:rPr>
                                      <w:spacing w:val="-1"/>
                                    </w:rPr>
                                    <w:t>Age 59</w:t>
                                  </w:r>
                                  <w:r>
                                    <w:rPr/>
                                    <w:t xml:space="preserve"> </w:t>
                                  </w:r>
                                </w:p>
                                <w:p>
                                  <w:pPr>
                                    <w:pStyle w:val="TableContents"/>
                                    <w:bidi w:val="0"/>
                                    <w:spacing w:lineRule="atLeast" w:line="216" w:before="156" w:after="283"/>
                                    <w:jc w:val="left"/>
                                    <w:rPr/>
                                  </w:pPr>
                                  <w:r>
                                    <w:rPr>
                                      <w:spacing w:val="-1"/>
                                    </w:rPr>
                                    <w:t xml:space="preserve">Director since </w:t>
                                    <w:br/>
                                    <w:t>May 2026</w:t>
                                  </w:r>
                                  <w:r>
                                    <w:rPr/>
                                    <w:t xml:space="preserve"> </w:t>
                                  </w:r>
                                </w:p>
                                <w:p>
                                  <w:pPr>
                                    <w:pStyle w:val="TableContents"/>
                                    <w:bidi w:val="0"/>
                                    <w:spacing w:lineRule="atLeast" w:line="180" w:before="156" w:after="283"/>
                                    <w:jc w:val="left"/>
                                    <w:rPr/>
                                  </w:pPr>
                                  <w:r>
                                    <w:rPr>
                                      <w:spacing w:val="-1"/>
                                    </w:rPr>
                                    <w:t>Committees</w:t>
                                  </w:r>
                                  <w:r>
                                    <w:rPr/>
                                    <w:t xml:space="preserve"> </w:t>
                                  </w:r>
                                </w:p>
                                <w:p>
                                  <w:pPr>
                                    <w:pStyle w:val="TableContents"/>
                                    <w:bidi w:val="0"/>
                                    <w:spacing w:lineRule="atLeast" w:line="180" w:before="76" w:after="0"/>
                                    <w:ind w:left="460" w:right="0" w:hanging="0"/>
                                    <w:jc w:val="left"/>
                                    <w:rPr/>
                                  </w:pPr>
                                  <w:r>
                                    <w:rPr>
                                      <w:spacing w:val="-1"/>
                                    </w:rPr>
                                    <w:t>Insurance (Chair)</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6" w:after="283"/>
                              <w:jc w:val="left"/>
                              <w:rPr>
                                <w:b/>
                              </w:rPr>
                            </w:pPr>
                            <w:r>
                              <w:rPr>
                                <w:b/>
                                <w:spacing w:val="0"/>
                              </w:rPr>
                              <w:t>Background</w:t>
                            </w:r>
                            <w:r>
                              <w:rPr>
                                <w:b/>
                                <w:spacing w:val="4"/>
                              </w:rPr>
                              <w:t xml:space="preserve"> </w:t>
                            </w:r>
                          </w:p>
                          <w:p>
                            <w:pPr>
                              <w:pStyle w:val="TextBody"/>
                              <w:bidi w:val="0"/>
                              <w:spacing w:lineRule="atLeast" w:line="230" w:before="80" w:after="283"/>
                              <w:jc w:val="both"/>
                              <w:rPr/>
                            </w:pPr>
                            <w:r>
                              <w:rPr>
                                <w:b/>
                                <w:spacing w:val="0"/>
                              </w:rPr>
                              <w:t>Marc Grandisson</w:t>
                            </w:r>
                            <w:r>
                              <w:rPr>
                                <w:spacing w:val="-2"/>
                              </w:rPr>
                              <w:t xml:space="preserve"> has served as a director since May 2026 and has been Executive Chairman of Vantage since June 2026. Mr. Grandisson served as Chief Executive Officer of Arch Capital Group Ltd. (NASDAQ: ACGL), a Bermuda-based global provider </w:t>
                            </w:r>
                          </w:p>
                        </w:txbxContent>
                      </wps:txbx>
                      <wps:bodyPr anchor="t" lIns="0" tIns="0" rIns="0" bIns="0">
                        <a:noAutofit/>
                      </wps:bodyPr>
                    </wps:wsp>
                  </a:graphicData>
                </a:graphic>
              </wp:anchor>
            </w:drawing>
          </mc:Choice>
          <mc:Fallback>
            <w:pict>
              <v:rect style="position:absolute;rotation:-0;width:240.6pt;height:785.2pt;mso-wrap-distance-left:45.05pt;mso-wrap-distance-right:0pt;mso-wrap-distance-top:0pt;mso-wrap-distance-bottom:0pt;margin-top:0pt;mso-position-vertical:top;mso-position-vertical-relative:text;margin-left:45.05pt;mso-position-horizontal:left;mso-position-horizontal-relative:text">
                <v:textbox>
                  <w:txbxContent>
                    <w:tbl>
                      <w:tblPr>
                        <w:tblW w:w="4897" w:type="dxa"/>
                        <w:jc w:val="left"/>
                        <w:tblInd w:w="0" w:type="dxa"/>
                        <w:tblLayout w:type="fixed"/>
                        <w:tblCellMar>
                          <w:top w:w="0" w:type="dxa"/>
                          <w:left w:w="0" w:type="dxa"/>
                          <w:bottom w:w="0" w:type="dxa"/>
                          <w:right w:w="0" w:type="dxa"/>
                        </w:tblCellMar>
                      </w:tblPr>
                      <w:tblGrid>
                        <w:gridCol w:w="124"/>
                        <w:gridCol w:w="1766"/>
                        <w:gridCol w:w="109"/>
                        <w:gridCol w:w="109"/>
                        <w:gridCol w:w="2635"/>
                        <w:gridCol w:w="154"/>
                      </w:tblGrid>
                      <w:tr>
                        <w:trPr/>
                        <w:tc>
                          <w:tcPr>
                            <w:tcW w:w="124" w:type="dxa"/>
                            <w:tcBorders/>
                            <w:vAlign w:val="center"/>
                          </w:tcPr>
                          <w:p>
                            <w:pPr>
                              <w:pStyle w:val="TableContents"/>
                              <w:bidi w:val="0"/>
                              <w:spacing w:before="0" w:after="283"/>
                              <w:jc w:val="left"/>
                              <w:rPr/>
                            </w:pPr>
                            <w:r>
                              <w:rPr/>
                              <w:t>​</w:t>
                            </w:r>
                          </w:p>
                        </w:tc>
                        <w:tc>
                          <w:tcPr>
                            <w:tcW w:w="1766" w:type="dxa"/>
                            <w:tcBorders/>
                            <w:vAlign w:val="center"/>
                          </w:tcPr>
                          <w:p>
                            <w:pPr>
                              <w:pStyle w:val="TableContents"/>
                              <w:bidi w:val="0"/>
                              <w:spacing w:before="0" w:after="0"/>
                              <w:jc w:val="left"/>
                              <w:rPr/>
                            </w:pPr>
                            <w:r>
                              <w:rPr/>
                              <w:drawing>
                                <wp:inline distT="0" distB="0" distL="0" distR="0">
                                  <wp:extent cx="1028700" cy="1028700"/>
                                  <wp:effectExtent l="0" t="0" r="0" b="0"/>
                                  <wp:docPr id="34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80" descr=""/>
                                          <pic:cNvPicPr>
                                            <a:picLocks noChangeAspect="1" noChangeArrowheads="1"/>
                                          </pic:cNvPicPr>
                                        </pic:nvPicPr>
                                        <pic:blipFill>
                                          <a:blip r:embed="rId86"/>
                                          <a:stretch>
                                            <a:fillRect/>
                                          </a:stretch>
                                        </pic:blipFill>
                                        <pic:spPr bwMode="auto">
                                          <a:xfrm>
                                            <a:off x="0" y="0"/>
                                            <a:ext cx="1028700" cy="10287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635" w:type="dxa"/>
                            <w:tcBorders/>
                            <w:shd w:fill="E5E5E5" w:val="clear"/>
                            <w:vAlign w:val="center"/>
                          </w:tcPr>
                          <w:p>
                            <w:pPr>
                              <w:pStyle w:val="TableContents"/>
                              <w:bidi w:val="0"/>
                              <w:spacing w:lineRule="atLeast" w:line="216" w:before="0" w:after="0"/>
                              <w:jc w:val="left"/>
                              <w:rPr>
                                <w:b/>
                              </w:rPr>
                            </w:pPr>
                            <w:r>
                              <w:rPr>
                                <w:b/>
                                <w:spacing w:val="-2"/>
                              </w:rPr>
                              <w:t>DAVID EUN</w:t>
                            </w:r>
                            <w:r>
                              <w:rPr>
                                <w:b/>
                              </w:rPr>
                              <w:t xml:space="preserve"> </w:t>
                            </w:r>
                          </w:p>
                          <w:p>
                            <w:pPr>
                              <w:pStyle w:val="TableContents"/>
                              <w:bidi w:val="0"/>
                              <w:spacing w:lineRule="atLeast" w:line="180" w:before="156" w:after="283"/>
                              <w:jc w:val="left"/>
                              <w:rPr/>
                            </w:pPr>
                            <w:r>
                              <w:rPr>
                                <w:spacing w:val="-1"/>
                              </w:rPr>
                              <w:t>Age 59</w:t>
                            </w:r>
                            <w:r>
                              <w:rPr/>
                              <w:t xml:space="preserve"> </w:t>
                            </w:r>
                          </w:p>
                          <w:p>
                            <w:pPr>
                              <w:pStyle w:val="TableContents"/>
                              <w:bidi w:val="0"/>
                              <w:spacing w:lineRule="atLeast" w:line="215" w:before="156" w:after="283"/>
                              <w:jc w:val="left"/>
                              <w:rPr/>
                            </w:pPr>
                            <w:r>
                              <w:rPr>
                                <w:spacing w:val="-1"/>
                              </w:rPr>
                              <w:t xml:space="preserve">Independent director since </w:t>
                              <w:br/>
                              <w:t>May 2023</w:t>
                            </w:r>
                            <w:r>
                              <w:rPr/>
                              <w:t xml:space="preserve"> </w:t>
                            </w:r>
                          </w:p>
                          <w:p>
                            <w:pPr>
                              <w:pStyle w:val="TableContents"/>
                              <w:bidi w:val="0"/>
                              <w:spacing w:lineRule="atLeast" w:line="180" w:before="156" w:after="283"/>
                              <w:jc w:val="left"/>
                              <w:rPr/>
                            </w:pPr>
                            <w:r>
                              <w:rPr>
                                <w:spacing w:val="-1"/>
                              </w:rPr>
                              <w:t>Committees</w:t>
                            </w:r>
                            <w:r>
                              <w:rPr/>
                              <w:t xml:space="preserve"> </w:t>
                            </w:r>
                          </w:p>
                          <w:p>
                            <w:pPr>
                              <w:pStyle w:val="TableContents"/>
                              <w:bidi w:val="0"/>
                              <w:spacing w:lineRule="atLeast" w:line="180" w:before="76" w:after="0"/>
                              <w:ind w:left="460" w:right="0" w:hanging="0"/>
                              <w:jc w:val="left"/>
                              <w:rPr/>
                            </w:pPr>
                            <w:r>
                              <w:rPr>
                                <w:spacing w:val="-1"/>
                              </w:rPr>
                              <w:t>Audit</w:t>
                            </w:r>
                            <w:r>
                              <w:rPr/>
                              <w:t xml:space="preserve"> </w:t>
                            </w:r>
                          </w:p>
                          <w:p>
                            <w:pPr>
                              <w:pStyle w:val="TableContents"/>
                              <w:bidi w:val="0"/>
                              <w:spacing w:before="0" w:after="0"/>
                              <w:ind w:left="0" w:right="0" w:hanging="0"/>
                              <w:jc w:val="left"/>
                              <w:rPr/>
                            </w:pPr>
                            <w:r>
                              <w:rPr/>
                              <w:t>​</w:t>
                            </w:r>
                          </w:p>
                          <w:p>
                            <w:pPr>
                              <w:pStyle w:val="TableContents"/>
                              <w:bidi w:val="0"/>
                              <w:spacing w:lineRule="atLeast" w:line="180" w:before="76" w:after="0"/>
                              <w:ind w:left="460" w:right="0" w:hanging="0"/>
                              <w:jc w:val="left"/>
                              <w:rPr/>
                            </w:pPr>
                            <w:r>
                              <w:rPr>
                                <w:spacing w:val="-1"/>
                              </w:rPr>
                              <w:t>Technology (Chair)</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4" w:after="283"/>
                        <w:jc w:val="left"/>
                        <w:rPr>
                          <w:b/>
                        </w:rPr>
                      </w:pPr>
                      <w:r>
                        <w:rPr>
                          <w:b/>
                          <w:spacing w:val="0"/>
                        </w:rPr>
                        <w:t>Background</w:t>
                      </w:r>
                      <w:r>
                        <w:rPr>
                          <w:b/>
                          <w:spacing w:val="4"/>
                        </w:rPr>
                        <w:t xml:space="preserve"> </w:t>
                      </w:r>
                    </w:p>
                    <w:p>
                      <w:pPr>
                        <w:pStyle w:val="TextBody"/>
                        <w:bidi w:val="0"/>
                        <w:spacing w:lineRule="atLeast" w:line="230" w:before="80" w:after="283"/>
                        <w:jc w:val="both"/>
                        <w:rPr/>
                      </w:pPr>
                      <w:r>
                        <w:rPr>
                          <w:b/>
                          <w:spacing w:val="0"/>
                        </w:rPr>
                        <w:t>David Eun</w:t>
                      </w:r>
                      <w:r>
                        <w:rPr>
                          <w:spacing w:val="-2"/>
                        </w:rPr>
                        <w:t xml:space="preserve"> has served as a director since May 2023. He was Co-Founder of Alakai Group, an investment firm. Mr. Eun previously worked at Samsung Electronics from January 2012 to December 2020. At Samsung, Mr. Eun served as President and Chief Innovation Officer for Samsung Electronics, a role in which he identified new industry and consumer trends, developed long-term strategies for driving future growth opportunities, and negotiated alliances with top technology partners. Mr. Eun also served as President of Samsung NEXT, an innovation group he founded providing venture capital, partnership formation, product development, M&amp;A advisory, and operational support to startups globally. Prior to joining Samsung, Mr. Eun served as President of AOL Media, and Global Head of Content Partnerships and Business Development at Google and YouTube, following executive roles in media and venture capital. Mr. Eun has served as a director of Versant Media Group, Inc. since January 2026 and is a member of its Nominating and Corporate Governance Committee. Mr. Eun is a graduate of Harvard College and Harvard Law School. </w:t>
                      </w:r>
                    </w:p>
                    <w:p>
                      <w:pPr>
                        <w:pStyle w:val="TextBody"/>
                        <w:bidi w:val="0"/>
                        <w:spacing w:lineRule="atLeast" w:line="240" w:before="240" w:after="283"/>
                        <w:jc w:val="left"/>
                        <w:rPr>
                          <w:b/>
                        </w:rPr>
                      </w:pPr>
                      <w:r>
                        <w:rPr>
                          <w:b/>
                          <w:spacing w:val="0"/>
                        </w:rPr>
                        <w:t>Qualifications</w:t>
                      </w:r>
                      <w:r>
                        <w:rPr>
                          <w:b/>
                          <w:spacing w:val="4"/>
                        </w:rPr>
                        <w:t xml:space="preserve"> </w:t>
                      </w:r>
                    </w:p>
                    <w:p>
                      <w:pPr>
                        <w:pStyle w:val="TextBody"/>
                        <w:bidi w:val="0"/>
                        <w:spacing w:lineRule="atLeast" w:line="230" w:before="80" w:after="283"/>
                        <w:jc w:val="both"/>
                        <w:rPr/>
                      </w:pPr>
                      <w:r>
                        <w:rPr>
                          <w:spacing w:val="-2"/>
                        </w:rPr>
                        <w:t>We believe Mr. Eun’s experience in the media and technology industries and his familiarity with corporate innovation and operations will provide the Board with valuable insights into key matters.</w:t>
                      </w:r>
                      <w:r>
                        <w:rPr>
                          <w:spacing w:val="4"/>
                        </w:rPr>
                        <w:t xml:space="preserve"> </w:t>
                      </w:r>
                    </w:p>
                    <w:tbl>
                      <w:tblPr>
                        <w:tblW w:w="4834" w:type="dxa"/>
                        <w:jc w:val="left"/>
                        <w:tblInd w:w="0" w:type="dxa"/>
                        <w:tblLayout w:type="fixed"/>
                        <w:tblCellMar>
                          <w:top w:w="0" w:type="dxa"/>
                          <w:left w:w="0" w:type="dxa"/>
                          <w:bottom w:w="0" w:type="dxa"/>
                          <w:right w:w="0" w:type="dxa"/>
                        </w:tblCellMar>
                      </w:tblPr>
                      <w:tblGrid>
                        <w:gridCol w:w="124"/>
                        <w:gridCol w:w="1751"/>
                        <w:gridCol w:w="109"/>
                        <w:gridCol w:w="109"/>
                        <w:gridCol w:w="2587"/>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34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81" descr=""/>
                                          <pic:cNvPicPr>
                                            <a:picLocks noChangeAspect="1" noChangeArrowheads="1"/>
                                          </pic:cNvPicPr>
                                        </pic:nvPicPr>
                                        <pic:blipFill>
                                          <a:blip r:embed="rId87"/>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587" w:type="dxa"/>
                            <w:tcBorders/>
                            <w:shd w:fill="E5E5E5" w:val="clear"/>
                            <w:vAlign w:val="center"/>
                          </w:tcPr>
                          <w:p>
                            <w:pPr>
                              <w:pStyle w:val="TableContents"/>
                              <w:bidi w:val="0"/>
                              <w:spacing w:lineRule="atLeast" w:line="216" w:before="0" w:after="0"/>
                              <w:jc w:val="left"/>
                              <w:rPr>
                                <w:b/>
                              </w:rPr>
                            </w:pPr>
                            <w:r>
                              <w:rPr>
                                <w:b/>
                                <w:spacing w:val="-2"/>
                              </w:rPr>
                              <w:t>MARC GRANDISSON</w:t>
                            </w:r>
                            <w:r>
                              <w:rPr>
                                <w:b/>
                              </w:rPr>
                              <w:t xml:space="preserve"> </w:t>
                            </w:r>
                          </w:p>
                          <w:p>
                            <w:pPr>
                              <w:pStyle w:val="TableContents"/>
                              <w:bidi w:val="0"/>
                              <w:spacing w:lineRule="atLeast" w:line="180" w:before="156" w:after="283"/>
                              <w:jc w:val="left"/>
                              <w:rPr/>
                            </w:pPr>
                            <w:r>
                              <w:rPr>
                                <w:spacing w:val="-1"/>
                              </w:rPr>
                              <w:t>Age 59</w:t>
                            </w:r>
                            <w:r>
                              <w:rPr/>
                              <w:t xml:space="preserve"> </w:t>
                            </w:r>
                          </w:p>
                          <w:p>
                            <w:pPr>
                              <w:pStyle w:val="TableContents"/>
                              <w:bidi w:val="0"/>
                              <w:spacing w:lineRule="atLeast" w:line="216" w:before="156" w:after="283"/>
                              <w:jc w:val="left"/>
                              <w:rPr/>
                            </w:pPr>
                            <w:r>
                              <w:rPr>
                                <w:spacing w:val="-1"/>
                              </w:rPr>
                              <w:t xml:space="preserve">Director since </w:t>
                              <w:br/>
                              <w:t>May 2026</w:t>
                            </w:r>
                            <w:r>
                              <w:rPr/>
                              <w:t xml:space="preserve"> </w:t>
                            </w:r>
                          </w:p>
                          <w:p>
                            <w:pPr>
                              <w:pStyle w:val="TableContents"/>
                              <w:bidi w:val="0"/>
                              <w:spacing w:lineRule="atLeast" w:line="180" w:before="156" w:after="283"/>
                              <w:jc w:val="left"/>
                              <w:rPr/>
                            </w:pPr>
                            <w:r>
                              <w:rPr>
                                <w:spacing w:val="-1"/>
                              </w:rPr>
                              <w:t>Committees</w:t>
                            </w:r>
                            <w:r>
                              <w:rPr/>
                              <w:t xml:space="preserve"> </w:t>
                            </w:r>
                          </w:p>
                          <w:p>
                            <w:pPr>
                              <w:pStyle w:val="TableContents"/>
                              <w:bidi w:val="0"/>
                              <w:spacing w:lineRule="atLeast" w:line="180" w:before="76" w:after="0"/>
                              <w:ind w:left="460" w:right="0" w:hanging="0"/>
                              <w:jc w:val="left"/>
                              <w:rPr/>
                            </w:pPr>
                            <w:r>
                              <w:rPr>
                                <w:spacing w:val="-1"/>
                              </w:rPr>
                              <w:t>Insurance (Chair)</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6" w:after="283"/>
                        <w:jc w:val="left"/>
                        <w:rPr>
                          <w:b/>
                        </w:rPr>
                      </w:pPr>
                      <w:r>
                        <w:rPr>
                          <w:b/>
                          <w:spacing w:val="0"/>
                        </w:rPr>
                        <w:t>Background</w:t>
                      </w:r>
                      <w:r>
                        <w:rPr>
                          <w:b/>
                          <w:spacing w:val="4"/>
                        </w:rPr>
                        <w:t xml:space="preserve"> </w:t>
                      </w:r>
                    </w:p>
                    <w:p>
                      <w:pPr>
                        <w:pStyle w:val="TextBody"/>
                        <w:bidi w:val="0"/>
                        <w:spacing w:lineRule="atLeast" w:line="230" w:before="80" w:after="283"/>
                        <w:jc w:val="both"/>
                        <w:rPr/>
                      </w:pPr>
                      <w:r>
                        <w:rPr>
                          <w:b/>
                          <w:spacing w:val="0"/>
                        </w:rPr>
                        <w:t>Marc Grandisson</w:t>
                      </w:r>
                      <w:r>
                        <w:rPr>
                          <w:spacing w:val="-2"/>
                        </w:rPr>
                        <w:t xml:space="preserve"> has served as a director since May 2026 and has been Executive Chairman of Vantage since June 2026. Mr. Grandisson served as Chief Executive Officer of Arch Capital Group Ltd. (NASDAQ: ACGL), a Bermuda-based global provider </w:t>
                      </w:r>
                    </w:p>
                  </w:txbxContent>
                </v:textbox>
                <w10:wrap type="square" side="right"/>
              </v:rect>
            </w:pict>
          </mc:Fallback>
        </mc:AlternateContent>
      </w:r>
      <w:r>
        <mc:AlternateContent>
          <mc:Choice Requires="wps">
            <w:drawing>
              <wp:anchor behindDoc="0" distT="0" distB="0" distL="304800" distR="0" simplePos="0" locked="0" layoutInCell="1" allowOverlap="1" relativeHeight="48">
                <wp:simplePos x="0" y="0"/>
                <wp:positionH relativeFrom="column">
                  <wp:align>left</wp:align>
                </wp:positionH>
                <wp:positionV relativeFrom="line">
                  <wp:posOffset>635</wp:posOffset>
                </wp:positionV>
                <wp:extent cx="3055620" cy="9972040"/>
                <wp:effectExtent l="0" t="0" r="0" b="0"/>
                <wp:wrapSquare wrapText="right"/>
                <wp:docPr id="345" name="Frame262"/>
                <a:graphic xmlns:a="http://schemas.openxmlformats.org/drawingml/2006/main">
                  <a:graphicData uri="http://schemas.microsoft.com/office/word/2010/wordprocessingShape">
                    <wps:wsp>
                      <wps:cNvSpPr txBox="1"/>
                      <wps:spPr>
                        <a:xfrm>
                          <a:off x="0" y="0"/>
                          <a:ext cx="3055620" cy="9972040"/>
                        </a:xfrm>
                        <a:prstGeom prst="rect"/>
                        <a:solidFill>
                          <a:srgbClr val="FFFFFF"/>
                        </a:solidFill>
                      </wps:spPr>
                      <wps:txbx>
                        <w:txbxContent>
                          <w:p>
                            <w:pPr>
                              <w:pStyle w:val="TextBody"/>
                              <w:bidi w:val="0"/>
                              <w:spacing w:lineRule="atLeast" w:line="240" w:before="0" w:after="0"/>
                              <w:jc w:val="both"/>
                              <w:rPr/>
                            </w:pPr>
                            <w:r>
                              <w:rPr>
                                <w:spacing w:val="-2"/>
                              </w:rPr>
                              <w:t>of specialty insurance, reinsurance, and mortgage insurance, from 2018 until his retirement in 2024. One of Arch Capital’s original founders, Mr. Grandisson joined the company at its inception in 2001 and held a series of senior leadership roles before being appointed Chief Executive Officer. Under his leadership, Arch Capital grew into one of the most respected and profitable specialty insurance enterprises in the world, delivering consistent long-term value to shareholders across a range of market cycles. Prior to joining Arch Capital, Mr. Grandisson held senior roles at Berkshire Hathaway, F&amp;G Re, and Towers Watson. He is a Fellow of the Casualty Actuarial Society and a member of the American Academy of Actuaries, and served as Chairman of the Association of Bermuda Insurers and Reinsurers (ABIR) from 2021 to 2022. Mr. Grandisson earned a Bachelor of Science in Actuarial Science from Université Laval in 1990 and a Master of Business Administration from the Wharton School of the University of Pennsylvania in 2000. A lifelong hockey enthusiast born and raised in Quebec, he is a minority investor in the NHL’s Carolina Hurricanes.</w:t>
                            </w:r>
                            <w:r>
                              <w:rPr>
                                <w:spacing w:val="4"/>
                              </w:rPr>
                              <w:t xml:space="preserve"> </w:t>
                            </w:r>
                          </w:p>
                          <w:p>
                            <w:pPr>
                              <w:pStyle w:val="TextBody"/>
                              <w:bidi w:val="0"/>
                              <w:spacing w:lineRule="atLeast" w:line="240" w:before="240" w:after="283"/>
                              <w:jc w:val="left"/>
                              <w:rPr>
                                <w:b/>
                              </w:rPr>
                            </w:pPr>
                            <w:r>
                              <w:rPr>
                                <w:b/>
                                <w:spacing w:val="0"/>
                              </w:rPr>
                              <w:t>Qualifications</w:t>
                            </w:r>
                            <w:r>
                              <w:rPr>
                                <w:b/>
                                <w:spacing w:val="4"/>
                              </w:rPr>
                              <w:t xml:space="preserve"> </w:t>
                            </w:r>
                          </w:p>
                          <w:p>
                            <w:pPr>
                              <w:pStyle w:val="TextBody"/>
                              <w:bidi w:val="0"/>
                              <w:spacing w:lineRule="atLeast" w:line="240" w:before="80" w:after="283"/>
                              <w:jc w:val="both"/>
                              <w:rPr/>
                            </w:pPr>
                            <w:r>
                              <w:rPr>
                                <w:spacing w:val="-2"/>
                              </w:rPr>
                              <w:t>Mr. Grandisson’s extensive insurance, reinsurance, capital markets, and executive leadership experience provide him with valuable insights and perspectives that can assist the Company and the Board.</w:t>
                            </w:r>
                            <w:r>
                              <w:rPr>
                                <w:spacing w:val="4"/>
                              </w:rPr>
                              <w:t xml:space="preserve"> </w:t>
                            </w:r>
                          </w:p>
                          <w:tbl>
                            <w:tblPr>
                              <w:tblW w:w="5239" w:type="dxa"/>
                              <w:jc w:val="left"/>
                              <w:tblInd w:w="0" w:type="dxa"/>
                              <w:tblLayout w:type="fixed"/>
                              <w:tblCellMar>
                                <w:top w:w="0" w:type="dxa"/>
                                <w:left w:w="0" w:type="dxa"/>
                                <w:bottom w:w="0" w:type="dxa"/>
                                <w:right w:w="0" w:type="dxa"/>
                              </w:tblCellMar>
                            </w:tblPr>
                            <w:tblGrid>
                              <w:gridCol w:w="124"/>
                              <w:gridCol w:w="1751"/>
                              <w:gridCol w:w="109"/>
                              <w:gridCol w:w="109"/>
                              <w:gridCol w:w="2992"/>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34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82" descr=""/>
                                                <pic:cNvPicPr>
                                                  <a:picLocks noChangeAspect="1" noChangeArrowheads="1"/>
                                                </pic:cNvPicPr>
                                              </pic:nvPicPr>
                                              <pic:blipFill>
                                                <a:blip r:embed="rId88"/>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992" w:type="dxa"/>
                                  <w:tcBorders/>
                                  <w:shd w:fill="E5E5E5" w:val="clear"/>
                                  <w:vAlign w:val="center"/>
                                </w:tcPr>
                                <w:p>
                                  <w:pPr>
                                    <w:pStyle w:val="TableContents"/>
                                    <w:bidi w:val="0"/>
                                    <w:spacing w:lineRule="atLeast" w:line="216" w:before="0" w:after="0"/>
                                    <w:jc w:val="left"/>
                                    <w:rPr>
                                      <w:b/>
                                    </w:rPr>
                                  </w:pPr>
                                  <w:r>
                                    <w:rPr>
                                      <w:b/>
                                      <w:spacing w:val="-2"/>
                                    </w:rPr>
                                    <w:t>RYAN ISRAEL</w:t>
                                  </w:r>
                                  <w:r>
                                    <w:rPr>
                                      <w:b/>
                                    </w:rPr>
                                    <w:t xml:space="preserve"> </w:t>
                                  </w:r>
                                </w:p>
                                <w:p>
                                  <w:pPr>
                                    <w:pStyle w:val="TableContents"/>
                                    <w:bidi w:val="0"/>
                                    <w:spacing w:lineRule="atLeast" w:line="180" w:before="156" w:after="283"/>
                                    <w:jc w:val="left"/>
                                    <w:rPr/>
                                  </w:pPr>
                                  <w:r>
                                    <w:rPr>
                                      <w:spacing w:val="-1"/>
                                    </w:rPr>
                                    <w:t>Age 41</w:t>
                                  </w:r>
                                  <w:r>
                                    <w:rPr/>
                                    <w:t xml:space="preserve"> </w:t>
                                  </w:r>
                                </w:p>
                                <w:p>
                                  <w:pPr>
                                    <w:pStyle w:val="TableContents"/>
                                    <w:bidi w:val="0"/>
                                    <w:spacing w:lineRule="atLeast" w:line="216" w:before="156" w:after="283"/>
                                    <w:jc w:val="left"/>
                                    <w:rPr/>
                                  </w:pPr>
                                  <w:r>
                                    <w:rPr>
                                      <w:spacing w:val="-1"/>
                                    </w:rPr>
                                    <w:t xml:space="preserve">Director since </w:t>
                                    <w:br/>
                                    <w:t>May 2025</w:t>
                                  </w:r>
                                  <w:r>
                                    <w:rPr/>
                                    <w:t xml:space="preserve"> </w:t>
                                  </w:r>
                                </w:p>
                                <w:p>
                                  <w:pPr>
                                    <w:pStyle w:val="TableContents"/>
                                    <w:bidi w:val="0"/>
                                    <w:spacing w:lineRule="atLeast" w:line="180" w:before="156" w:after="283"/>
                                    <w:jc w:val="left"/>
                                    <w:rPr/>
                                  </w:pPr>
                                  <w:r>
                                    <w:rPr>
                                      <w:spacing w:val="-1"/>
                                    </w:rPr>
                                    <w:t>Committees</w:t>
                                  </w:r>
                                  <w:r>
                                    <w:rPr/>
                                    <w:t xml:space="preserve"> </w:t>
                                  </w:r>
                                </w:p>
                                <w:p>
                                  <w:pPr>
                                    <w:pStyle w:val="TableContents"/>
                                    <w:bidi w:val="0"/>
                                    <w:spacing w:lineRule="atLeast" w:line="180" w:before="76" w:after="0"/>
                                    <w:ind w:left="460" w:right="0" w:hanging="0"/>
                                    <w:jc w:val="left"/>
                                    <w:rPr/>
                                  </w:pPr>
                                  <w:r>
                                    <w:rPr>
                                      <w:spacing w:val="-1"/>
                                    </w:rPr>
                                    <w:t>Insurance</w:t>
                                  </w:r>
                                  <w:r>
                                    <w:rPr/>
                                    <w:t xml:space="preserve"> </w:t>
                                  </w:r>
                                </w:p>
                                <w:p>
                                  <w:pPr>
                                    <w:pStyle w:val="TableContents"/>
                                    <w:bidi w:val="0"/>
                                    <w:spacing w:before="0" w:after="0"/>
                                    <w:ind w:left="0" w:right="0" w:hanging="0"/>
                                    <w:jc w:val="left"/>
                                    <w:rPr/>
                                  </w:pPr>
                                  <w:r>
                                    <w:rPr/>
                                    <w:t>​</w:t>
                                  </w:r>
                                </w:p>
                                <w:p>
                                  <w:pPr>
                                    <w:pStyle w:val="TableContents"/>
                                    <w:bidi w:val="0"/>
                                    <w:spacing w:lineRule="atLeast" w:line="180" w:before="76" w:after="0"/>
                                    <w:ind w:left="460" w:right="0" w:hanging="0"/>
                                    <w:jc w:val="left"/>
                                    <w:rPr/>
                                  </w:pPr>
                                  <w:r>
                                    <w:rPr>
                                      <w:spacing w:val="-1"/>
                                    </w:rPr>
                                    <w:t>Compensation (observer)</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4" w:after="283"/>
                              <w:jc w:val="left"/>
                              <w:rPr>
                                <w:b/>
                              </w:rPr>
                            </w:pPr>
                            <w:r>
                              <w:rPr>
                                <w:b/>
                                <w:spacing w:val="0"/>
                              </w:rPr>
                              <w:t>Background</w:t>
                            </w:r>
                            <w:r>
                              <w:rPr>
                                <w:b/>
                                <w:spacing w:val="4"/>
                              </w:rPr>
                              <w:t xml:space="preserve"> </w:t>
                            </w:r>
                          </w:p>
                          <w:p>
                            <w:pPr>
                              <w:pStyle w:val="TextBody"/>
                              <w:bidi w:val="0"/>
                              <w:spacing w:lineRule="atLeast" w:line="240" w:before="80" w:after="283"/>
                              <w:jc w:val="both"/>
                              <w:rPr/>
                            </w:pPr>
                            <w:r>
                              <w:rPr>
                                <w:b/>
                                <w:spacing w:val="0"/>
                              </w:rPr>
                              <w:t>Ryan Israel</w:t>
                            </w:r>
                            <w:r>
                              <w:rPr>
                                <w:spacing w:val="-2"/>
                              </w:rPr>
                              <w:t xml:space="preserve"> has served as a member of our Board and as Chief Investment Officer since May 2025. Mr. Israel joined the Pershing Square investment team in 2009 and has served as the Chief Investment Officer of PSCM since August 2022. He has also served as a member of the board of directors of PS Inc. since June 2024. Mr. Israel was previously an analyst at The Goldman Sachs Group, Inc. in the Technology, Media and Telecom group. Mr. Israel served as a director of Element Solutions Inc. from October 2013 through January 2019. Mr. Israel received his Bachelor of Science from the Wharton School at the University of Pennsylvania, where he graduated summa cum laude and beta gamma sigma in 2007.</w:t>
                            </w:r>
                            <w:r>
                              <w:rPr>
                                <w:spacing w:val="4"/>
                              </w:rPr>
                              <w:t xml:space="preserve"> </w:t>
                            </w:r>
                          </w:p>
                        </w:txbxContent>
                      </wps:txbx>
                      <wps:bodyPr anchor="t" lIns="0" tIns="0" rIns="0" bIns="0">
                        <a:noAutofit/>
                      </wps:bodyPr>
                    </wps:wsp>
                  </a:graphicData>
                </a:graphic>
              </wp:anchor>
            </w:drawing>
          </mc:Choice>
          <mc:Fallback>
            <w:pict>
              <v:rect style="position:absolute;rotation:-0;width:240.6pt;height:785.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jc w:val="both"/>
                        <w:rPr/>
                      </w:pPr>
                      <w:r>
                        <w:rPr>
                          <w:spacing w:val="-2"/>
                        </w:rPr>
                        <w:t>of specialty insurance, reinsurance, and mortgage insurance, from 2018 until his retirement in 2024. One of Arch Capital’s original founders, Mr. Grandisson joined the company at its inception in 2001 and held a series of senior leadership roles before being appointed Chief Executive Officer. Under his leadership, Arch Capital grew into one of the most respected and profitable specialty insurance enterprises in the world, delivering consistent long-term value to shareholders across a range of market cycles. Prior to joining Arch Capital, Mr. Grandisson held senior roles at Berkshire Hathaway, F&amp;G Re, and Towers Watson. He is a Fellow of the Casualty Actuarial Society and a member of the American Academy of Actuaries, and served as Chairman of the Association of Bermuda Insurers and Reinsurers (ABIR) from 2021 to 2022. Mr. Grandisson earned a Bachelor of Science in Actuarial Science from Université Laval in 1990 and a Master of Business Administration from the Wharton School of the University of Pennsylvania in 2000. A lifelong hockey enthusiast born and raised in Quebec, he is a minority investor in the NHL’s Carolina Hurricanes.</w:t>
                      </w:r>
                      <w:r>
                        <w:rPr>
                          <w:spacing w:val="4"/>
                        </w:rPr>
                        <w:t xml:space="preserve"> </w:t>
                      </w:r>
                    </w:p>
                    <w:p>
                      <w:pPr>
                        <w:pStyle w:val="TextBody"/>
                        <w:bidi w:val="0"/>
                        <w:spacing w:lineRule="atLeast" w:line="240" w:before="240" w:after="283"/>
                        <w:jc w:val="left"/>
                        <w:rPr>
                          <w:b/>
                        </w:rPr>
                      </w:pPr>
                      <w:r>
                        <w:rPr>
                          <w:b/>
                          <w:spacing w:val="0"/>
                        </w:rPr>
                        <w:t>Qualifications</w:t>
                      </w:r>
                      <w:r>
                        <w:rPr>
                          <w:b/>
                          <w:spacing w:val="4"/>
                        </w:rPr>
                        <w:t xml:space="preserve"> </w:t>
                      </w:r>
                    </w:p>
                    <w:p>
                      <w:pPr>
                        <w:pStyle w:val="TextBody"/>
                        <w:bidi w:val="0"/>
                        <w:spacing w:lineRule="atLeast" w:line="240" w:before="80" w:after="283"/>
                        <w:jc w:val="both"/>
                        <w:rPr/>
                      </w:pPr>
                      <w:r>
                        <w:rPr>
                          <w:spacing w:val="-2"/>
                        </w:rPr>
                        <w:t>Mr. Grandisson’s extensive insurance, reinsurance, capital markets, and executive leadership experience provide him with valuable insights and perspectives that can assist the Company and the Board.</w:t>
                      </w:r>
                      <w:r>
                        <w:rPr>
                          <w:spacing w:val="4"/>
                        </w:rPr>
                        <w:t xml:space="preserve"> </w:t>
                      </w:r>
                    </w:p>
                    <w:tbl>
                      <w:tblPr>
                        <w:tblW w:w="5239" w:type="dxa"/>
                        <w:jc w:val="left"/>
                        <w:tblInd w:w="0" w:type="dxa"/>
                        <w:tblLayout w:type="fixed"/>
                        <w:tblCellMar>
                          <w:top w:w="0" w:type="dxa"/>
                          <w:left w:w="0" w:type="dxa"/>
                          <w:bottom w:w="0" w:type="dxa"/>
                          <w:right w:w="0" w:type="dxa"/>
                        </w:tblCellMar>
                      </w:tblPr>
                      <w:tblGrid>
                        <w:gridCol w:w="124"/>
                        <w:gridCol w:w="1751"/>
                        <w:gridCol w:w="109"/>
                        <w:gridCol w:w="109"/>
                        <w:gridCol w:w="2992"/>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347"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82" descr=""/>
                                          <pic:cNvPicPr>
                                            <a:picLocks noChangeAspect="1" noChangeArrowheads="1"/>
                                          </pic:cNvPicPr>
                                        </pic:nvPicPr>
                                        <pic:blipFill>
                                          <a:blip r:embed="rId89"/>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992" w:type="dxa"/>
                            <w:tcBorders/>
                            <w:shd w:fill="E5E5E5" w:val="clear"/>
                            <w:vAlign w:val="center"/>
                          </w:tcPr>
                          <w:p>
                            <w:pPr>
                              <w:pStyle w:val="TableContents"/>
                              <w:bidi w:val="0"/>
                              <w:spacing w:lineRule="atLeast" w:line="216" w:before="0" w:after="0"/>
                              <w:jc w:val="left"/>
                              <w:rPr>
                                <w:b/>
                              </w:rPr>
                            </w:pPr>
                            <w:r>
                              <w:rPr>
                                <w:b/>
                                <w:spacing w:val="-2"/>
                              </w:rPr>
                              <w:t>RYAN ISRAEL</w:t>
                            </w:r>
                            <w:r>
                              <w:rPr>
                                <w:b/>
                              </w:rPr>
                              <w:t xml:space="preserve"> </w:t>
                            </w:r>
                          </w:p>
                          <w:p>
                            <w:pPr>
                              <w:pStyle w:val="TableContents"/>
                              <w:bidi w:val="0"/>
                              <w:spacing w:lineRule="atLeast" w:line="180" w:before="156" w:after="283"/>
                              <w:jc w:val="left"/>
                              <w:rPr/>
                            </w:pPr>
                            <w:r>
                              <w:rPr>
                                <w:spacing w:val="-1"/>
                              </w:rPr>
                              <w:t>Age 41</w:t>
                            </w:r>
                            <w:r>
                              <w:rPr/>
                              <w:t xml:space="preserve"> </w:t>
                            </w:r>
                          </w:p>
                          <w:p>
                            <w:pPr>
                              <w:pStyle w:val="TableContents"/>
                              <w:bidi w:val="0"/>
                              <w:spacing w:lineRule="atLeast" w:line="216" w:before="156" w:after="283"/>
                              <w:jc w:val="left"/>
                              <w:rPr/>
                            </w:pPr>
                            <w:r>
                              <w:rPr>
                                <w:spacing w:val="-1"/>
                              </w:rPr>
                              <w:t xml:space="preserve">Director since </w:t>
                              <w:br/>
                              <w:t>May 2025</w:t>
                            </w:r>
                            <w:r>
                              <w:rPr/>
                              <w:t xml:space="preserve"> </w:t>
                            </w:r>
                          </w:p>
                          <w:p>
                            <w:pPr>
                              <w:pStyle w:val="TableContents"/>
                              <w:bidi w:val="0"/>
                              <w:spacing w:lineRule="atLeast" w:line="180" w:before="156" w:after="283"/>
                              <w:jc w:val="left"/>
                              <w:rPr/>
                            </w:pPr>
                            <w:r>
                              <w:rPr>
                                <w:spacing w:val="-1"/>
                              </w:rPr>
                              <w:t>Committees</w:t>
                            </w:r>
                            <w:r>
                              <w:rPr/>
                              <w:t xml:space="preserve"> </w:t>
                            </w:r>
                          </w:p>
                          <w:p>
                            <w:pPr>
                              <w:pStyle w:val="TableContents"/>
                              <w:bidi w:val="0"/>
                              <w:spacing w:lineRule="atLeast" w:line="180" w:before="76" w:after="0"/>
                              <w:ind w:left="460" w:right="0" w:hanging="0"/>
                              <w:jc w:val="left"/>
                              <w:rPr/>
                            </w:pPr>
                            <w:r>
                              <w:rPr>
                                <w:spacing w:val="-1"/>
                              </w:rPr>
                              <w:t>Insurance</w:t>
                            </w:r>
                            <w:r>
                              <w:rPr/>
                              <w:t xml:space="preserve"> </w:t>
                            </w:r>
                          </w:p>
                          <w:p>
                            <w:pPr>
                              <w:pStyle w:val="TableContents"/>
                              <w:bidi w:val="0"/>
                              <w:spacing w:before="0" w:after="0"/>
                              <w:ind w:left="0" w:right="0" w:hanging="0"/>
                              <w:jc w:val="left"/>
                              <w:rPr/>
                            </w:pPr>
                            <w:r>
                              <w:rPr/>
                              <w:t>​</w:t>
                            </w:r>
                          </w:p>
                          <w:p>
                            <w:pPr>
                              <w:pStyle w:val="TableContents"/>
                              <w:bidi w:val="0"/>
                              <w:spacing w:lineRule="atLeast" w:line="180" w:before="76" w:after="0"/>
                              <w:ind w:left="460" w:right="0" w:hanging="0"/>
                              <w:jc w:val="left"/>
                              <w:rPr/>
                            </w:pPr>
                            <w:r>
                              <w:rPr>
                                <w:spacing w:val="-1"/>
                              </w:rPr>
                              <w:t>Compensation (observer)</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4" w:after="283"/>
                        <w:jc w:val="left"/>
                        <w:rPr>
                          <w:b/>
                        </w:rPr>
                      </w:pPr>
                      <w:r>
                        <w:rPr>
                          <w:b/>
                          <w:spacing w:val="0"/>
                        </w:rPr>
                        <w:t>Background</w:t>
                      </w:r>
                      <w:r>
                        <w:rPr>
                          <w:b/>
                          <w:spacing w:val="4"/>
                        </w:rPr>
                        <w:t xml:space="preserve"> </w:t>
                      </w:r>
                    </w:p>
                    <w:p>
                      <w:pPr>
                        <w:pStyle w:val="TextBody"/>
                        <w:bidi w:val="0"/>
                        <w:spacing w:lineRule="atLeast" w:line="240" w:before="80" w:after="283"/>
                        <w:jc w:val="both"/>
                        <w:rPr/>
                      </w:pPr>
                      <w:r>
                        <w:rPr>
                          <w:b/>
                          <w:spacing w:val="0"/>
                        </w:rPr>
                        <w:t>Ryan Israel</w:t>
                      </w:r>
                      <w:r>
                        <w:rPr>
                          <w:spacing w:val="-2"/>
                        </w:rPr>
                        <w:t xml:space="preserve"> has served as a member of our Board and as Chief Investment Officer since May 2025. Mr. Israel joined the Pershing Square investment team in 2009 and has served as the Chief Investment Officer of PSCM since August 2022. He has also served as a member of the board of directors of PS Inc. since June 2024. Mr. Israel was previously an analyst at The Goldman Sachs Group, Inc. in the Technology, Media and Telecom group. Mr. Israel served as a director of Element Solutions Inc. from October 2013 through January 2019. Mr. Israel received his Bachelor of Science from the Wharton School at the University of Pennsylvania, where he graduated summa cum laude and beta gamma sigma in 2007.</w:t>
                      </w:r>
                      <w:r>
                        <w:rPr>
                          <w:spacing w:val="4"/>
                        </w:rPr>
                        <w:t xml:space="preserve"> </w:t>
                      </w:r>
                    </w:p>
                  </w:txbxContent>
                </v:textbox>
                <w10:wrap type="square" side="right"/>
              </v:rect>
            </w:pict>
          </mc:Fallback>
        </mc:AlternateContent>
      </w:r>
      <w:r>
        <mc:AlternateContent>
          <mc:Choice Requires="wps">
            <w:drawing>
              <wp:anchor behindDoc="0" distT="48260" distB="0" distL="63500" distR="0" simplePos="0" locked="0" layoutInCell="1" allowOverlap="1" relativeHeight="389">
                <wp:simplePos x="0" y="0"/>
                <wp:positionH relativeFrom="column">
                  <wp:align>left</wp:align>
                </wp:positionH>
                <wp:positionV relativeFrom="line">
                  <wp:align>top</wp:align>
                </wp:positionV>
                <wp:extent cx="228600" cy="350520"/>
                <wp:effectExtent l="0" t="0" r="0" b="0"/>
                <wp:wrapSquare wrapText="right"/>
                <wp:docPr id="348" name="Frame25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5pt;mso-wrap-distance-right:0pt;mso-wrap-distance-top:3.8pt;mso-wrap-distance-bottom:0pt;margin-top:3.8pt;mso-position-vertical:top;mso-position-vertical-relative:text;margin-left:5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48260" distB="0" distL="63500" distR="0" simplePos="0" locked="0" layoutInCell="1" allowOverlap="1" relativeHeight="390">
                <wp:simplePos x="0" y="0"/>
                <wp:positionH relativeFrom="column">
                  <wp:align>left</wp:align>
                </wp:positionH>
                <wp:positionV relativeFrom="line">
                  <wp:align>top</wp:align>
                </wp:positionV>
                <wp:extent cx="228600" cy="350520"/>
                <wp:effectExtent l="0" t="0" r="0" b="0"/>
                <wp:wrapSquare wrapText="right"/>
                <wp:docPr id="349" name="Frame26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5pt;mso-wrap-distance-right:0pt;mso-wrap-distance-top:3.8pt;mso-wrap-distance-bottom:0pt;margin-top:3.8pt;mso-position-vertical:top;mso-position-vertical-relative:text;margin-left:5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48260" distB="0" distL="63500" distR="0" simplePos="0" locked="0" layoutInCell="1" allowOverlap="1" relativeHeight="391">
                <wp:simplePos x="0" y="0"/>
                <wp:positionH relativeFrom="column">
                  <wp:align>left</wp:align>
                </wp:positionH>
                <wp:positionV relativeFrom="line">
                  <wp:align>top</wp:align>
                </wp:positionV>
                <wp:extent cx="228600" cy="350520"/>
                <wp:effectExtent l="0" t="0" r="0" b="0"/>
                <wp:wrapSquare wrapText="right"/>
                <wp:docPr id="350" name="Frame26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5pt;mso-wrap-distance-right:0pt;mso-wrap-distance-top:3.8pt;mso-wrap-distance-bottom:0pt;margin-top:3.8pt;mso-position-vertical:top;mso-position-vertical-relative:text;margin-left:5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48260" distB="0" distL="63500" distR="0" simplePos="0" locked="0" layoutInCell="1" allowOverlap="1" relativeHeight="392">
                <wp:simplePos x="0" y="0"/>
                <wp:positionH relativeFrom="column">
                  <wp:align>left</wp:align>
                </wp:positionH>
                <wp:positionV relativeFrom="line">
                  <wp:align>top</wp:align>
                </wp:positionV>
                <wp:extent cx="228600" cy="350520"/>
                <wp:effectExtent l="0" t="0" r="0" b="0"/>
                <wp:wrapSquare wrapText="right"/>
                <wp:docPr id="351" name="Frame26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5pt;mso-wrap-distance-right:0pt;mso-wrap-distance-top:3.8pt;mso-wrap-distance-bottom:0pt;margin-top:3.8pt;mso-position-vertical:top;mso-position-vertical-relative:text;margin-left:5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48260" distB="0" distL="63500" distR="0" simplePos="0" locked="0" layoutInCell="1" allowOverlap="1" relativeHeight="393">
                <wp:simplePos x="0" y="0"/>
                <wp:positionH relativeFrom="column">
                  <wp:align>left</wp:align>
                </wp:positionH>
                <wp:positionV relativeFrom="line">
                  <wp:align>top</wp:align>
                </wp:positionV>
                <wp:extent cx="228600" cy="350520"/>
                <wp:effectExtent l="0" t="0" r="0" b="0"/>
                <wp:wrapSquare wrapText="right"/>
                <wp:docPr id="352" name="Frame26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5pt;mso-wrap-distance-right:0pt;mso-wrap-distance-top:3.8pt;mso-wrap-distance-bottom:0pt;margin-top:3.8pt;mso-position-vertical:top;mso-position-vertical-relative:text;margin-left:5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38 \ 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Proposal No. 1 – Election of Directors</w:t>
      </w:r>
      <w:r>
        <w:rPr>
          <w:rFonts w:ascii="Arial;Helvetica;sans-serif" w:hAnsi="Arial;Helvetica;sans-serif"/>
          <w:b/>
          <w:i w:val="false"/>
          <w:caps w:val="false"/>
          <w:smallCaps w:val="false"/>
          <w:color w:val="7F7F7F"/>
          <w:sz w:val="22"/>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50">
                <wp:simplePos x="0" y="0"/>
                <wp:positionH relativeFrom="column">
                  <wp:align>left</wp:align>
                </wp:positionH>
                <wp:positionV relativeFrom="line">
                  <wp:posOffset>635</wp:posOffset>
                </wp:positionV>
                <wp:extent cx="3055620" cy="9972040"/>
                <wp:effectExtent l="0" t="0" r="0" b="0"/>
                <wp:wrapSquare wrapText="right"/>
                <wp:docPr id="353" name="Frame265"/>
                <a:graphic xmlns:a="http://schemas.openxmlformats.org/drawingml/2006/main">
                  <a:graphicData uri="http://schemas.microsoft.com/office/word/2010/wordprocessingShape">
                    <wps:wsp>
                      <wps:cNvSpPr txBox="1"/>
                      <wps:spPr>
                        <a:xfrm>
                          <a:off x="0" y="0"/>
                          <a:ext cx="3055620" cy="9972040"/>
                        </a:xfrm>
                        <a:prstGeom prst="rect"/>
                        <a:solidFill>
                          <a:srgbClr val="FFFFFF"/>
                        </a:solidFill>
                      </wps:spPr>
                      <wps:txbx>
                        <w:txbxContent>
                          <w:p>
                            <w:pPr>
                              <w:pStyle w:val="TextBody"/>
                              <w:bidi w:val="0"/>
                              <w:spacing w:lineRule="atLeast" w:line="240" w:before="0" w:after="0"/>
                              <w:jc w:val="left"/>
                              <w:rPr>
                                <w:b/>
                              </w:rPr>
                            </w:pPr>
                            <w:r>
                              <w:rPr>
                                <w:b/>
                                <w:spacing w:val="0"/>
                              </w:rPr>
                              <w:t>Qualifications</w:t>
                            </w:r>
                            <w:r>
                              <w:rPr>
                                <w:b/>
                                <w:spacing w:val="4"/>
                              </w:rPr>
                              <w:t xml:space="preserve"> </w:t>
                            </w:r>
                          </w:p>
                          <w:p>
                            <w:pPr>
                              <w:pStyle w:val="TextBody"/>
                              <w:bidi w:val="0"/>
                              <w:spacing w:lineRule="atLeast" w:line="230" w:before="80" w:after="283"/>
                              <w:jc w:val="both"/>
                              <w:rPr/>
                            </w:pPr>
                            <w:r>
                              <w:rPr>
                                <w:spacing w:val="-2"/>
                              </w:rPr>
                              <w:t>Mr. Israel’s investment, capital markets and management experience provide him with valuable insights and perspectives that can assist the Company and the Board.</w:t>
                            </w:r>
                            <w:r>
                              <w:rPr>
                                <w:spacing w:val="4"/>
                              </w:rPr>
                              <w:t xml:space="preserve"> </w:t>
                            </w:r>
                          </w:p>
                          <w:tbl>
                            <w:tblPr>
                              <w:tblW w:w="6595" w:type="dxa"/>
                              <w:jc w:val="left"/>
                              <w:tblInd w:w="0" w:type="dxa"/>
                              <w:tblLayout w:type="fixed"/>
                              <w:tblCellMar>
                                <w:top w:w="0" w:type="dxa"/>
                                <w:left w:w="0" w:type="dxa"/>
                                <w:bottom w:w="0" w:type="dxa"/>
                                <w:right w:w="0" w:type="dxa"/>
                              </w:tblCellMar>
                            </w:tblPr>
                            <w:tblGrid>
                              <w:gridCol w:w="124"/>
                              <w:gridCol w:w="1751"/>
                              <w:gridCol w:w="109"/>
                              <w:gridCol w:w="109"/>
                              <w:gridCol w:w="4348"/>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35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83" descr=""/>
                                                <pic:cNvPicPr>
                                                  <a:picLocks noChangeAspect="1" noChangeArrowheads="1"/>
                                                </pic:cNvPicPr>
                                              </pic:nvPicPr>
                                              <pic:blipFill>
                                                <a:blip r:embed="rId90"/>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4348" w:type="dxa"/>
                                  <w:tcBorders/>
                                  <w:shd w:fill="E5E5E5" w:val="clear"/>
                                  <w:vAlign w:val="center"/>
                                </w:tcPr>
                                <w:p>
                                  <w:pPr>
                                    <w:pStyle w:val="TableContents"/>
                                    <w:bidi w:val="0"/>
                                    <w:spacing w:lineRule="atLeast" w:line="216" w:before="0" w:after="0"/>
                                    <w:jc w:val="left"/>
                                    <w:rPr>
                                      <w:b/>
                                    </w:rPr>
                                  </w:pPr>
                                  <w:r>
                                    <w:rPr>
                                      <w:b/>
                                      <w:caps/>
                                      <w:spacing w:val="-2"/>
                                    </w:rPr>
                                    <w:t>THOM LACHMAN</w:t>
                                  </w:r>
                                  <w:r>
                                    <w:rPr>
                                      <w:b/>
                                    </w:rPr>
                                    <w:t xml:space="preserve"> </w:t>
                                  </w:r>
                                </w:p>
                                <w:p>
                                  <w:pPr>
                                    <w:pStyle w:val="TableContents"/>
                                    <w:bidi w:val="0"/>
                                    <w:spacing w:lineRule="atLeast" w:line="180" w:before="156" w:after="283"/>
                                    <w:jc w:val="left"/>
                                    <w:rPr/>
                                  </w:pPr>
                                  <w:r>
                                    <w:rPr>
                                      <w:spacing w:val="-1"/>
                                    </w:rPr>
                                    <w:t>Age 63</w:t>
                                  </w:r>
                                  <w:r>
                                    <w:rPr/>
                                    <w:t xml:space="preserve"> </w:t>
                                  </w:r>
                                </w:p>
                                <w:p>
                                  <w:pPr>
                                    <w:pStyle w:val="TableContents"/>
                                    <w:bidi w:val="0"/>
                                    <w:spacing w:lineRule="atLeast" w:line="215" w:before="156" w:after="283"/>
                                    <w:jc w:val="left"/>
                                    <w:rPr/>
                                  </w:pPr>
                                  <w:r>
                                    <w:rPr>
                                      <w:spacing w:val="-1"/>
                                    </w:rPr>
                                    <w:t xml:space="preserve">Independent director since </w:t>
                                    <w:br/>
                                    <w:t>September 2025</w:t>
                                  </w:r>
                                  <w:r>
                                    <w:rPr/>
                                    <w:t xml:space="preserve"> </w:t>
                                  </w:r>
                                </w:p>
                                <w:p>
                                  <w:pPr>
                                    <w:pStyle w:val="TableContents"/>
                                    <w:bidi w:val="0"/>
                                    <w:spacing w:lineRule="atLeast" w:line="180" w:before="156" w:after="283"/>
                                    <w:jc w:val="left"/>
                                    <w:rPr/>
                                  </w:pPr>
                                  <w:r>
                                    <w:rPr>
                                      <w:spacing w:val="-1"/>
                                    </w:rPr>
                                    <w:t>Committees</w:t>
                                  </w:r>
                                  <w:r>
                                    <w:rPr/>
                                    <w:t xml:space="preserve"> </w:t>
                                  </w:r>
                                </w:p>
                                <w:p>
                                  <w:pPr>
                                    <w:pStyle w:val="TableContents"/>
                                    <w:bidi w:val="0"/>
                                    <w:spacing w:lineRule="atLeast" w:line="215" w:before="76" w:after="0"/>
                                    <w:ind w:left="460" w:right="0" w:hanging="0"/>
                                    <w:jc w:val="left"/>
                                    <w:rPr/>
                                  </w:pPr>
                                  <w:r>
                                    <w:rPr>
                                      <w:spacing w:val="-1"/>
                                    </w:rPr>
                                    <w:t>Nominating and Corporate Governance</w:t>
                                  </w:r>
                                  <w:r>
                                    <w:rPr/>
                                    <w:t xml:space="preserve"> </w:t>
                                  </w:r>
                                </w:p>
                                <w:p>
                                  <w:pPr>
                                    <w:pStyle w:val="TableContents"/>
                                    <w:bidi w:val="0"/>
                                    <w:spacing w:before="0" w:after="0"/>
                                    <w:ind w:left="0" w:right="0" w:hanging="0"/>
                                    <w:jc w:val="left"/>
                                    <w:rPr/>
                                  </w:pPr>
                                  <w:r>
                                    <w:rPr/>
                                    <w:t>​</w:t>
                                  </w:r>
                                </w:p>
                                <w:p>
                                  <w:pPr>
                                    <w:pStyle w:val="TableContents"/>
                                    <w:bidi w:val="0"/>
                                    <w:spacing w:lineRule="atLeast" w:line="180" w:before="76" w:after="0"/>
                                    <w:ind w:left="460" w:right="0" w:hanging="0"/>
                                    <w:jc w:val="left"/>
                                    <w:rPr/>
                                  </w:pPr>
                                  <w:r>
                                    <w:rPr>
                                      <w:spacing w:val="-1"/>
                                    </w:rPr>
                                    <w:t>Technology</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6" w:after="283"/>
                              <w:jc w:val="left"/>
                              <w:rPr>
                                <w:b/>
                              </w:rPr>
                            </w:pPr>
                            <w:r>
                              <w:rPr>
                                <w:b/>
                                <w:spacing w:val="0"/>
                              </w:rPr>
                              <w:t>Background</w:t>
                            </w:r>
                            <w:r>
                              <w:rPr>
                                <w:b/>
                                <w:spacing w:val="4"/>
                              </w:rPr>
                              <w:t xml:space="preserve"> </w:t>
                            </w:r>
                          </w:p>
                          <w:p>
                            <w:pPr>
                              <w:pStyle w:val="TextBody"/>
                              <w:bidi w:val="0"/>
                              <w:spacing w:lineRule="atLeast" w:line="220" w:before="80" w:after="283"/>
                              <w:jc w:val="both"/>
                              <w:rPr/>
                            </w:pPr>
                            <w:r>
                              <w:rPr>
                                <w:b/>
                                <w:spacing w:val="0"/>
                              </w:rPr>
                              <w:t>Thom Lachman</w:t>
                            </w:r>
                            <w:r>
                              <w:rPr>
                                <w:spacing w:val="-2"/>
                              </w:rPr>
                              <w:t xml:space="preserve"> has served as a director since September 2025. Mr. Lachman is the former Chairman and CEO of Duracell, a Berkshire Hathaway company. Duracell is the leading global disposable battery brand in the world with a presence in over 90 countries. Mr. Lachman joined Duracell in 2016 as the North America President and leader of the transition team after Duracell was purchased from Procter and Gamble. He was promoted to Chairman and CEO in 2018. Prior to joining Berkshire Hathaway, Mr. Lachman worked for Procter and Gamble for 33 years. He had varied assignments that provided deep experience in general management, brand management, marketing, sales, acquisition integration and plant operations. His last assignment was President of P&amp;G Canada. During his career at Procter and Gamble, he worked on some of the most well known and valuable global packaged good brands including Gillette, Tide, Old Spice, Pampers and Cover Girl. Mr. Lachman earned a BS in Chemical Engineering as well as an MBA from Tulane University.</w:t>
                            </w:r>
                            <w:r>
                              <w:rPr>
                                <w:spacing w:val="4"/>
                              </w:rPr>
                              <w:t xml:space="preserve"> </w:t>
                            </w:r>
                          </w:p>
                          <w:p>
                            <w:pPr>
                              <w:pStyle w:val="TextBody"/>
                              <w:bidi w:val="0"/>
                              <w:spacing w:lineRule="atLeast" w:line="240" w:before="240" w:after="283"/>
                              <w:jc w:val="left"/>
                              <w:rPr>
                                <w:b/>
                              </w:rPr>
                            </w:pPr>
                            <w:r>
                              <w:rPr>
                                <w:b/>
                                <w:spacing w:val="0"/>
                              </w:rPr>
                              <w:t>Qualifications</w:t>
                            </w:r>
                            <w:r>
                              <w:rPr>
                                <w:b/>
                                <w:spacing w:val="4"/>
                              </w:rPr>
                              <w:t xml:space="preserve"> </w:t>
                            </w:r>
                          </w:p>
                          <w:p>
                            <w:pPr>
                              <w:pStyle w:val="TextBody"/>
                              <w:bidi w:val="0"/>
                              <w:spacing w:lineRule="atLeast" w:line="220" w:before="80" w:after="283"/>
                              <w:jc w:val="both"/>
                              <w:rPr/>
                            </w:pPr>
                            <w:r>
                              <w:rPr>
                                <w:spacing w:val="-2"/>
                              </w:rPr>
                              <w:t>Mr. Lachman’s extensive experience in executive leadership, operations, and marketing, particularly as the CEO of a global company, makes him a valuable asset to the Board and the Company.</w:t>
                            </w:r>
                            <w:r>
                              <w:rPr>
                                <w:spacing w:val="4"/>
                              </w:rPr>
                              <w:t xml:space="preserve"> </w:t>
                            </w:r>
                          </w:p>
                          <w:tbl>
                            <w:tblPr>
                              <w:tblW w:w="5287" w:type="dxa"/>
                              <w:jc w:val="left"/>
                              <w:tblInd w:w="0" w:type="dxa"/>
                              <w:tblLayout w:type="fixed"/>
                              <w:tblCellMar>
                                <w:top w:w="0" w:type="dxa"/>
                                <w:left w:w="0" w:type="dxa"/>
                                <w:bottom w:w="0" w:type="dxa"/>
                                <w:right w:w="0" w:type="dxa"/>
                              </w:tblCellMar>
                            </w:tblPr>
                            <w:tblGrid>
                              <w:gridCol w:w="124"/>
                              <w:gridCol w:w="1751"/>
                              <w:gridCol w:w="109"/>
                              <w:gridCol w:w="109"/>
                              <w:gridCol w:w="3040"/>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35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84" descr=""/>
                                                <pic:cNvPicPr>
                                                  <a:picLocks noChangeAspect="1" noChangeArrowheads="1"/>
                                                </pic:cNvPicPr>
                                              </pic:nvPicPr>
                                              <pic:blipFill>
                                                <a:blip r:embed="rId91"/>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040" w:type="dxa"/>
                                  <w:tcBorders/>
                                  <w:shd w:fill="E5E5E5" w:val="clear"/>
                                  <w:vAlign w:val="center"/>
                                </w:tcPr>
                                <w:p>
                                  <w:pPr>
                                    <w:pStyle w:val="TableContents"/>
                                    <w:bidi w:val="0"/>
                                    <w:spacing w:lineRule="atLeast" w:line="216" w:before="0" w:after="0"/>
                                    <w:jc w:val="left"/>
                                    <w:rPr>
                                      <w:b/>
                                    </w:rPr>
                                  </w:pPr>
                                  <w:r>
                                    <w:rPr>
                                      <w:b/>
                                      <w:spacing w:val="-2"/>
                                    </w:rPr>
                                    <w:t>DAVID O’REILLY</w:t>
                                  </w:r>
                                  <w:r>
                                    <w:rPr>
                                      <w:b/>
                                    </w:rPr>
                                    <w:t xml:space="preserve"> </w:t>
                                  </w:r>
                                </w:p>
                                <w:p>
                                  <w:pPr>
                                    <w:pStyle w:val="TableContents"/>
                                    <w:bidi w:val="0"/>
                                    <w:spacing w:lineRule="atLeast" w:line="180" w:before="156" w:after="283"/>
                                    <w:jc w:val="left"/>
                                    <w:rPr/>
                                  </w:pPr>
                                  <w:r>
                                    <w:rPr>
                                      <w:spacing w:val="-1"/>
                                    </w:rPr>
                                    <w:t>Age 52</w:t>
                                  </w:r>
                                  <w:r>
                                    <w:rPr/>
                                    <w:t xml:space="preserve"> </w:t>
                                  </w:r>
                                </w:p>
                                <w:p>
                                  <w:pPr>
                                    <w:pStyle w:val="TableContents"/>
                                    <w:bidi w:val="0"/>
                                    <w:spacing w:lineRule="atLeast" w:line="180" w:before="156" w:after="283"/>
                                    <w:jc w:val="left"/>
                                    <w:rPr/>
                                  </w:pPr>
                                  <w:r>
                                    <w:rPr>
                                      <w:spacing w:val="-1"/>
                                    </w:rPr>
                                    <w:t>Director since December 2020</w:t>
                                  </w:r>
                                  <w:r>
                                    <w:rPr/>
                                    <w:t xml:space="preserve"> </w:t>
                                  </w:r>
                                </w:p>
                                <w:p>
                                  <w:pPr>
                                    <w:pStyle w:val="TableContents"/>
                                    <w:bidi w:val="0"/>
                                    <w:spacing w:lineRule="atLeast" w:line="180" w:before="156" w:after="283"/>
                                    <w:jc w:val="left"/>
                                    <w:rPr/>
                                  </w:pPr>
                                  <w:r>
                                    <w:rPr>
                                      <w:spacing w:val="-1"/>
                                    </w:rPr>
                                    <w:t>Committees</w:t>
                                  </w:r>
                                  <w:r>
                                    <w:rPr/>
                                    <w:t xml:space="preserve"> </w:t>
                                  </w:r>
                                </w:p>
                                <w:p>
                                  <w:pPr>
                                    <w:pStyle w:val="TableContents"/>
                                    <w:bidi w:val="0"/>
                                    <w:spacing w:lineRule="atLeast" w:line="180" w:before="76" w:after="0"/>
                                    <w:ind w:left="460" w:right="0" w:hanging="0"/>
                                    <w:jc w:val="left"/>
                                    <w:rPr/>
                                  </w:pPr>
                                  <w:r>
                                    <w:rPr>
                                      <w:spacing w:val="-1"/>
                                    </w:rPr>
                                    <w:t>None</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6" w:after="283"/>
                              <w:jc w:val="left"/>
                              <w:rPr>
                                <w:b/>
                              </w:rPr>
                            </w:pPr>
                            <w:r>
                              <w:rPr>
                                <w:b/>
                                <w:spacing w:val="0"/>
                              </w:rPr>
                              <w:t>Background</w:t>
                            </w:r>
                            <w:r>
                              <w:rPr>
                                <w:b/>
                                <w:spacing w:val="4"/>
                              </w:rPr>
                              <w:t xml:space="preserve"> </w:t>
                            </w:r>
                          </w:p>
                          <w:p>
                            <w:pPr>
                              <w:pStyle w:val="TextBody"/>
                              <w:bidi w:val="0"/>
                              <w:spacing w:lineRule="atLeast" w:line="220" w:before="80" w:after="283"/>
                              <w:jc w:val="both"/>
                              <w:rPr/>
                            </w:pPr>
                            <w:r>
                              <w:rPr>
                                <w:b/>
                                <w:spacing w:val="0"/>
                              </w:rPr>
                              <w:t>David O’Reilly</w:t>
                            </w:r>
                            <w:r>
                              <w:rPr>
                                <w:spacing w:val="-2"/>
                              </w:rPr>
                              <w:t xml:space="preserve"> has served as Chief Executive Officer of the Company since December 2020 and as a </w:t>
                            </w:r>
                          </w:p>
                        </w:txbxContent>
                      </wps:txbx>
                      <wps:bodyPr anchor="t" lIns="0" tIns="0" rIns="0" bIns="0">
                        <a:noAutofit/>
                      </wps:bodyPr>
                    </wps:wsp>
                  </a:graphicData>
                </a:graphic>
              </wp:anchor>
            </w:drawing>
          </mc:Choice>
          <mc:Fallback>
            <w:pict>
              <v:rect style="position:absolute;rotation:-0;width:240.6pt;height:785.2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jc w:val="left"/>
                        <w:rPr>
                          <w:b/>
                        </w:rPr>
                      </w:pPr>
                      <w:r>
                        <w:rPr>
                          <w:b/>
                          <w:spacing w:val="0"/>
                        </w:rPr>
                        <w:t>Qualifications</w:t>
                      </w:r>
                      <w:r>
                        <w:rPr>
                          <w:b/>
                          <w:spacing w:val="4"/>
                        </w:rPr>
                        <w:t xml:space="preserve"> </w:t>
                      </w:r>
                    </w:p>
                    <w:p>
                      <w:pPr>
                        <w:pStyle w:val="TextBody"/>
                        <w:bidi w:val="0"/>
                        <w:spacing w:lineRule="atLeast" w:line="230" w:before="80" w:after="283"/>
                        <w:jc w:val="both"/>
                        <w:rPr/>
                      </w:pPr>
                      <w:r>
                        <w:rPr>
                          <w:spacing w:val="-2"/>
                        </w:rPr>
                        <w:t>Mr. Israel’s investment, capital markets and management experience provide him with valuable insights and perspectives that can assist the Company and the Board.</w:t>
                      </w:r>
                      <w:r>
                        <w:rPr>
                          <w:spacing w:val="4"/>
                        </w:rPr>
                        <w:t xml:space="preserve"> </w:t>
                      </w:r>
                    </w:p>
                    <w:tbl>
                      <w:tblPr>
                        <w:tblW w:w="6595" w:type="dxa"/>
                        <w:jc w:val="left"/>
                        <w:tblInd w:w="0" w:type="dxa"/>
                        <w:tblLayout w:type="fixed"/>
                        <w:tblCellMar>
                          <w:top w:w="0" w:type="dxa"/>
                          <w:left w:w="0" w:type="dxa"/>
                          <w:bottom w:w="0" w:type="dxa"/>
                          <w:right w:w="0" w:type="dxa"/>
                        </w:tblCellMar>
                      </w:tblPr>
                      <w:tblGrid>
                        <w:gridCol w:w="124"/>
                        <w:gridCol w:w="1751"/>
                        <w:gridCol w:w="109"/>
                        <w:gridCol w:w="109"/>
                        <w:gridCol w:w="4348"/>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35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83" descr=""/>
                                          <pic:cNvPicPr>
                                            <a:picLocks noChangeAspect="1" noChangeArrowheads="1"/>
                                          </pic:cNvPicPr>
                                        </pic:nvPicPr>
                                        <pic:blipFill>
                                          <a:blip r:embed="rId92"/>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4348" w:type="dxa"/>
                            <w:tcBorders/>
                            <w:shd w:fill="E5E5E5" w:val="clear"/>
                            <w:vAlign w:val="center"/>
                          </w:tcPr>
                          <w:p>
                            <w:pPr>
                              <w:pStyle w:val="TableContents"/>
                              <w:bidi w:val="0"/>
                              <w:spacing w:lineRule="atLeast" w:line="216" w:before="0" w:after="0"/>
                              <w:jc w:val="left"/>
                              <w:rPr>
                                <w:b/>
                              </w:rPr>
                            </w:pPr>
                            <w:r>
                              <w:rPr>
                                <w:b/>
                                <w:caps/>
                                <w:spacing w:val="-2"/>
                              </w:rPr>
                              <w:t>THOM LACHMAN</w:t>
                            </w:r>
                            <w:r>
                              <w:rPr>
                                <w:b/>
                              </w:rPr>
                              <w:t xml:space="preserve"> </w:t>
                            </w:r>
                          </w:p>
                          <w:p>
                            <w:pPr>
                              <w:pStyle w:val="TableContents"/>
                              <w:bidi w:val="0"/>
                              <w:spacing w:lineRule="atLeast" w:line="180" w:before="156" w:after="283"/>
                              <w:jc w:val="left"/>
                              <w:rPr/>
                            </w:pPr>
                            <w:r>
                              <w:rPr>
                                <w:spacing w:val="-1"/>
                              </w:rPr>
                              <w:t>Age 63</w:t>
                            </w:r>
                            <w:r>
                              <w:rPr/>
                              <w:t xml:space="preserve"> </w:t>
                            </w:r>
                          </w:p>
                          <w:p>
                            <w:pPr>
                              <w:pStyle w:val="TableContents"/>
                              <w:bidi w:val="0"/>
                              <w:spacing w:lineRule="atLeast" w:line="215" w:before="156" w:after="283"/>
                              <w:jc w:val="left"/>
                              <w:rPr/>
                            </w:pPr>
                            <w:r>
                              <w:rPr>
                                <w:spacing w:val="-1"/>
                              </w:rPr>
                              <w:t xml:space="preserve">Independent director since </w:t>
                              <w:br/>
                              <w:t>September 2025</w:t>
                            </w:r>
                            <w:r>
                              <w:rPr/>
                              <w:t xml:space="preserve"> </w:t>
                            </w:r>
                          </w:p>
                          <w:p>
                            <w:pPr>
                              <w:pStyle w:val="TableContents"/>
                              <w:bidi w:val="0"/>
                              <w:spacing w:lineRule="atLeast" w:line="180" w:before="156" w:after="283"/>
                              <w:jc w:val="left"/>
                              <w:rPr/>
                            </w:pPr>
                            <w:r>
                              <w:rPr>
                                <w:spacing w:val="-1"/>
                              </w:rPr>
                              <w:t>Committees</w:t>
                            </w:r>
                            <w:r>
                              <w:rPr/>
                              <w:t xml:space="preserve"> </w:t>
                            </w:r>
                          </w:p>
                          <w:p>
                            <w:pPr>
                              <w:pStyle w:val="TableContents"/>
                              <w:bidi w:val="0"/>
                              <w:spacing w:lineRule="atLeast" w:line="215" w:before="76" w:after="0"/>
                              <w:ind w:left="460" w:right="0" w:hanging="0"/>
                              <w:jc w:val="left"/>
                              <w:rPr/>
                            </w:pPr>
                            <w:r>
                              <w:rPr>
                                <w:spacing w:val="-1"/>
                              </w:rPr>
                              <w:t>Nominating and Corporate Governance</w:t>
                            </w:r>
                            <w:r>
                              <w:rPr/>
                              <w:t xml:space="preserve"> </w:t>
                            </w:r>
                          </w:p>
                          <w:p>
                            <w:pPr>
                              <w:pStyle w:val="TableContents"/>
                              <w:bidi w:val="0"/>
                              <w:spacing w:before="0" w:after="0"/>
                              <w:ind w:left="0" w:right="0" w:hanging="0"/>
                              <w:jc w:val="left"/>
                              <w:rPr/>
                            </w:pPr>
                            <w:r>
                              <w:rPr/>
                              <w:t>​</w:t>
                            </w:r>
                          </w:p>
                          <w:p>
                            <w:pPr>
                              <w:pStyle w:val="TableContents"/>
                              <w:bidi w:val="0"/>
                              <w:spacing w:lineRule="atLeast" w:line="180" w:before="76" w:after="0"/>
                              <w:ind w:left="460" w:right="0" w:hanging="0"/>
                              <w:jc w:val="left"/>
                              <w:rPr/>
                            </w:pPr>
                            <w:r>
                              <w:rPr>
                                <w:spacing w:val="-1"/>
                              </w:rPr>
                              <w:t>Technology</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6" w:after="283"/>
                        <w:jc w:val="left"/>
                        <w:rPr>
                          <w:b/>
                        </w:rPr>
                      </w:pPr>
                      <w:r>
                        <w:rPr>
                          <w:b/>
                          <w:spacing w:val="0"/>
                        </w:rPr>
                        <w:t>Background</w:t>
                      </w:r>
                      <w:r>
                        <w:rPr>
                          <w:b/>
                          <w:spacing w:val="4"/>
                        </w:rPr>
                        <w:t xml:space="preserve"> </w:t>
                      </w:r>
                    </w:p>
                    <w:p>
                      <w:pPr>
                        <w:pStyle w:val="TextBody"/>
                        <w:bidi w:val="0"/>
                        <w:spacing w:lineRule="atLeast" w:line="220" w:before="80" w:after="283"/>
                        <w:jc w:val="both"/>
                        <w:rPr/>
                      </w:pPr>
                      <w:r>
                        <w:rPr>
                          <w:b/>
                          <w:spacing w:val="0"/>
                        </w:rPr>
                        <w:t>Thom Lachman</w:t>
                      </w:r>
                      <w:r>
                        <w:rPr>
                          <w:spacing w:val="-2"/>
                        </w:rPr>
                        <w:t xml:space="preserve"> has served as a director since September 2025. Mr. Lachman is the former Chairman and CEO of Duracell, a Berkshire Hathaway company. Duracell is the leading global disposable battery brand in the world with a presence in over 90 countries. Mr. Lachman joined Duracell in 2016 as the North America President and leader of the transition team after Duracell was purchased from Procter and Gamble. He was promoted to Chairman and CEO in 2018. Prior to joining Berkshire Hathaway, Mr. Lachman worked for Procter and Gamble for 33 years. He had varied assignments that provided deep experience in general management, brand management, marketing, sales, acquisition integration and plant operations. His last assignment was President of P&amp;G Canada. During his career at Procter and Gamble, he worked on some of the most well known and valuable global packaged good brands including Gillette, Tide, Old Spice, Pampers and Cover Girl. Mr. Lachman earned a BS in Chemical Engineering as well as an MBA from Tulane University.</w:t>
                      </w:r>
                      <w:r>
                        <w:rPr>
                          <w:spacing w:val="4"/>
                        </w:rPr>
                        <w:t xml:space="preserve"> </w:t>
                      </w:r>
                    </w:p>
                    <w:p>
                      <w:pPr>
                        <w:pStyle w:val="TextBody"/>
                        <w:bidi w:val="0"/>
                        <w:spacing w:lineRule="atLeast" w:line="240" w:before="240" w:after="283"/>
                        <w:jc w:val="left"/>
                        <w:rPr>
                          <w:b/>
                        </w:rPr>
                      </w:pPr>
                      <w:r>
                        <w:rPr>
                          <w:b/>
                          <w:spacing w:val="0"/>
                        </w:rPr>
                        <w:t>Qualifications</w:t>
                      </w:r>
                      <w:r>
                        <w:rPr>
                          <w:b/>
                          <w:spacing w:val="4"/>
                        </w:rPr>
                        <w:t xml:space="preserve"> </w:t>
                      </w:r>
                    </w:p>
                    <w:p>
                      <w:pPr>
                        <w:pStyle w:val="TextBody"/>
                        <w:bidi w:val="0"/>
                        <w:spacing w:lineRule="atLeast" w:line="220" w:before="80" w:after="283"/>
                        <w:jc w:val="both"/>
                        <w:rPr/>
                      </w:pPr>
                      <w:r>
                        <w:rPr>
                          <w:spacing w:val="-2"/>
                        </w:rPr>
                        <w:t>Mr. Lachman’s extensive experience in executive leadership, operations, and marketing, particularly as the CEO of a global company, makes him a valuable asset to the Board and the Company.</w:t>
                      </w:r>
                      <w:r>
                        <w:rPr>
                          <w:spacing w:val="4"/>
                        </w:rPr>
                        <w:t xml:space="preserve"> </w:t>
                      </w:r>
                    </w:p>
                    <w:tbl>
                      <w:tblPr>
                        <w:tblW w:w="5287" w:type="dxa"/>
                        <w:jc w:val="left"/>
                        <w:tblInd w:w="0" w:type="dxa"/>
                        <w:tblLayout w:type="fixed"/>
                        <w:tblCellMar>
                          <w:top w:w="0" w:type="dxa"/>
                          <w:left w:w="0" w:type="dxa"/>
                          <w:bottom w:w="0" w:type="dxa"/>
                          <w:right w:w="0" w:type="dxa"/>
                        </w:tblCellMar>
                      </w:tblPr>
                      <w:tblGrid>
                        <w:gridCol w:w="124"/>
                        <w:gridCol w:w="1751"/>
                        <w:gridCol w:w="109"/>
                        <w:gridCol w:w="109"/>
                        <w:gridCol w:w="3040"/>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35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84" descr=""/>
                                          <pic:cNvPicPr>
                                            <a:picLocks noChangeAspect="1" noChangeArrowheads="1"/>
                                          </pic:cNvPicPr>
                                        </pic:nvPicPr>
                                        <pic:blipFill>
                                          <a:blip r:embed="rId93"/>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040" w:type="dxa"/>
                            <w:tcBorders/>
                            <w:shd w:fill="E5E5E5" w:val="clear"/>
                            <w:vAlign w:val="center"/>
                          </w:tcPr>
                          <w:p>
                            <w:pPr>
                              <w:pStyle w:val="TableContents"/>
                              <w:bidi w:val="0"/>
                              <w:spacing w:lineRule="atLeast" w:line="216" w:before="0" w:after="0"/>
                              <w:jc w:val="left"/>
                              <w:rPr>
                                <w:b/>
                              </w:rPr>
                            </w:pPr>
                            <w:r>
                              <w:rPr>
                                <w:b/>
                                <w:spacing w:val="-2"/>
                              </w:rPr>
                              <w:t>DAVID O’REILLY</w:t>
                            </w:r>
                            <w:r>
                              <w:rPr>
                                <w:b/>
                              </w:rPr>
                              <w:t xml:space="preserve"> </w:t>
                            </w:r>
                          </w:p>
                          <w:p>
                            <w:pPr>
                              <w:pStyle w:val="TableContents"/>
                              <w:bidi w:val="0"/>
                              <w:spacing w:lineRule="atLeast" w:line="180" w:before="156" w:after="283"/>
                              <w:jc w:val="left"/>
                              <w:rPr/>
                            </w:pPr>
                            <w:r>
                              <w:rPr>
                                <w:spacing w:val="-1"/>
                              </w:rPr>
                              <w:t>Age 52</w:t>
                            </w:r>
                            <w:r>
                              <w:rPr/>
                              <w:t xml:space="preserve"> </w:t>
                            </w:r>
                          </w:p>
                          <w:p>
                            <w:pPr>
                              <w:pStyle w:val="TableContents"/>
                              <w:bidi w:val="0"/>
                              <w:spacing w:lineRule="atLeast" w:line="180" w:before="156" w:after="283"/>
                              <w:jc w:val="left"/>
                              <w:rPr/>
                            </w:pPr>
                            <w:r>
                              <w:rPr>
                                <w:spacing w:val="-1"/>
                              </w:rPr>
                              <w:t>Director since December 2020</w:t>
                            </w:r>
                            <w:r>
                              <w:rPr/>
                              <w:t xml:space="preserve"> </w:t>
                            </w:r>
                          </w:p>
                          <w:p>
                            <w:pPr>
                              <w:pStyle w:val="TableContents"/>
                              <w:bidi w:val="0"/>
                              <w:spacing w:lineRule="atLeast" w:line="180" w:before="156" w:after="283"/>
                              <w:jc w:val="left"/>
                              <w:rPr/>
                            </w:pPr>
                            <w:r>
                              <w:rPr>
                                <w:spacing w:val="-1"/>
                              </w:rPr>
                              <w:t>Committees</w:t>
                            </w:r>
                            <w:r>
                              <w:rPr/>
                              <w:t xml:space="preserve"> </w:t>
                            </w:r>
                          </w:p>
                          <w:p>
                            <w:pPr>
                              <w:pStyle w:val="TableContents"/>
                              <w:bidi w:val="0"/>
                              <w:spacing w:lineRule="atLeast" w:line="180" w:before="76" w:after="0"/>
                              <w:ind w:left="460" w:right="0" w:hanging="0"/>
                              <w:jc w:val="left"/>
                              <w:rPr/>
                            </w:pPr>
                            <w:r>
                              <w:rPr>
                                <w:spacing w:val="-1"/>
                              </w:rPr>
                              <w:t>None</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6" w:after="283"/>
                        <w:jc w:val="left"/>
                        <w:rPr>
                          <w:b/>
                        </w:rPr>
                      </w:pPr>
                      <w:r>
                        <w:rPr>
                          <w:b/>
                          <w:spacing w:val="0"/>
                        </w:rPr>
                        <w:t>Background</w:t>
                      </w:r>
                      <w:r>
                        <w:rPr>
                          <w:b/>
                          <w:spacing w:val="4"/>
                        </w:rPr>
                        <w:t xml:space="preserve"> </w:t>
                      </w:r>
                    </w:p>
                    <w:p>
                      <w:pPr>
                        <w:pStyle w:val="TextBody"/>
                        <w:bidi w:val="0"/>
                        <w:spacing w:lineRule="atLeast" w:line="220" w:before="80" w:after="283"/>
                        <w:jc w:val="both"/>
                        <w:rPr/>
                      </w:pPr>
                      <w:r>
                        <w:rPr>
                          <w:b/>
                          <w:spacing w:val="0"/>
                        </w:rPr>
                        <w:t>David O’Reilly</w:t>
                      </w:r>
                      <w:r>
                        <w:rPr>
                          <w:spacing w:val="-2"/>
                        </w:rPr>
                        <w:t xml:space="preserve"> has served as Chief Executive Officer of the Company since December 2020 and as a </w:t>
                      </w:r>
                    </w:p>
                  </w:txbxContent>
                </v:textbox>
                <w10:wrap type="square" side="right"/>
              </v:rect>
            </w:pict>
          </mc:Fallback>
        </mc:AlternateContent>
      </w:r>
      <w:r>
        <mc:AlternateContent>
          <mc:Choice Requires="wps">
            <w:drawing>
              <wp:anchor behindDoc="0" distT="0" distB="0" distL="304800" distR="0" simplePos="0" locked="0" layoutInCell="1" allowOverlap="1" relativeHeight="397">
                <wp:simplePos x="0" y="0"/>
                <wp:positionH relativeFrom="column">
                  <wp:align>left</wp:align>
                </wp:positionH>
                <wp:positionV relativeFrom="line">
                  <wp:posOffset>635</wp:posOffset>
                </wp:positionV>
                <wp:extent cx="3055620" cy="9072245"/>
                <wp:effectExtent l="0" t="0" r="0" b="0"/>
                <wp:wrapSquare wrapText="right"/>
                <wp:docPr id="358" name="Frame269"/>
                <a:graphic xmlns:a="http://schemas.openxmlformats.org/drawingml/2006/main">
                  <a:graphicData uri="http://schemas.microsoft.com/office/word/2010/wordprocessingShape">
                    <wps:wsp>
                      <wps:cNvSpPr txBox="1"/>
                      <wps:spPr>
                        <a:xfrm>
                          <a:off x="0" y="0"/>
                          <a:ext cx="3055620" cy="9072245"/>
                        </a:xfrm>
                        <a:prstGeom prst="rect"/>
                        <a:solidFill>
                          <a:srgbClr val="FFFFFF"/>
                        </a:solidFill>
                      </wps:spPr>
                      <wps:txbx>
                        <w:txbxContent>
                          <w:p>
                            <w:pPr>
                              <w:pStyle w:val="TextBody"/>
                              <w:bidi w:val="0"/>
                              <w:spacing w:lineRule="atLeast" w:line="220" w:before="0" w:after="0"/>
                              <w:jc w:val="both"/>
                              <w:rPr/>
                            </w:pPr>
                            <w:r>
                              <w:rPr>
                                <w:spacing w:val="-2"/>
                              </w:rPr>
                              <w:t>member of the Board of Directors since that time. In this role, he leads the Company’s strategy and operations, overseeing one of the nation’s leading platforms for the development of master planned communities and mixed-use real estate, with a focus on long-term value creation and disciplined capital allocation. In his role as Chief Executive Officer, Mr. O’Reilly is leading the execution of the Company’s evolution into a diversified holding company, with a focus on integrating and scaling new operating platforms to drive long-term value creation. Mr. O’Reilly previously served as the Company’s Chief Financial Officer from October 2016 to April 2021 and as its President from June 2020 to November 2020. He was appointed Interim Chief Executive Officer in September 2020 prior to being named Chief Executive Officer and elected to the Board in December 2020. Prior to joining the Company, Mr. O’Reilly served as Executive Vice President and Chief Investment Officer of Parkway Properties, Inc., a NYSE-listed real estate investment trust focused on office properties, from November 2011 to October 2014, and as its Chief Financial Officer from August 2012 to October 2016, including a period as Interim Chief Financial Officer. Earlier in his career, Mr. O’Reilly held senior roles in real estate investment and capital markets, including positions with Banyan Street Capital, Eola Capital LLC, Barclays Capital Inc., and Lehman Brothers. Across these roles, he was involved in a wide range of financial advisory and merger and acquisition activities, including leveraged buyouts, initial public offerings, and commercial mortgage-backed securities transactions. Mr. O’Reilly has served as an independent trustee of Kite Realty Group Trust, a publicly traded REIT, since 2013, and is a member of its Audit Committee and Compensation Committee. Mr. O’Reilly earned a B.S. in Civil Engineering from Tufts University and an M.B.A. from Columbia University.</w:t>
                            </w:r>
                            <w:r>
                              <w:rPr/>
                              <w:t xml:space="preserve"> </w:t>
                            </w:r>
                          </w:p>
                          <w:p>
                            <w:pPr>
                              <w:pStyle w:val="TextBody"/>
                              <w:bidi w:val="0"/>
                              <w:spacing w:lineRule="atLeast" w:line="240" w:before="240" w:after="283"/>
                              <w:jc w:val="left"/>
                              <w:rPr>
                                <w:b/>
                              </w:rPr>
                            </w:pPr>
                            <w:r>
                              <w:rPr>
                                <w:b/>
                                <w:spacing w:val="0"/>
                              </w:rPr>
                              <w:t>Qualifications</w:t>
                            </w:r>
                            <w:r>
                              <w:rPr>
                                <w:b/>
                                <w:spacing w:val="4"/>
                              </w:rPr>
                              <w:t xml:space="preserve"> </w:t>
                            </w:r>
                          </w:p>
                          <w:p>
                            <w:pPr>
                              <w:pStyle w:val="TextBody"/>
                              <w:bidi w:val="0"/>
                              <w:spacing w:lineRule="atLeast" w:line="220" w:before="240" w:after="283"/>
                              <w:jc w:val="both"/>
                              <w:rPr>
                                <w:spacing w:val="-2"/>
                              </w:rPr>
                            </w:pPr>
                            <w:r>
                              <w:rPr>
                                <w:spacing w:val="-2"/>
                              </w:rPr>
                              <w:t xml:space="preserve">Mr. O’Reilly’s extensive financial and strategic experience in the real estate industry, as well as his executive leadership experience, make him particularly suited to provide guidance to the Board and serve as a bridge between the Board and our executive officers. </w:t>
                            </w:r>
                          </w:p>
                        </w:txbxContent>
                      </wps:txbx>
                      <wps:bodyPr anchor="t" lIns="0" tIns="0" rIns="0" bIns="0">
                        <a:noAutofit/>
                      </wps:bodyPr>
                    </wps:wsp>
                  </a:graphicData>
                </a:graphic>
              </wp:anchor>
            </w:drawing>
          </mc:Choice>
          <mc:Fallback>
            <w:pict>
              <v:rect style="position:absolute;rotation:-0;width:240.6pt;height:714.3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20" w:before="0" w:after="0"/>
                        <w:jc w:val="both"/>
                        <w:rPr/>
                      </w:pPr>
                      <w:r>
                        <w:rPr>
                          <w:spacing w:val="-2"/>
                        </w:rPr>
                        <w:t>member of the Board of Directors since that time. In this role, he leads the Company’s strategy and operations, overseeing one of the nation’s leading platforms for the development of master planned communities and mixed-use real estate, with a focus on long-term value creation and disciplined capital allocation. In his role as Chief Executive Officer, Mr. O’Reilly is leading the execution of the Company’s evolution into a diversified holding company, with a focus on integrating and scaling new operating platforms to drive long-term value creation. Mr. O’Reilly previously served as the Company’s Chief Financial Officer from October 2016 to April 2021 and as its President from June 2020 to November 2020. He was appointed Interim Chief Executive Officer in September 2020 prior to being named Chief Executive Officer and elected to the Board in December 2020. Prior to joining the Company, Mr. O’Reilly served as Executive Vice President and Chief Investment Officer of Parkway Properties, Inc., a NYSE-listed real estate investment trust focused on office properties, from November 2011 to October 2014, and as its Chief Financial Officer from August 2012 to October 2016, including a period as Interim Chief Financial Officer. Earlier in his career, Mr. O’Reilly held senior roles in real estate investment and capital markets, including positions with Banyan Street Capital, Eola Capital LLC, Barclays Capital Inc., and Lehman Brothers. Across these roles, he was involved in a wide range of financial advisory and merger and acquisition activities, including leveraged buyouts, initial public offerings, and commercial mortgage-backed securities transactions. Mr. O’Reilly has served as an independent trustee of Kite Realty Group Trust, a publicly traded REIT, since 2013, and is a member of its Audit Committee and Compensation Committee. Mr. O’Reilly earned a B.S. in Civil Engineering from Tufts University and an M.B.A. from Columbia University.</w:t>
                      </w:r>
                      <w:r>
                        <w:rPr/>
                        <w:t xml:space="preserve"> </w:t>
                      </w:r>
                    </w:p>
                    <w:p>
                      <w:pPr>
                        <w:pStyle w:val="TextBody"/>
                        <w:bidi w:val="0"/>
                        <w:spacing w:lineRule="atLeast" w:line="240" w:before="240" w:after="283"/>
                        <w:jc w:val="left"/>
                        <w:rPr>
                          <w:b/>
                        </w:rPr>
                      </w:pPr>
                      <w:r>
                        <w:rPr>
                          <w:b/>
                          <w:spacing w:val="0"/>
                        </w:rPr>
                        <w:t>Qualifications</w:t>
                      </w:r>
                      <w:r>
                        <w:rPr>
                          <w:b/>
                          <w:spacing w:val="4"/>
                        </w:rPr>
                        <w:t xml:space="preserve"> </w:t>
                      </w:r>
                    </w:p>
                    <w:p>
                      <w:pPr>
                        <w:pStyle w:val="TextBody"/>
                        <w:bidi w:val="0"/>
                        <w:spacing w:lineRule="atLeast" w:line="220" w:before="240" w:after="283"/>
                        <w:jc w:val="both"/>
                        <w:rPr>
                          <w:spacing w:val="-2"/>
                        </w:rPr>
                      </w:pPr>
                      <w:r>
                        <w:rPr>
                          <w:spacing w:val="-2"/>
                        </w:rPr>
                        <w:t xml:space="preserve">Mr. O’Reilly’s extensive financial and strategic experience in the real estate industry, as well as his executive leadership experience, make him particularly suited to provide guidance to the Board and serve as a bridge between the Board and our executive officers. </w:t>
                      </w:r>
                    </w:p>
                  </w:txbxContent>
                </v:textbox>
                <w10:wrap type="square" side="right"/>
              </v:rect>
            </w:pict>
          </mc:Fallback>
        </mc:AlternateContent>
      </w:r>
      <w:r>
        <mc:AlternateContent>
          <mc:Choice Requires="wps">
            <w:drawing>
              <wp:anchor behindDoc="0" distT="48260" distB="0" distL="63500" distR="0" simplePos="0" locked="0" layoutInCell="1" allowOverlap="1" relativeHeight="394">
                <wp:simplePos x="0" y="0"/>
                <wp:positionH relativeFrom="column">
                  <wp:align>left</wp:align>
                </wp:positionH>
                <wp:positionV relativeFrom="line">
                  <wp:align>top</wp:align>
                </wp:positionV>
                <wp:extent cx="228600" cy="350520"/>
                <wp:effectExtent l="0" t="0" r="0" b="0"/>
                <wp:wrapSquare wrapText="right"/>
                <wp:docPr id="359" name="Frame26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1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5pt;mso-wrap-distance-right:0pt;mso-wrap-distance-top:3.8pt;mso-wrap-distance-bottom:0pt;margin-top:3.8pt;mso-position-vertical:top;mso-position-vertical-relative:text;margin-left:5pt;mso-position-horizontal:left;mso-position-horizontal-relative:text">
                <v:textbox>
                  <w:txbxContent>
                    <w:p>
                      <w:pPr>
                        <w:pStyle w:val="TextBody"/>
                        <w:bidi w:val="0"/>
                        <w:spacing w:lineRule="atLeast" w:line="215"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48260" distB="0" distL="63500" distR="0" simplePos="0" locked="0" layoutInCell="1" allowOverlap="1" relativeHeight="395">
                <wp:simplePos x="0" y="0"/>
                <wp:positionH relativeFrom="column">
                  <wp:align>left</wp:align>
                </wp:positionH>
                <wp:positionV relativeFrom="line">
                  <wp:align>top</wp:align>
                </wp:positionV>
                <wp:extent cx="228600" cy="350520"/>
                <wp:effectExtent l="0" t="0" r="0" b="0"/>
                <wp:wrapSquare wrapText="right"/>
                <wp:docPr id="360" name="Frame26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5pt;mso-wrap-distance-right:0pt;mso-wrap-distance-top:3.8pt;mso-wrap-distance-bottom:0pt;margin-top:3.8pt;mso-position-vertical:top;mso-position-vertical-relative:text;margin-left:5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48260" distB="0" distL="63500" distR="0" simplePos="0" locked="0" layoutInCell="1" allowOverlap="1" relativeHeight="396">
                <wp:simplePos x="0" y="0"/>
                <wp:positionH relativeFrom="column">
                  <wp:align>left</wp:align>
                </wp:positionH>
                <wp:positionV relativeFrom="line">
                  <wp:align>top</wp:align>
                </wp:positionV>
                <wp:extent cx="228600" cy="350520"/>
                <wp:effectExtent l="0" t="0" r="0" b="0"/>
                <wp:wrapSquare wrapText="right"/>
                <wp:docPr id="361" name="Frame26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5pt;mso-wrap-distance-right:0pt;mso-wrap-distance-top:3.8pt;mso-wrap-distance-bottom:0pt;margin-top:3.8pt;mso-position-vertical:top;mso-position-vertical-relative:text;margin-left:5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/ 39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Proposal No. 1 – Election of Directors</w:t>
      </w:r>
      <w:r>
        <w:rPr>
          <w:rFonts w:ascii="Arial;Helvetica;sans-serif" w:hAnsi="Arial;Helvetica;sans-serif"/>
          <w:b/>
          <w:i w:val="false"/>
          <w:caps w:val="false"/>
          <w:smallCaps w:val="false"/>
          <w:color w:val="7F7F7F"/>
          <w:spacing w:val="-3"/>
          <w:sz w:val="22"/>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32">
                <wp:simplePos x="0" y="0"/>
                <wp:positionH relativeFrom="column">
                  <wp:align>left</wp:align>
                </wp:positionH>
                <wp:positionV relativeFrom="line">
                  <wp:posOffset>635</wp:posOffset>
                </wp:positionV>
                <wp:extent cx="3055620" cy="9972040"/>
                <wp:effectExtent l="0" t="0" r="0" b="0"/>
                <wp:wrapSquare wrapText="right"/>
                <wp:docPr id="362" name="Frame270"/>
                <a:graphic xmlns:a="http://schemas.openxmlformats.org/drawingml/2006/main">
                  <a:graphicData uri="http://schemas.microsoft.com/office/word/2010/wordprocessingShape">
                    <wps:wsp>
                      <wps:cNvSpPr txBox="1"/>
                      <wps:spPr>
                        <a:xfrm>
                          <a:off x="0" y="0"/>
                          <a:ext cx="3055620" cy="9972040"/>
                        </a:xfrm>
                        <a:prstGeom prst="rect"/>
                        <a:solidFill>
                          <a:srgbClr val="FFFFFF"/>
                        </a:solidFill>
                      </wps:spPr>
                      <wps:txbx>
                        <w:txbxContent>
                          <w:p>
                            <w:pPr>
                              <w:pStyle w:val="TextBody"/>
                              <w:bidi w:val="0"/>
                              <w:spacing w:lineRule="atLeast" w:line="240" w:before="0" w:after="0"/>
                              <w:jc w:val="left"/>
                              <w:rPr>
                                <w:b/>
                              </w:rPr>
                            </w:pPr>
                            <w:r>
                              <w:rPr>
                                <w:b/>
                                <w:spacing w:val="0"/>
                              </w:rPr>
                              <w:t>Other current public company boards</w:t>
                            </w:r>
                            <w:r>
                              <w:rPr>
                                <w:b/>
                                <w:spacing w:val="4"/>
                              </w:rPr>
                              <w:t xml:space="preserve"> </w:t>
                            </w:r>
                          </w:p>
                          <w:p>
                            <w:pPr>
                              <w:pStyle w:val="TextBody"/>
                              <w:bidi w:val="0"/>
                              <w:spacing w:lineRule="atLeast" w:line="240" w:before="153" w:after="0"/>
                              <w:ind w:left="360" w:right="0" w:hanging="0"/>
                              <w:jc w:val="left"/>
                              <w:rPr/>
                            </w:pPr>
                            <w:r>
                              <w:rPr>
                                <w:spacing w:val="-2"/>
                              </w:rPr>
                              <w:t>Kite Realty Group Trust</w:t>
                            </w:r>
                            <w:r>
                              <w:rPr>
                                <w:spacing w:val="4"/>
                              </w:rPr>
                              <w:t xml:space="preserve"> </w:t>
                            </w:r>
                          </w:p>
                          <w:p>
                            <w:pPr>
                              <w:pStyle w:val="TextBody"/>
                              <w:bidi w:val="0"/>
                              <w:spacing w:before="0" w:after="0"/>
                              <w:ind w:left="0" w:right="0" w:hanging="0"/>
                              <w:jc w:val="left"/>
                              <w:rPr/>
                            </w:pPr>
                            <w:r>
                              <w:rPr/>
                              <w:t>​</w:t>
                            </w:r>
                          </w:p>
                          <w:tbl>
                            <w:tblPr>
                              <w:tblW w:w="4882" w:type="dxa"/>
                              <w:jc w:val="left"/>
                              <w:tblInd w:w="0" w:type="dxa"/>
                              <w:tblLayout w:type="fixed"/>
                              <w:tblCellMar>
                                <w:top w:w="0" w:type="dxa"/>
                                <w:left w:w="0" w:type="dxa"/>
                                <w:bottom w:w="0" w:type="dxa"/>
                                <w:right w:w="0" w:type="dxa"/>
                              </w:tblCellMar>
                            </w:tblPr>
                            <w:tblGrid>
                              <w:gridCol w:w="124"/>
                              <w:gridCol w:w="1751"/>
                              <w:gridCol w:w="109"/>
                              <w:gridCol w:w="109"/>
                              <w:gridCol w:w="2635"/>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36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85" descr=""/>
                                                <pic:cNvPicPr>
                                                  <a:picLocks noChangeAspect="1" noChangeArrowheads="1"/>
                                                </pic:cNvPicPr>
                                              </pic:nvPicPr>
                                              <pic:blipFill>
                                                <a:blip r:embed="rId94"/>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635" w:type="dxa"/>
                                  <w:tcBorders/>
                                  <w:shd w:fill="E5E5E5" w:val="clear"/>
                                  <w:vAlign w:val="center"/>
                                </w:tcPr>
                                <w:p>
                                  <w:pPr>
                                    <w:pStyle w:val="TableContents"/>
                                    <w:bidi w:val="0"/>
                                    <w:spacing w:lineRule="atLeast" w:line="216" w:before="0" w:after="0"/>
                                    <w:jc w:val="left"/>
                                    <w:rPr>
                                      <w:b/>
                                    </w:rPr>
                                  </w:pPr>
                                  <w:r>
                                    <w:rPr>
                                      <w:b/>
                                      <w:caps/>
                                      <w:spacing w:val="-2"/>
                                    </w:rPr>
                                    <w:t>SUSAN PANUCCIO</w:t>
                                  </w:r>
                                  <w:r>
                                    <w:rPr>
                                      <w:b/>
                                    </w:rPr>
                                    <w:t xml:space="preserve"> </w:t>
                                  </w:r>
                                </w:p>
                                <w:p>
                                  <w:pPr>
                                    <w:pStyle w:val="TableContents"/>
                                    <w:bidi w:val="0"/>
                                    <w:spacing w:lineRule="atLeast" w:line="180" w:before="156" w:after="283"/>
                                    <w:jc w:val="left"/>
                                    <w:rPr/>
                                  </w:pPr>
                                  <w:r>
                                    <w:rPr>
                                      <w:spacing w:val="-1"/>
                                    </w:rPr>
                                    <w:t>Age 54</w:t>
                                  </w:r>
                                  <w:r>
                                    <w:rPr/>
                                    <w:t xml:space="preserve"> </w:t>
                                  </w:r>
                                </w:p>
                                <w:p>
                                  <w:pPr>
                                    <w:pStyle w:val="TableContents"/>
                                    <w:bidi w:val="0"/>
                                    <w:spacing w:lineRule="atLeast" w:line="216" w:before="156" w:after="283"/>
                                    <w:jc w:val="left"/>
                                    <w:rPr/>
                                  </w:pPr>
                                  <w:r>
                                    <w:rPr>
                                      <w:spacing w:val="-1"/>
                                    </w:rPr>
                                    <w:t xml:space="preserve">Independent director since </w:t>
                                    <w:br/>
                                    <w:t>September 2025</w:t>
                                  </w:r>
                                  <w:r>
                                    <w:rPr/>
                                    <w:t xml:space="preserve"> </w:t>
                                  </w:r>
                                </w:p>
                                <w:p>
                                  <w:pPr>
                                    <w:pStyle w:val="TableContents"/>
                                    <w:bidi w:val="0"/>
                                    <w:spacing w:lineRule="atLeast" w:line="180" w:before="156" w:after="283"/>
                                    <w:jc w:val="left"/>
                                    <w:rPr/>
                                  </w:pPr>
                                  <w:r>
                                    <w:rPr>
                                      <w:spacing w:val="-1"/>
                                    </w:rPr>
                                    <w:t>Committees</w:t>
                                  </w:r>
                                  <w:r>
                                    <w:rPr/>
                                    <w:t xml:space="preserve"> </w:t>
                                  </w:r>
                                </w:p>
                                <w:p>
                                  <w:pPr>
                                    <w:pStyle w:val="TableContents"/>
                                    <w:bidi w:val="0"/>
                                    <w:spacing w:lineRule="atLeast" w:line="180" w:before="76" w:after="0"/>
                                    <w:ind w:left="460" w:right="0" w:hanging="0"/>
                                    <w:jc w:val="left"/>
                                    <w:rPr/>
                                  </w:pPr>
                                  <w:r>
                                    <w:rPr>
                                      <w:spacing w:val="-1"/>
                                    </w:rPr>
                                    <w:t>Audit (Chair)</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22" w:after="283"/>
                              <w:jc w:val="left"/>
                              <w:rPr>
                                <w:b/>
                              </w:rPr>
                            </w:pPr>
                            <w:r>
                              <w:rPr>
                                <w:b/>
                                <w:spacing w:val="0"/>
                              </w:rPr>
                              <w:t>Background</w:t>
                            </w:r>
                            <w:r>
                              <w:rPr>
                                <w:b/>
                                <w:spacing w:val="4"/>
                              </w:rPr>
                              <w:t xml:space="preserve"> </w:t>
                            </w:r>
                          </w:p>
                          <w:p>
                            <w:pPr>
                              <w:pStyle w:val="TextBody"/>
                              <w:bidi w:val="0"/>
                              <w:spacing w:lineRule="atLeast" w:line="210" w:before="80" w:after="283"/>
                              <w:jc w:val="both"/>
                              <w:rPr/>
                            </w:pPr>
                            <w:r>
                              <w:rPr>
                                <w:b/>
                                <w:spacing w:val="0"/>
                              </w:rPr>
                              <w:t>Susan Panuccio</w:t>
                            </w:r>
                            <w:r>
                              <w:rPr>
                                <w:spacing w:val="-2"/>
                              </w:rPr>
                              <w:t xml:space="preserve"> has served as a director and Chair of our Audit Committee since September 2025. Ms. Panuccio started her professional career with KPMG, and held finance roles at Ansett Australia and AngloGold Ashanti prior to joining News Corporation in 2002. At News Corporation, Ms. Panuccio held a variety of strategic, operational and finance roles in the UK and Australia. She became CFO of News UK in 2008 and CFO of News Corp Australia in 2013, serving on the Board of Foxtel and the ASX listed REA. In 2017 she became CFO of News Corp, a diversified News and Information services company in New York. During her tenure as CFO she oversaw financial strategy during a transformative period marked by the company’s transition towards a digital and subscription led business, which delivered margin expansion, strong share price growth and shareholder returns. In January 2026, Ms. Panuccio joined Howden Group, the global insurance group, as Group Chief Financial Officer and a Board member, as the company pursues its ambitious plans for the future. Ms. Panuccio earned a Bachelor of Business Administration in Accounting and Technology from Ballarat University.</w:t>
                            </w:r>
                            <w:r>
                              <w:rPr>
                                <w:spacing w:val="4"/>
                              </w:rPr>
                              <w:t xml:space="preserve"> </w:t>
                            </w:r>
                          </w:p>
                          <w:p>
                            <w:pPr>
                              <w:pStyle w:val="TextBody"/>
                              <w:bidi w:val="0"/>
                              <w:spacing w:lineRule="atLeast" w:line="240" w:before="240" w:after="283"/>
                              <w:jc w:val="left"/>
                              <w:rPr>
                                <w:b/>
                              </w:rPr>
                            </w:pPr>
                            <w:r>
                              <w:rPr>
                                <w:b/>
                                <w:spacing w:val="0"/>
                              </w:rPr>
                              <w:t>Qualifications</w:t>
                            </w:r>
                            <w:r>
                              <w:rPr>
                                <w:b/>
                                <w:spacing w:val="4"/>
                              </w:rPr>
                              <w:t xml:space="preserve"> </w:t>
                            </w:r>
                          </w:p>
                          <w:p>
                            <w:pPr>
                              <w:pStyle w:val="TextBody"/>
                              <w:bidi w:val="0"/>
                              <w:spacing w:lineRule="atLeast" w:line="210" w:before="80" w:after="283"/>
                              <w:jc w:val="both"/>
                              <w:rPr/>
                            </w:pPr>
                            <w:r>
                              <w:rPr>
                                <w:spacing w:val="-2"/>
                              </w:rPr>
                              <w:t>Ms. Panuccio’s extensive background in corporate finance, her long-standing experience as a Chief Financial Officer for a large, global media company, and her knowledge of the insurance industry make her exceptionally qualified to serve on the Company’s Board.</w:t>
                            </w:r>
                            <w:r>
                              <w:rPr>
                                <w:spacing w:val="4"/>
                              </w:rPr>
                              <w:t xml:space="preserve"> </w:t>
                            </w:r>
                          </w:p>
                          <w:tbl>
                            <w:tblPr>
                              <w:tblW w:w="5689" w:type="dxa"/>
                              <w:jc w:val="left"/>
                              <w:tblInd w:w="0" w:type="dxa"/>
                              <w:tblLayout w:type="fixed"/>
                              <w:tblCellMar>
                                <w:top w:w="0" w:type="dxa"/>
                                <w:left w:w="0" w:type="dxa"/>
                                <w:bottom w:w="0" w:type="dxa"/>
                                <w:right w:w="0" w:type="dxa"/>
                              </w:tblCellMar>
                            </w:tblPr>
                            <w:tblGrid>
                              <w:gridCol w:w="124"/>
                              <w:gridCol w:w="1751"/>
                              <w:gridCol w:w="109"/>
                              <w:gridCol w:w="109"/>
                              <w:gridCol w:w="3442"/>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364"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86" descr=""/>
                                                <pic:cNvPicPr>
                                                  <a:picLocks noChangeAspect="1" noChangeArrowheads="1"/>
                                                </pic:cNvPicPr>
                                              </pic:nvPicPr>
                                              <pic:blipFill>
                                                <a:blip r:embed="rId95"/>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442" w:type="dxa"/>
                                  <w:tcBorders/>
                                  <w:shd w:fill="E5E5E5" w:val="clear"/>
                                  <w:vAlign w:val="center"/>
                                </w:tcPr>
                                <w:p>
                                  <w:pPr>
                                    <w:pStyle w:val="TableContents"/>
                                    <w:bidi w:val="0"/>
                                    <w:spacing w:lineRule="atLeast" w:line="216" w:before="0" w:after="0"/>
                                    <w:jc w:val="left"/>
                                    <w:rPr>
                                      <w:b/>
                                    </w:rPr>
                                  </w:pPr>
                                  <w:r>
                                    <w:rPr>
                                      <w:b/>
                                      <w:spacing w:val="-2"/>
                                    </w:rPr>
                                    <w:t>R. SCOT SELLERS</w:t>
                                  </w:r>
                                  <w:r>
                                    <w:rPr>
                                      <w:b/>
                                    </w:rPr>
                                    <w:t xml:space="preserve"> </w:t>
                                  </w:r>
                                </w:p>
                                <w:p>
                                  <w:pPr>
                                    <w:pStyle w:val="TableContents"/>
                                    <w:bidi w:val="0"/>
                                    <w:spacing w:lineRule="atLeast" w:line="180" w:before="156" w:after="283"/>
                                    <w:jc w:val="left"/>
                                    <w:rPr/>
                                  </w:pPr>
                                  <w:r>
                                    <w:rPr>
                                      <w:spacing w:val="-1"/>
                                    </w:rPr>
                                    <w:t>Age 69</w:t>
                                  </w:r>
                                  <w:r>
                                    <w:rPr/>
                                    <w:t xml:space="preserve"> </w:t>
                                  </w:r>
                                </w:p>
                                <w:p>
                                  <w:pPr>
                                    <w:pStyle w:val="TableContents"/>
                                    <w:bidi w:val="0"/>
                                    <w:spacing w:lineRule="atLeast" w:line="180" w:before="156" w:after="283"/>
                                    <w:jc w:val="left"/>
                                    <w:rPr/>
                                  </w:pPr>
                                  <w:r>
                                    <w:rPr>
                                      <w:spacing w:val="-1"/>
                                    </w:rPr>
                                    <w:t>Presiding Director since May 2025</w:t>
                                  </w:r>
                                  <w:r>
                                    <w:rPr/>
                                    <w:t xml:space="preserve"> </w:t>
                                  </w:r>
                                </w:p>
                                <w:p>
                                  <w:pPr>
                                    <w:pStyle w:val="TableContents"/>
                                    <w:bidi w:val="0"/>
                                    <w:spacing w:lineRule="atLeast" w:line="215" w:before="156" w:after="283"/>
                                    <w:jc w:val="left"/>
                                    <w:rPr/>
                                  </w:pPr>
                                  <w:r>
                                    <w:rPr>
                                      <w:spacing w:val="-1"/>
                                    </w:rPr>
                                    <w:t xml:space="preserve">Independent director since </w:t>
                                    <w:br/>
                                    <w:t>November 2010</w:t>
                                  </w:r>
                                  <w:r>
                                    <w:rPr/>
                                    <w:t xml:space="preserve"> </w:t>
                                  </w:r>
                                </w:p>
                                <w:p>
                                  <w:pPr>
                                    <w:pStyle w:val="TableContents"/>
                                    <w:bidi w:val="0"/>
                                    <w:spacing w:lineRule="atLeast" w:line="180" w:before="156" w:after="283"/>
                                    <w:jc w:val="left"/>
                                    <w:rPr/>
                                  </w:pPr>
                                  <w:r>
                                    <w:rPr>
                                      <w:spacing w:val="-1"/>
                                    </w:rPr>
                                    <w:t>Committees</w:t>
                                  </w:r>
                                  <w:r>
                                    <w:rPr/>
                                    <w:t xml:space="preserve"> </w:t>
                                  </w:r>
                                </w:p>
                                <w:p>
                                  <w:pPr>
                                    <w:pStyle w:val="TableContents"/>
                                    <w:bidi w:val="0"/>
                                    <w:spacing w:lineRule="atLeast" w:line="180" w:before="76" w:after="0"/>
                                    <w:ind w:left="460" w:right="0" w:hanging="0"/>
                                    <w:jc w:val="left"/>
                                    <w:rPr/>
                                  </w:pPr>
                                  <w:r>
                                    <w:rPr>
                                      <w:spacing w:val="-1"/>
                                    </w:rPr>
                                    <w:t>Compensation (Chair)</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22" w:after="283"/>
                              <w:jc w:val="left"/>
                              <w:rPr>
                                <w:b/>
                              </w:rPr>
                            </w:pPr>
                            <w:r>
                              <w:rPr>
                                <w:b/>
                                <w:spacing w:val="0"/>
                              </w:rPr>
                              <w:t>Background</w:t>
                            </w:r>
                            <w:r>
                              <w:rPr>
                                <w:b/>
                                <w:spacing w:val="4"/>
                              </w:rPr>
                              <w:t xml:space="preserve"> </w:t>
                            </w:r>
                          </w:p>
                          <w:p>
                            <w:pPr>
                              <w:pStyle w:val="TextBody"/>
                              <w:bidi w:val="0"/>
                              <w:spacing w:lineRule="atLeast" w:line="210" w:before="80" w:after="283"/>
                              <w:jc w:val="both"/>
                              <w:rPr/>
                            </w:pPr>
                            <w:r>
                              <w:rPr>
                                <w:b/>
                                <w:spacing w:val="0"/>
                              </w:rPr>
                              <w:t>R. Scot Sellers</w:t>
                            </w:r>
                            <w:r>
                              <w:rPr>
                                <w:spacing w:val="-2"/>
                              </w:rPr>
                              <w:t xml:space="preserve"> has served as Presiding Director of our Board since May 2025 and as a director since </w:t>
                            </w:r>
                          </w:p>
                        </w:txbxContent>
                      </wps:txbx>
                      <wps:bodyPr anchor="t" lIns="0" tIns="0" rIns="0" bIns="0">
                        <a:noAutofit/>
                      </wps:bodyPr>
                    </wps:wsp>
                  </a:graphicData>
                </a:graphic>
              </wp:anchor>
            </w:drawing>
          </mc:Choice>
          <mc:Fallback>
            <w:pict>
              <v:rect style="position:absolute;rotation:-0;width:240.6pt;height:785.2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jc w:val="left"/>
                        <w:rPr>
                          <w:b/>
                        </w:rPr>
                      </w:pPr>
                      <w:r>
                        <w:rPr>
                          <w:b/>
                          <w:spacing w:val="0"/>
                        </w:rPr>
                        <w:t>Other current public company boards</w:t>
                      </w:r>
                      <w:r>
                        <w:rPr>
                          <w:b/>
                          <w:spacing w:val="4"/>
                        </w:rPr>
                        <w:t xml:space="preserve"> </w:t>
                      </w:r>
                    </w:p>
                    <w:p>
                      <w:pPr>
                        <w:pStyle w:val="TextBody"/>
                        <w:bidi w:val="0"/>
                        <w:spacing w:lineRule="atLeast" w:line="240" w:before="153" w:after="0"/>
                        <w:ind w:left="360" w:right="0" w:hanging="0"/>
                        <w:jc w:val="left"/>
                        <w:rPr/>
                      </w:pPr>
                      <w:r>
                        <w:rPr>
                          <w:spacing w:val="-2"/>
                        </w:rPr>
                        <w:t>Kite Realty Group Trust</w:t>
                      </w:r>
                      <w:r>
                        <w:rPr>
                          <w:spacing w:val="4"/>
                        </w:rPr>
                        <w:t xml:space="preserve"> </w:t>
                      </w:r>
                    </w:p>
                    <w:p>
                      <w:pPr>
                        <w:pStyle w:val="TextBody"/>
                        <w:bidi w:val="0"/>
                        <w:spacing w:before="0" w:after="0"/>
                        <w:ind w:left="0" w:right="0" w:hanging="0"/>
                        <w:jc w:val="left"/>
                        <w:rPr/>
                      </w:pPr>
                      <w:r>
                        <w:rPr/>
                        <w:t>​</w:t>
                      </w:r>
                    </w:p>
                    <w:tbl>
                      <w:tblPr>
                        <w:tblW w:w="4882" w:type="dxa"/>
                        <w:jc w:val="left"/>
                        <w:tblInd w:w="0" w:type="dxa"/>
                        <w:tblLayout w:type="fixed"/>
                        <w:tblCellMar>
                          <w:top w:w="0" w:type="dxa"/>
                          <w:left w:w="0" w:type="dxa"/>
                          <w:bottom w:w="0" w:type="dxa"/>
                          <w:right w:w="0" w:type="dxa"/>
                        </w:tblCellMar>
                      </w:tblPr>
                      <w:tblGrid>
                        <w:gridCol w:w="124"/>
                        <w:gridCol w:w="1751"/>
                        <w:gridCol w:w="109"/>
                        <w:gridCol w:w="109"/>
                        <w:gridCol w:w="2635"/>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36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85" descr=""/>
                                          <pic:cNvPicPr>
                                            <a:picLocks noChangeAspect="1" noChangeArrowheads="1"/>
                                          </pic:cNvPicPr>
                                        </pic:nvPicPr>
                                        <pic:blipFill>
                                          <a:blip r:embed="rId96"/>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635" w:type="dxa"/>
                            <w:tcBorders/>
                            <w:shd w:fill="E5E5E5" w:val="clear"/>
                            <w:vAlign w:val="center"/>
                          </w:tcPr>
                          <w:p>
                            <w:pPr>
                              <w:pStyle w:val="TableContents"/>
                              <w:bidi w:val="0"/>
                              <w:spacing w:lineRule="atLeast" w:line="216" w:before="0" w:after="0"/>
                              <w:jc w:val="left"/>
                              <w:rPr>
                                <w:b/>
                              </w:rPr>
                            </w:pPr>
                            <w:r>
                              <w:rPr>
                                <w:b/>
                                <w:caps/>
                                <w:spacing w:val="-2"/>
                              </w:rPr>
                              <w:t>SUSAN PANUCCIO</w:t>
                            </w:r>
                            <w:r>
                              <w:rPr>
                                <w:b/>
                              </w:rPr>
                              <w:t xml:space="preserve"> </w:t>
                            </w:r>
                          </w:p>
                          <w:p>
                            <w:pPr>
                              <w:pStyle w:val="TableContents"/>
                              <w:bidi w:val="0"/>
                              <w:spacing w:lineRule="atLeast" w:line="180" w:before="156" w:after="283"/>
                              <w:jc w:val="left"/>
                              <w:rPr/>
                            </w:pPr>
                            <w:r>
                              <w:rPr>
                                <w:spacing w:val="-1"/>
                              </w:rPr>
                              <w:t>Age 54</w:t>
                            </w:r>
                            <w:r>
                              <w:rPr/>
                              <w:t xml:space="preserve"> </w:t>
                            </w:r>
                          </w:p>
                          <w:p>
                            <w:pPr>
                              <w:pStyle w:val="TableContents"/>
                              <w:bidi w:val="0"/>
                              <w:spacing w:lineRule="atLeast" w:line="216" w:before="156" w:after="283"/>
                              <w:jc w:val="left"/>
                              <w:rPr/>
                            </w:pPr>
                            <w:r>
                              <w:rPr>
                                <w:spacing w:val="-1"/>
                              </w:rPr>
                              <w:t xml:space="preserve">Independent director since </w:t>
                              <w:br/>
                              <w:t>September 2025</w:t>
                            </w:r>
                            <w:r>
                              <w:rPr/>
                              <w:t xml:space="preserve"> </w:t>
                            </w:r>
                          </w:p>
                          <w:p>
                            <w:pPr>
                              <w:pStyle w:val="TableContents"/>
                              <w:bidi w:val="0"/>
                              <w:spacing w:lineRule="atLeast" w:line="180" w:before="156" w:after="283"/>
                              <w:jc w:val="left"/>
                              <w:rPr/>
                            </w:pPr>
                            <w:r>
                              <w:rPr>
                                <w:spacing w:val="-1"/>
                              </w:rPr>
                              <w:t>Committees</w:t>
                            </w:r>
                            <w:r>
                              <w:rPr/>
                              <w:t xml:space="preserve"> </w:t>
                            </w:r>
                          </w:p>
                          <w:p>
                            <w:pPr>
                              <w:pStyle w:val="TableContents"/>
                              <w:bidi w:val="0"/>
                              <w:spacing w:lineRule="atLeast" w:line="180" w:before="76" w:after="0"/>
                              <w:ind w:left="460" w:right="0" w:hanging="0"/>
                              <w:jc w:val="left"/>
                              <w:rPr/>
                            </w:pPr>
                            <w:r>
                              <w:rPr>
                                <w:spacing w:val="-1"/>
                              </w:rPr>
                              <w:t>Audit (Chair)</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22" w:after="283"/>
                        <w:jc w:val="left"/>
                        <w:rPr>
                          <w:b/>
                        </w:rPr>
                      </w:pPr>
                      <w:r>
                        <w:rPr>
                          <w:b/>
                          <w:spacing w:val="0"/>
                        </w:rPr>
                        <w:t>Background</w:t>
                      </w:r>
                      <w:r>
                        <w:rPr>
                          <w:b/>
                          <w:spacing w:val="4"/>
                        </w:rPr>
                        <w:t xml:space="preserve"> </w:t>
                      </w:r>
                    </w:p>
                    <w:p>
                      <w:pPr>
                        <w:pStyle w:val="TextBody"/>
                        <w:bidi w:val="0"/>
                        <w:spacing w:lineRule="atLeast" w:line="210" w:before="80" w:after="283"/>
                        <w:jc w:val="both"/>
                        <w:rPr/>
                      </w:pPr>
                      <w:r>
                        <w:rPr>
                          <w:b/>
                          <w:spacing w:val="0"/>
                        </w:rPr>
                        <w:t>Susan Panuccio</w:t>
                      </w:r>
                      <w:r>
                        <w:rPr>
                          <w:spacing w:val="-2"/>
                        </w:rPr>
                        <w:t xml:space="preserve"> has served as a director and Chair of our Audit Committee since September 2025. Ms. Panuccio started her professional career with KPMG, and held finance roles at Ansett Australia and AngloGold Ashanti prior to joining News Corporation in 2002. At News Corporation, Ms. Panuccio held a variety of strategic, operational and finance roles in the UK and Australia. She became CFO of News UK in 2008 and CFO of News Corp Australia in 2013, serving on the Board of Foxtel and the ASX listed REA. In 2017 she became CFO of News Corp, a diversified News and Information services company in New York. During her tenure as CFO she oversaw financial strategy during a transformative period marked by the company’s transition towards a digital and subscription led business, which delivered margin expansion, strong share price growth and shareholder returns. In January 2026, Ms. Panuccio joined Howden Group, the global insurance group, as Group Chief Financial Officer and a Board member, as the company pursues its ambitious plans for the future. Ms. Panuccio earned a Bachelor of Business Administration in Accounting and Technology from Ballarat University.</w:t>
                      </w:r>
                      <w:r>
                        <w:rPr>
                          <w:spacing w:val="4"/>
                        </w:rPr>
                        <w:t xml:space="preserve"> </w:t>
                      </w:r>
                    </w:p>
                    <w:p>
                      <w:pPr>
                        <w:pStyle w:val="TextBody"/>
                        <w:bidi w:val="0"/>
                        <w:spacing w:lineRule="atLeast" w:line="240" w:before="240" w:after="283"/>
                        <w:jc w:val="left"/>
                        <w:rPr>
                          <w:b/>
                        </w:rPr>
                      </w:pPr>
                      <w:r>
                        <w:rPr>
                          <w:b/>
                          <w:spacing w:val="0"/>
                        </w:rPr>
                        <w:t>Qualifications</w:t>
                      </w:r>
                      <w:r>
                        <w:rPr>
                          <w:b/>
                          <w:spacing w:val="4"/>
                        </w:rPr>
                        <w:t xml:space="preserve"> </w:t>
                      </w:r>
                    </w:p>
                    <w:p>
                      <w:pPr>
                        <w:pStyle w:val="TextBody"/>
                        <w:bidi w:val="0"/>
                        <w:spacing w:lineRule="atLeast" w:line="210" w:before="80" w:after="283"/>
                        <w:jc w:val="both"/>
                        <w:rPr/>
                      </w:pPr>
                      <w:r>
                        <w:rPr>
                          <w:spacing w:val="-2"/>
                        </w:rPr>
                        <w:t>Ms. Panuccio’s extensive background in corporate finance, her long-standing experience as a Chief Financial Officer for a large, global media company, and her knowledge of the insurance industry make her exceptionally qualified to serve on the Company’s Board.</w:t>
                      </w:r>
                      <w:r>
                        <w:rPr>
                          <w:spacing w:val="4"/>
                        </w:rPr>
                        <w:t xml:space="preserve"> </w:t>
                      </w:r>
                    </w:p>
                    <w:tbl>
                      <w:tblPr>
                        <w:tblW w:w="5689" w:type="dxa"/>
                        <w:jc w:val="left"/>
                        <w:tblInd w:w="0" w:type="dxa"/>
                        <w:tblLayout w:type="fixed"/>
                        <w:tblCellMar>
                          <w:top w:w="0" w:type="dxa"/>
                          <w:left w:w="0" w:type="dxa"/>
                          <w:bottom w:w="0" w:type="dxa"/>
                          <w:right w:w="0" w:type="dxa"/>
                        </w:tblCellMar>
                      </w:tblPr>
                      <w:tblGrid>
                        <w:gridCol w:w="124"/>
                        <w:gridCol w:w="1751"/>
                        <w:gridCol w:w="109"/>
                        <w:gridCol w:w="109"/>
                        <w:gridCol w:w="3442"/>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36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86" descr=""/>
                                          <pic:cNvPicPr>
                                            <a:picLocks noChangeAspect="1" noChangeArrowheads="1"/>
                                          </pic:cNvPicPr>
                                        </pic:nvPicPr>
                                        <pic:blipFill>
                                          <a:blip r:embed="rId97"/>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442" w:type="dxa"/>
                            <w:tcBorders/>
                            <w:shd w:fill="E5E5E5" w:val="clear"/>
                            <w:vAlign w:val="center"/>
                          </w:tcPr>
                          <w:p>
                            <w:pPr>
                              <w:pStyle w:val="TableContents"/>
                              <w:bidi w:val="0"/>
                              <w:spacing w:lineRule="atLeast" w:line="216" w:before="0" w:after="0"/>
                              <w:jc w:val="left"/>
                              <w:rPr>
                                <w:b/>
                              </w:rPr>
                            </w:pPr>
                            <w:r>
                              <w:rPr>
                                <w:b/>
                                <w:spacing w:val="-2"/>
                              </w:rPr>
                              <w:t>R. SCOT SELLERS</w:t>
                            </w:r>
                            <w:r>
                              <w:rPr>
                                <w:b/>
                              </w:rPr>
                              <w:t xml:space="preserve"> </w:t>
                            </w:r>
                          </w:p>
                          <w:p>
                            <w:pPr>
                              <w:pStyle w:val="TableContents"/>
                              <w:bidi w:val="0"/>
                              <w:spacing w:lineRule="atLeast" w:line="180" w:before="156" w:after="283"/>
                              <w:jc w:val="left"/>
                              <w:rPr/>
                            </w:pPr>
                            <w:r>
                              <w:rPr>
                                <w:spacing w:val="-1"/>
                              </w:rPr>
                              <w:t>Age 69</w:t>
                            </w:r>
                            <w:r>
                              <w:rPr/>
                              <w:t xml:space="preserve"> </w:t>
                            </w:r>
                          </w:p>
                          <w:p>
                            <w:pPr>
                              <w:pStyle w:val="TableContents"/>
                              <w:bidi w:val="0"/>
                              <w:spacing w:lineRule="atLeast" w:line="180" w:before="156" w:after="283"/>
                              <w:jc w:val="left"/>
                              <w:rPr/>
                            </w:pPr>
                            <w:r>
                              <w:rPr>
                                <w:spacing w:val="-1"/>
                              </w:rPr>
                              <w:t>Presiding Director since May 2025</w:t>
                            </w:r>
                            <w:r>
                              <w:rPr/>
                              <w:t xml:space="preserve"> </w:t>
                            </w:r>
                          </w:p>
                          <w:p>
                            <w:pPr>
                              <w:pStyle w:val="TableContents"/>
                              <w:bidi w:val="0"/>
                              <w:spacing w:lineRule="atLeast" w:line="215" w:before="156" w:after="283"/>
                              <w:jc w:val="left"/>
                              <w:rPr/>
                            </w:pPr>
                            <w:r>
                              <w:rPr>
                                <w:spacing w:val="-1"/>
                              </w:rPr>
                              <w:t xml:space="preserve">Independent director since </w:t>
                              <w:br/>
                              <w:t>November 2010</w:t>
                            </w:r>
                            <w:r>
                              <w:rPr/>
                              <w:t xml:space="preserve"> </w:t>
                            </w:r>
                          </w:p>
                          <w:p>
                            <w:pPr>
                              <w:pStyle w:val="TableContents"/>
                              <w:bidi w:val="0"/>
                              <w:spacing w:lineRule="atLeast" w:line="180" w:before="156" w:after="283"/>
                              <w:jc w:val="left"/>
                              <w:rPr/>
                            </w:pPr>
                            <w:r>
                              <w:rPr>
                                <w:spacing w:val="-1"/>
                              </w:rPr>
                              <w:t>Committees</w:t>
                            </w:r>
                            <w:r>
                              <w:rPr/>
                              <w:t xml:space="preserve"> </w:t>
                            </w:r>
                          </w:p>
                          <w:p>
                            <w:pPr>
                              <w:pStyle w:val="TableContents"/>
                              <w:bidi w:val="0"/>
                              <w:spacing w:lineRule="atLeast" w:line="180" w:before="76" w:after="0"/>
                              <w:ind w:left="460" w:right="0" w:hanging="0"/>
                              <w:jc w:val="left"/>
                              <w:rPr/>
                            </w:pPr>
                            <w:r>
                              <w:rPr>
                                <w:spacing w:val="-1"/>
                              </w:rPr>
                              <w:t>Compensation (Chair)</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22" w:after="283"/>
                        <w:jc w:val="left"/>
                        <w:rPr>
                          <w:b/>
                        </w:rPr>
                      </w:pPr>
                      <w:r>
                        <w:rPr>
                          <w:b/>
                          <w:spacing w:val="0"/>
                        </w:rPr>
                        <w:t>Background</w:t>
                      </w:r>
                      <w:r>
                        <w:rPr>
                          <w:b/>
                          <w:spacing w:val="4"/>
                        </w:rPr>
                        <w:t xml:space="preserve"> </w:t>
                      </w:r>
                    </w:p>
                    <w:p>
                      <w:pPr>
                        <w:pStyle w:val="TextBody"/>
                        <w:bidi w:val="0"/>
                        <w:spacing w:lineRule="atLeast" w:line="210" w:before="80" w:after="283"/>
                        <w:jc w:val="both"/>
                        <w:rPr/>
                      </w:pPr>
                      <w:r>
                        <w:rPr>
                          <w:b/>
                          <w:spacing w:val="0"/>
                        </w:rPr>
                        <w:t>R. Scot Sellers</w:t>
                      </w:r>
                      <w:r>
                        <w:rPr>
                          <w:spacing w:val="-2"/>
                        </w:rPr>
                        <w:t xml:space="preserve"> has served as Presiding Director of our Board since May 2025 and as a director since </w:t>
                      </w:r>
                    </w:p>
                  </w:txbxContent>
                </v:textbox>
                <w10:wrap type="square" side="right"/>
              </v:rect>
            </w:pict>
          </mc:Fallback>
        </mc:AlternateContent>
      </w:r>
      <w:r>
        <mc:AlternateContent>
          <mc:Choice Requires="wps">
            <w:drawing>
              <wp:anchor behindDoc="0" distT="0" distB="0" distL="304800" distR="0" simplePos="0" locked="0" layoutInCell="1" allowOverlap="1" relativeHeight="55">
                <wp:simplePos x="0" y="0"/>
                <wp:positionH relativeFrom="column">
                  <wp:align>left</wp:align>
                </wp:positionH>
                <wp:positionV relativeFrom="line">
                  <wp:posOffset>635</wp:posOffset>
                </wp:positionV>
                <wp:extent cx="3055620" cy="9972040"/>
                <wp:effectExtent l="0" t="0" r="0" b="0"/>
                <wp:wrapSquare wrapText="right"/>
                <wp:docPr id="367" name="Frame274"/>
                <a:graphic xmlns:a="http://schemas.openxmlformats.org/drawingml/2006/main">
                  <a:graphicData uri="http://schemas.microsoft.com/office/word/2010/wordprocessingShape">
                    <wps:wsp>
                      <wps:cNvSpPr txBox="1"/>
                      <wps:spPr>
                        <a:xfrm>
                          <a:off x="0" y="0"/>
                          <a:ext cx="3055620" cy="9972040"/>
                        </a:xfrm>
                        <a:prstGeom prst="rect"/>
                        <a:solidFill>
                          <a:srgbClr val="FFFFFF"/>
                        </a:solidFill>
                      </wps:spPr>
                      <wps:txbx>
                        <w:txbxContent>
                          <w:p>
                            <w:pPr>
                              <w:pStyle w:val="TextBody"/>
                              <w:bidi w:val="0"/>
                              <w:spacing w:lineRule="atLeast" w:line="220" w:before="0" w:after="0"/>
                              <w:jc w:val="both"/>
                              <w:rPr/>
                            </w:pPr>
                            <w:r>
                              <w:rPr>
                                <w:spacing w:val="-2"/>
                              </w:rPr>
                              <w:t>November 2010. Previously, Mr. Sellers served as Chairman of our Board from May 2024 to May 2025. Mr. Sellers brings to the Board the expertise of a 45-year career in the real estate industry. From January 1997 until February 2013, Mr. Sellers served as the Chief Executive Officer of Archstone, one of the world’s largest apartment companies. He also served as Archstone’s Chief Investment Officer from 1995 until January 1997. Under his leadership, Archstone moved from being a mid-sized owner of apartments in secondary and tertiary cities to the largest publicly traded owner of urban high-rise apartments in the nation’s premier cities with a market capitalization of more than $22 billion. During his career, Mr. Sellers has been responsible for the development, acquisition, and operation of over $40 billion of apartment communities in over 50 different cities across the United States. In addition, Mr. Sellers served as the chairman of the National Association of Real Estate Investment Trusts from November 2005 until November 2006 and on the International Board of Directors of Habitat for Humanity from June 2013 through November 2020. He currently serves on the board of two privately held companies: The Irvine Company and Milhaus LLC. Mr. Sellers has also served as Chairman of the Board of the Maui Land and Pineapple (“MLP”) Company, Inc., a master planned community developer, since May 2023, and serves on MLP’s Compensation Committee.</w:t>
                            </w:r>
                            <w:r>
                              <w:rPr>
                                <w:spacing w:val="4"/>
                              </w:rPr>
                              <w:t xml:space="preserve"> </w:t>
                            </w:r>
                          </w:p>
                          <w:p>
                            <w:pPr>
                              <w:pStyle w:val="TextBody"/>
                              <w:bidi w:val="0"/>
                              <w:spacing w:lineRule="atLeast" w:line="240" w:before="240" w:after="283"/>
                              <w:jc w:val="left"/>
                              <w:rPr>
                                <w:b/>
                              </w:rPr>
                            </w:pPr>
                            <w:r>
                              <w:rPr>
                                <w:b/>
                                <w:spacing w:val="0"/>
                              </w:rPr>
                              <w:t>Qualifications</w:t>
                            </w:r>
                            <w:r>
                              <w:rPr>
                                <w:b/>
                                <w:spacing w:val="4"/>
                              </w:rPr>
                              <w:t xml:space="preserve"> </w:t>
                            </w:r>
                          </w:p>
                          <w:p>
                            <w:pPr>
                              <w:pStyle w:val="TextBody"/>
                              <w:bidi w:val="0"/>
                              <w:spacing w:lineRule="atLeast" w:line="220" w:before="80" w:after="283"/>
                              <w:jc w:val="both"/>
                              <w:rPr/>
                            </w:pPr>
                            <w:r>
                              <w:rPr>
                                <w:spacing w:val="-2"/>
                              </w:rPr>
                              <w:t>Mr. Sellers’ extensive experience in the real estate industry, evidenced by the broad growth of Archstone under his leadership and his dedicated board and committee service within the industry, provide him with valuable industry-specific insight, knowledge and expertise, making him particularly suited to provide guidance to the Board.</w:t>
                            </w:r>
                            <w:r>
                              <w:rPr>
                                <w:spacing w:val="4"/>
                              </w:rPr>
                              <w:t xml:space="preserve"> </w:t>
                            </w:r>
                          </w:p>
                          <w:p>
                            <w:pPr>
                              <w:pStyle w:val="TextBody"/>
                              <w:bidi w:val="0"/>
                              <w:spacing w:lineRule="atLeast" w:line="240" w:before="240" w:after="283"/>
                              <w:jc w:val="left"/>
                              <w:rPr>
                                <w:b/>
                              </w:rPr>
                            </w:pPr>
                            <w:r>
                              <w:rPr>
                                <w:b/>
                                <w:spacing w:val="0"/>
                              </w:rPr>
                              <w:t>Other current public company boards</w:t>
                            </w:r>
                            <w:r>
                              <w:rPr>
                                <w:b/>
                                <w:spacing w:val="4"/>
                              </w:rPr>
                              <w:t xml:space="preserve"> </w:t>
                            </w:r>
                          </w:p>
                          <w:p>
                            <w:pPr>
                              <w:pStyle w:val="TextBody"/>
                              <w:bidi w:val="0"/>
                              <w:spacing w:lineRule="atLeast" w:line="240" w:before="240" w:after="0"/>
                              <w:ind w:left="360" w:right="0" w:hanging="0"/>
                              <w:jc w:val="left"/>
                              <w:rPr/>
                            </w:pPr>
                            <w:r>
                              <w:rPr>
                                <w:spacing w:val="-2"/>
                              </w:rPr>
                              <w:t>Maui Land &amp; Pineapple Company, Inc.</w:t>
                            </w:r>
                            <w:r>
                              <w:rPr>
                                <w:spacing w:val="4"/>
                              </w:rPr>
                              <w:t xml:space="preserve"> </w:t>
                            </w:r>
                          </w:p>
                          <w:p>
                            <w:pPr>
                              <w:pStyle w:val="TextBody"/>
                              <w:bidi w:val="0"/>
                              <w:spacing w:before="0" w:after="0"/>
                              <w:ind w:left="0" w:right="0" w:hanging="0"/>
                              <w:jc w:val="left"/>
                              <w:rPr/>
                            </w:pPr>
                            <w:r>
                              <w:rPr/>
                              <w:t>​</w:t>
                            </w:r>
                          </w:p>
                          <w:tbl>
                            <w:tblPr>
                              <w:tblW w:w="6595" w:type="dxa"/>
                              <w:jc w:val="left"/>
                              <w:tblInd w:w="0" w:type="dxa"/>
                              <w:tblLayout w:type="fixed"/>
                              <w:tblCellMar>
                                <w:top w:w="0" w:type="dxa"/>
                                <w:left w:w="0" w:type="dxa"/>
                                <w:bottom w:w="0" w:type="dxa"/>
                                <w:right w:w="0" w:type="dxa"/>
                              </w:tblCellMar>
                            </w:tblPr>
                            <w:tblGrid>
                              <w:gridCol w:w="124"/>
                              <w:gridCol w:w="1751"/>
                              <w:gridCol w:w="109"/>
                              <w:gridCol w:w="109"/>
                              <w:gridCol w:w="4348"/>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36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87" descr=""/>
                                                <pic:cNvPicPr>
                                                  <a:picLocks noChangeAspect="1" noChangeArrowheads="1"/>
                                                </pic:cNvPicPr>
                                              </pic:nvPicPr>
                                              <pic:blipFill>
                                                <a:blip r:embed="rId98"/>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4348" w:type="dxa"/>
                                  <w:tcBorders/>
                                  <w:shd w:fill="E5E5E5" w:val="clear"/>
                                  <w:vAlign w:val="center"/>
                                </w:tcPr>
                                <w:p>
                                  <w:pPr>
                                    <w:pStyle w:val="TableContents"/>
                                    <w:bidi w:val="0"/>
                                    <w:spacing w:lineRule="atLeast" w:line="216" w:before="0" w:after="0"/>
                                    <w:jc w:val="left"/>
                                    <w:rPr>
                                      <w:b/>
                                    </w:rPr>
                                  </w:pPr>
                                  <w:r>
                                    <w:rPr>
                                      <w:b/>
                                      <w:spacing w:val="-2"/>
                                    </w:rPr>
                                    <w:t>MARY ANN TIGHE</w:t>
                                  </w:r>
                                  <w:r>
                                    <w:rPr>
                                      <w:b/>
                                    </w:rPr>
                                    <w:t xml:space="preserve"> </w:t>
                                  </w:r>
                                </w:p>
                                <w:p>
                                  <w:pPr>
                                    <w:pStyle w:val="TableContents"/>
                                    <w:bidi w:val="0"/>
                                    <w:spacing w:lineRule="atLeast" w:line="180" w:before="156" w:after="283"/>
                                    <w:jc w:val="left"/>
                                    <w:rPr/>
                                  </w:pPr>
                                  <w:r>
                                    <w:rPr>
                                      <w:spacing w:val="-1"/>
                                    </w:rPr>
                                    <w:t>Age 77</w:t>
                                  </w:r>
                                  <w:r>
                                    <w:rPr/>
                                    <w:t xml:space="preserve"> </w:t>
                                  </w:r>
                                </w:p>
                                <w:p>
                                  <w:pPr>
                                    <w:pStyle w:val="TableContents"/>
                                    <w:bidi w:val="0"/>
                                    <w:spacing w:lineRule="atLeast" w:line="216" w:before="156" w:after="283"/>
                                    <w:jc w:val="left"/>
                                    <w:rPr/>
                                  </w:pPr>
                                  <w:r>
                                    <w:rPr>
                                      <w:spacing w:val="-1"/>
                                    </w:rPr>
                                    <w:t xml:space="preserve">Independent director since </w:t>
                                    <w:br/>
                                    <w:t>October 2011</w:t>
                                  </w:r>
                                  <w:r>
                                    <w:rPr/>
                                    <w:t xml:space="preserve"> </w:t>
                                  </w:r>
                                </w:p>
                                <w:p>
                                  <w:pPr>
                                    <w:pStyle w:val="TableContents"/>
                                    <w:bidi w:val="0"/>
                                    <w:spacing w:lineRule="atLeast" w:line="180" w:before="156" w:after="283"/>
                                    <w:jc w:val="left"/>
                                    <w:rPr/>
                                  </w:pPr>
                                  <w:r>
                                    <w:rPr>
                                      <w:spacing w:val="-1"/>
                                    </w:rPr>
                                    <w:t>Committees</w:t>
                                  </w:r>
                                  <w:r>
                                    <w:rPr/>
                                    <w:t xml:space="preserve"> </w:t>
                                  </w:r>
                                </w:p>
                                <w:p>
                                  <w:pPr>
                                    <w:pStyle w:val="TableContents"/>
                                    <w:bidi w:val="0"/>
                                    <w:spacing w:lineRule="atLeast" w:line="180" w:before="76" w:after="0"/>
                                    <w:ind w:left="460" w:right="0" w:hanging="0"/>
                                    <w:jc w:val="left"/>
                                    <w:rPr/>
                                  </w:pPr>
                                  <w:r>
                                    <w:rPr>
                                      <w:spacing w:val="-1"/>
                                    </w:rPr>
                                    <w:t>Compensation</w:t>
                                  </w:r>
                                  <w:r>
                                    <w:rPr/>
                                    <w:t xml:space="preserve"> </w:t>
                                  </w:r>
                                </w:p>
                                <w:p>
                                  <w:pPr>
                                    <w:pStyle w:val="TableContents"/>
                                    <w:bidi w:val="0"/>
                                    <w:spacing w:before="0" w:after="0"/>
                                    <w:ind w:left="0" w:right="0" w:hanging="0"/>
                                    <w:jc w:val="left"/>
                                    <w:rPr/>
                                  </w:pPr>
                                  <w:r>
                                    <w:rPr/>
                                    <w:t>​</w:t>
                                  </w:r>
                                </w:p>
                                <w:p>
                                  <w:pPr>
                                    <w:pStyle w:val="TableContents"/>
                                    <w:bidi w:val="0"/>
                                    <w:spacing w:lineRule="atLeast" w:line="216" w:before="76" w:after="0"/>
                                    <w:ind w:left="460" w:right="0" w:hanging="0"/>
                                    <w:jc w:val="left"/>
                                    <w:rPr/>
                                  </w:pPr>
                                  <w:r>
                                    <w:rPr>
                                      <w:spacing w:val="-1"/>
                                    </w:rPr>
                                    <w:t>Nominating and Corporate Governance</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jc w:val="left"/>
                              <w:rPr>
                                <w:b/>
                              </w:rPr>
                            </w:pPr>
                            <w:r>
                              <w:rPr>
                                <w:b/>
                                <w:spacing w:val="0"/>
                              </w:rPr>
                              <w:t>Background</w:t>
                            </w:r>
                            <w:r>
                              <w:rPr>
                                <w:b/>
                                <w:spacing w:val="4"/>
                              </w:rPr>
                              <w:t xml:space="preserve"> </w:t>
                            </w:r>
                          </w:p>
                          <w:p>
                            <w:pPr>
                              <w:pStyle w:val="TextBody"/>
                              <w:bidi w:val="0"/>
                              <w:spacing w:lineRule="atLeast" w:line="220" w:before="80" w:after="283"/>
                              <w:jc w:val="both"/>
                              <w:rPr/>
                            </w:pPr>
                            <w:r>
                              <w:rPr>
                                <w:b/>
                                <w:spacing w:val="0"/>
                              </w:rPr>
                              <w:t>Mary Ann Tighe</w:t>
                            </w:r>
                            <w:r>
                              <w:rPr>
                                <w:spacing w:val="-2"/>
                              </w:rPr>
                              <w:t xml:space="preserve"> has served as a director since October 2011. Ms. Tighe has been credited with transforming New York’s skyline during her more than 40 years in the real estate industry. Ms. Tighe has been </w:t>
                            </w:r>
                          </w:p>
                        </w:txbxContent>
                      </wps:txbx>
                      <wps:bodyPr anchor="t" lIns="0" tIns="0" rIns="0" bIns="0">
                        <a:noAutofit/>
                      </wps:bodyPr>
                    </wps:wsp>
                  </a:graphicData>
                </a:graphic>
              </wp:anchor>
            </w:drawing>
          </mc:Choice>
          <mc:Fallback>
            <w:pict>
              <v:rect style="position:absolute;rotation:-0;width:240.6pt;height:785.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20" w:before="0" w:after="0"/>
                        <w:jc w:val="both"/>
                        <w:rPr/>
                      </w:pPr>
                      <w:r>
                        <w:rPr>
                          <w:spacing w:val="-2"/>
                        </w:rPr>
                        <w:t>November 2010. Previously, Mr. Sellers served as Chairman of our Board from May 2024 to May 2025. Mr. Sellers brings to the Board the expertise of a 45-year career in the real estate industry. From January 1997 until February 2013, Mr. Sellers served as the Chief Executive Officer of Archstone, one of the world’s largest apartment companies. He also served as Archstone’s Chief Investment Officer from 1995 until January 1997. Under his leadership, Archstone moved from being a mid-sized owner of apartments in secondary and tertiary cities to the largest publicly traded owner of urban high-rise apartments in the nation’s premier cities with a market capitalization of more than $22 billion. During his career, Mr. Sellers has been responsible for the development, acquisition, and operation of over $40 billion of apartment communities in over 50 different cities across the United States. In addition, Mr. Sellers served as the chairman of the National Association of Real Estate Investment Trusts from November 2005 until November 2006 and on the International Board of Directors of Habitat for Humanity from June 2013 through November 2020. He currently serves on the board of two privately held companies: The Irvine Company and Milhaus LLC. Mr. Sellers has also served as Chairman of the Board of the Maui Land and Pineapple (“MLP”) Company, Inc., a master planned community developer, since May 2023, and serves on MLP’s Compensation Committee.</w:t>
                      </w:r>
                      <w:r>
                        <w:rPr>
                          <w:spacing w:val="4"/>
                        </w:rPr>
                        <w:t xml:space="preserve"> </w:t>
                      </w:r>
                    </w:p>
                    <w:p>
                      <w:pPr>
                        <w:pStyle w:val="TextBody"/>
                        <w:bidi w:val="0"/>
                        <w:spacing w:lineRule="atLeast" w:line="240" w:before="240" w:after="283"/>
                        <w:jc w:val="left"/>
                        <w:rPr>
                          <w:b/>
                        </w:rPr>
                      </w:pPr>
                      <w:r>
                        <w:rPr>
                          <w:b/>
                          <w:spacing w:val="0"/>
                        </w:rPr>
                        <w:t>Qualifications</w:t>
                      </w:r>
                      <w:r>
                        <w:rPr>
                          <w:b/>
                          <w:spacing w:val="4"/>
                        </w:rPr>
                        <w:t xml:space="preserve"> </w:t>
                      </w:r>
                    </w:p>
                    <w:p>
                      <w:pPr>
                        <w:pStyle w:val="TextBody"/>
                        <w:bidi w:val="0"/>
                        <w:spacing w:lineRule="atLeast" w:line="220" w:before="80" w:after="283"/>
                        <w:jc w:val="both"/>
                        <w:rPr/>
                      </w:pPr>
                      <w:r>
                        <w:rPr>
                          <w:spacing w:val="-2"/>
                        </w:rPr>
                        <w:t>Mr. Sellers’ extensive experience in the real estate industry, evidenced by the broad growth of Archstone under his leadership and his dedicated board and committee service within the industry, provide him with valuable industry-specific insight, knowledge and expertise, making him particularly suited to provide guidance to the Board.</w:t>
                      </w:r>
                      <w:r>
                        <w:rPr>
                          <w:spacing w:val="4"/>
                        </w:rPr>
                        <w:t xml:space="preserve"> </w:t>
                      </w:r>
                    </w:p>
                    <w:p>
                      <w:pPr>
                        <w:pStyle w:val="TextBody"/>
                        <w:bidi w:val="0"/>
                        <w:spacing w:lineRule="atLeast" w:line="240" w:before="240" w:after="283"/>
                        <w:jc w:val="left"/>
                        <w:rPr>
                          <w:b/>
                        </w:rPr>
                      </w:pPr>
                      <w:r>
                        <w:rPr>
                          <w:b/>
                          <w:spacing w:val="0"/>
                        </w:rPr>
                        <w:t>Other current public company boards</w:t>
                      </w:r>
                      <w:r>
                        <w:rPr>
                          <w:b/>
                          <w:spacing w:val="4"/>
                        </w:rPr>
                        <w:t xml:space="preserve"> </w:t>
                      </w:r>
                    </w:p>
                    <w:p>
                      <w:pPr>
                        <w:pStyle w:val="TextBody"/>
                        <w:bidi w:val="0"/>
                        <w:spacing w:lineRule="atLeast" w:line="240" w:before="240" w:after="0"/>
                        <w:ind w:left="360" w:right="0" w:hanging="0"/>
                        <w:jc w:val="left"/>
                        <w:rPr/>
                      </w:pPr>
                      <w:r>
                        <w:rPr>
                          <w:spacing w:val="-2"/>
                        </w:rPr>
                        <w:t>Maui Land &amp; Pineapple Company, Inc.</w:t>
                      </w:r>
                      <w:r>
                        <w:rPr>
                          <w:spacing w:val="4"/>
                        </w:rPr>
                        <w:t xml:space="preserve"> </w:t>
                      </w:r>
                    </w:p>
                    <w:p>
                      <w:pPr>
                        <w:pStyle w:val="TextBody"/>
                        <w:bidi w:val="0"/>
                        <w:spacing w:before="0" w:after="0"/>
                        <w:ind w:left="0" w:right="0" w:hanging="0"/>
                        <w:jc w:val="left"/>
                        <w:rPr/>
                      </w:pPr>
                      <w:r>
                        <w:rPr/>
                        <w:t>​</w:t>
                      </w:r>
                    </w:p>
                    <w:tbl>
                      <w:tblPr>
                        <w:tblW w:w="6595" w:type="dxa"/>
                        <w:jc w:val="left"/>
                        <w:tblInd w:w="0" w:type="dxa"/>
                        <w:tblLayout w:type="fixed"/>
                        <w:tblCellMar>
                          <w:top w:w="0" w:type="dxa"/>
                          <w:left w:w="0" w:type="dxa"/>
                          <w:bottom w:w="0" w:type="dxa"/>
                          <w:right w:w="0" w:type="dxa"/>
                        </w:tblCellMar>
                      </w:tblPr>
                      <w:tblGrid>
                        <w:gridCol w:w="124"/>
                        <w:gridCol w:w="1751"/>
                        <w:gridCol w:w="109"/>
                        <w:gridCol w:w="109"/>
                        <w:gridCol w:w="4348"/>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36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87" descr=""/>
                                          <pic:cNvPicPr>
                                            <a:picLocks noChangeAspect="1" noChangeArrowheads="1"/>
                                          </pic:cNvPicPr>
                                        </pic:nvPicPr>
                                        <pic:blipFill>
                                          <a:blip r:embed="rId99"/>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4348" w:type="dxa"/>
                            <w:tcBorders/>
                            <w:shd w:fill="E5E5E5" w:val="clear"/>
                            <w:vAlign w:val="center"/>
                          </w:tcPr>
                          <w:p>
                            <w:pPr>
                              <w:pStyle w:val="TableContents"/>
                              <w:bidi w:val="0"/>
                              <w:spacing w:lineRule="atLeast" w:line="216" w:before="0" w:after="0"/>
                              <w:jc w:val="left"/>
                              <w:rPr>
                                <w:b/>
                              </w:rPr>
                            </w:pPr>
                            <w:r>
                              <w:rPr>
                                <w:b/>
                                <w:spacing w:val="-2"/>
                              </w:rPr>
                              <w:t>MARY ANN TIGHE</w:t>
                            </w:r>
                            <w:r>
                              <w:rPr>
                                <w:b/>
                              </w:rPr>
                              <w:t xml:space="preserve"> </w:t>
                            </w:r>
                          </w:p>
                          <w:p>
                            <w:pPr>
                              <w:pStyle w:val="TableContents"/>
                              <w:bidi w:val="0"/>
                              <w:spacing w:lineRule="atLeast" w:line="180" w:before="156" w:after="283"/>
                              <w:jc w:val="left"/>
                              <w:rPr/>
                            </w:pPr>
                            <w:r>
                              <w:rPr>
                                <w:spacing w:val="-1"/>
                              </w:rPr>
                              <w:t>Age 77</w:t>
                            </w:r>
                            <w:r>
                              <w:rPr/>
                              <w:t xml:space="preserve"> </w:t>
                            </w:r>
                          </w:p>
                          <w:p>
                            <w:pPr>
                              <w:pStyle w:val="TableContents"/>
                              <w:bidi w:val="0"/>
                              <w:spacing w:lineRule="atLeast" w:line="216" w:before="156" w:after="283"/>
                              <w:jc w:val="left"/>
                              <w:rPr/>
                            </w:pPr>
                            <w:r>
                              <w:rPr>
                                <w:spacing w:val="-1"/>
                              </w:rPr>
                              <w:t xml:space="preserve">Independent director since </w:t>
                              <w:br/>
                              <w:t>October 2011</w:t>
                            </w:r>
                            <w:r>
                              <w:rPr/>
                              <w:t xml:space="preserve"> </w:t>
                            </w:r>
                          </w:p>
                          <w:p>
                            <w:pPr>
                              <w:pStyle w:val="TableContents"/>
                              <w:bidi w:val="0"/>
                              <w:spacing w:lineRule="atLeast" w:line="180" w:before="156" w:after="283"/>
                              <w:jc w:val="left"/>
                              <w:rPr/>
                            </w:pPr>
                            <w:r>
                              <w:rPr>
                                <w:spacing w:val="-1"/>
                              </w:rPr>
                              <w:t>Committees</w:t>
                            </w:r>
                            <w:r>
                              <w:rPr/>
                              <w:t xml:space="preserve"> </w:t>
                            </w:r>
                          </w:p>
                          <w:p>
                            <w:pPr>
                              <w:pStyle w:val="TableContents"/>
                              <w:bidi w:val="0"/>
                              <w:spacing w:lineRule="atLeast" w:line="180" w:before="76" w:after="0"/>
                              <w:ind w:left="460" w:right="0" w:hanging="0"/>
                              <w:jc w:val="left"/>
                              <w:rPr/>
                            </w:pPr>
                            <w:r>
                              <w:rPr>
                                <w:spacing w:val="-1"/>
                              </w:rPr>
                              <w:t>Compensation</w:t>
                            </w:r>
                            <w:r>
                              <w:rPr/>
                              <w:t xml:space="preserve"> </w:t>
                            </w:r>
                          </w:p>
                          <w:p>
                            <w:pPr>
                              <w:pStyle w:val="TableContents"/>
                              <w:bidi w:val="0"/>
                              <w:spacing w:before="0" w:after="0"/>
                              <w:ind w:left="0" w:right="0" w:hanging="0"/>
                              <w:jc w:val="left"/>
                              <w:rPr/>
                            </w:pPr>
                            <w:r>
                              <w:rPr/>
                              <w:t>​</w:t>
                            </w:r>
                          </w:p>
                          <w:p>
                            <w:pPr>
                              <w:pStyle w:val="TableContents"/>
                              <w:bidi w:val="0"/>
                              <w:spacing w:lineRule="atLeast" w:line="216" w:before="76" w:after="0"/>
                              <w:ind w:left="460" w:right="0" w:hanging="0"/>
                              <w:jc w:val="left"/>
                              <w:rPr/>
                            </w:pPr>
                            <w:r>
                              <w:rPr>
                                <w:spacing w:val="-1"/>
                              </w:rPr>
                              <w:t>Nominating and Corporate Governance</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jc w:val="left"/>
                        <w:rPr>
                          <w:b/>
                        </w:rPr>
                      </w:pPr>
                      <w:r>
                        <w:rPr>
                          <w:b/>
                          <w:spacing w:val="0"/>
                        </w:rPr>
                        <w:t>Background</w:t>
                      </w:r>
                      <w:r>
                        <w:rPr>
                          <w:b/>
                          <w:spacing w:val="4"/>
                        </w:rPr>
                        <w:t xml:space="preserve"> </w:t>
                      </w:r>
                    </w:p>
                    <w:p>
                      <w:pPr>
                        <w:pStyle w:val="TextBody"/>
                        <w:bidi w:val="0"/>
                        <w:spacing w:lineRule="atLeast" w:line="220" w:before="80" w:after="283"/>
                        <w:jc w:val="both"/>
                        <w:rPr/>
                      </w:pPr>
                      <w:r>
                        <w:rPr>
                          <w:b/>
                          <w:spacing w:val="0"/>
                        </w:rPr>
                        <w:t>Mary Ann Tighe</w:t>
                      </w:r>
                      <w:r>
                        <w:rPr>
                          <w:spacing w:val="-2"/>
                        </w:rPr>
                        <w:t xml:space="preserve"> has served as a director since October 2011. Ms. Tighe has been credited with transforming New York’s skyline during her more than 40 years in the real estate industry. Ms. Tighe has been </w:t>
                      </w:r>
                    </w:p>
                  </w:txbxContent>
                </v:textbox>
                <w10:wrap type="square" side="right"/>
              </v:rect>
            </w:pict>
          </mc:Fallback>
        </mc:AlternateContent>
      </w:r>
      <w:r>
        <mc:AlternateContent>
          <mc:Choice Requires="wps">
            <w:drawing>
              <wp:anchor behindDoc="0" distT="97155" distB="0" distL="0" distR="0" simplePos="0" locked="0" layoutInCell="1" allowOverlap="1" relativeHeight="398">
                <wp:simplePos x="0" y="0"/>
                <wp:positionH relativeFrom="column">
                  <wp:align>left</wp:align>
                </wp:positionH>
                <wp:positionV relativeFrom="line">
                  <wp:align>top</wp:align>
                </wp:positionV>
                <wp:extent cx="228600" cy="350520"/>
                <wp:effectExtent l="0" t="0" r="0" b="0"/>
                <wp:wrapSquare wrapText="right"/>
                <wp:docPr id="370" name="Frame27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7.65pt;mso-wrap-distance-bottom:0pt;margin-top:7.6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48260" distB="0" distL="63500" distR="0" simplePos="0" locked="0" layoutInCell="1" allowOverlap="1" relativeHeight="399">
                <wp:simplePos x="0" y="0"/>
                <wp:positionH relativeFrom="column">
                  <wp:align>left</wp:align>
                </wp:positionH>
                <wp:positionV relativeFrom="line">
                  <wp:align>top</wp:align>
                </wp:positionV>
                <wp:extent cx="228600" cy="350520"/>
                <wp:effectExtent l="0" t="0" r="0" b="0"/>
                <wp:wrapSquare wrapText="right"/>
                <wp:docPr id="371" name="Frame27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5pt;mso-wrap-distance-right:0pt;mso-wrap-distance-top:3.8pt;mso-wrap-distance-bottom:0pt;margin-top:3.8pt;mso-position-vertical:top;mso-position-vertical-relative:text;margin-left:5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48260" distB="0" distL="63500" distR="0" simplePos="0" locked="0" layoutInCell="1" allowOverlap="1" relativeHeight="400">
                <wp:simplePos x="0" y="0"/>
                <wp:positionH relativeFrom="column">
                  <wp:align>left</wp:align>
                </wp:positionH>
                <wp:positionV relativeFrom="line">
                  <wp:align>top</wp:align>
                </wp:positionV>
                <wp:extent cx="228600" cy="350520"/>
                <wp:effectExtent l="0" t="0" r="0" b="0"/>
                <wp:wrapSquare wrapText="right"/>
                <wp:docPr id="372" name="Frame27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5pt;mso-wrap-distance-right:0pt;mso-wrap-distance-top:3.8pt;mso-wrap-distance-bottom:0pt;margin-top:3.8pt;mso-position-vertical:top;mso-position-vertical-relative:text;margin-left:5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152400" distB="0" distL="0" distR="0" simplePos="0" locked="0" layoutInCell="1" allowOverlap="1" relativeHeight="401">
                <wp:simplePos x="0" y="0"/>
                <wp:positionH relativeFrom="column">
                  <wp:align>left</wp:align>
                </wp:positionH>
                <wp:positionV relativeFrom="line">
                  <wp:align>top</wp:align>
                </wp:positionV>
                <wp:extent cx="228600" cy="350520"/>
                <wp:effectExtent l="0" t="0" r="0" b="0"/>
                <wp:wrapSquare wrapText="right"/>
                <wp:docPr id="373" name="Frame27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48260" distB="0" distL="63500" distR="0" simplePos="0" locked="0" layoutInCell="1" allowOverlap="1" relativeHeight="402">
                <wp:simplePos x="0" y="0"/>
                <wp:positionH relativeFrom="column">
                  <wp:align>left</wp:align>
                </wp:positionH>
                <wp:positionV relativeFrom="line">
                  <wp:align>top</wp:align>
                </wp:positionV>
                <wp:extent cx="228600" cy="350520"/>
                <wp:effectExtent l="0" t="0" r="0" b="0"/>
                <wp:wrapSquare wrapText="right"/>
                <wp:docPr id="374" name="Frame27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5pt;mso-wrap-distance-right:0pt;mso-wrap-distance-top:3.8pt;mso-wrap-distance-bottom:0pt;margin-top:3.8pt;mso-position-vertical:top;mso-position-vertical-relative:text;margin-left:5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48260" distB="0" distL="63500" distR="0" simplePos="0" locked="0" layoutInCell="1" allowOverlap="1" relativeHeight="403">
                <wp:simplePos x="0" y="0"/>
                <wp:positionH relativeFrom="column">
                  <wp:align>left</wp:align>
                </wp:positionH>
                <wp:positionV relativeFrom="line">
                  <wp:align>top</wp:align>
                </wp:positionV>
                <wp:extent cx="228600" cy="350520"/>
                <wp:effectExtent l="0" t="0" r="0" b="0"/>
                <wp:wrapSquare wrapText="right"/>
                <wp:docPr id="375" name="Frame27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16"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5pt;mso-wrap-distance-right:0pt;mso-wrap-distance-top:3.8pt;mso-wrap-distance-bottom:0pt;margin-top:3.8pt;mso-position-vertical:top;mso-position-vertical-relative:text;margin-left:5pt;mso-position-horizontal:left;mso-position-horizontal-relative:text">
                <v:textbox>
                  <w:txbxContent>
                    <w:p>
                      <w:pPr>
                        <w:pStyle w:val="TextBody"/>
                        <w:bidi w:val="0"/>
                        <w:spacing w:lineRule="atLeast" w:line="216"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40 \ 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Proposal No. 1 – Election of Directors</w:t>
      </w:r>
      <w:r>
        <w:rPr>
          <w:rFonts w:ascii="Arial;Helvetica;sans-serif" w:hAnsi="Arial;Helvetica;sans-serif"/>
          <w:b/>
          <w:i w:val="false"/>
          <w:caps w:val="false"/>
          <w:smallCaps w:val="false"/>
          <w:color w:val="7F7F7F"/>
          <w:sz w:val="22"/>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57">
                <wp:simplePos x="0" y="0"/>
                <wp:positionH relativeFrom="column">
                  <wp:align>left</wp:align>
                </wp:positionH>
                <wp:positionV relativeFrom="line">
                  <wp:posOffset>635</wp:posOffset>
                </wp:positionV>
                <wp:extent cx="3055620" cy="9972040"/>
                <wp:effectExtent l="0" t="0" r="0" b="0"/>
                <wp:wrapSquare wrapText="right"/>
                <wp:docPr id="376" name="Frame278"/>
                <a:graphic xmlns:a="http://schemas.openxmlformats.org/drawingml/2006/main">
                  <a:graphicData uri="http://schemas.microsoft.com/office/word/2010/wordprocessingShape">
                    <wps:wsp>
                      <wps:cNvSpPr txBox="1"/>
                      <wps:spPr>
                        <a:xfrm>
                          <a:off x="0" y="0"/>
                          <a:ext cx="3055620" cy="9972040"/>
                        </a:xfrm>
                        <a:prstGeom prst="rect"/>
                        <a:solidFill>
                          <a:srgbClr val="FFFFFF"/>
                        </a:solidFill>
                      </wps:spPr>
                      <wps:txbx>
                        <w:txbxContent>
                          <w:p>
                            <w:pPr>
                              <w:pStyle w:val="TextBody"/>
                              <w:bidi w:val="0"/>
                              <w:spacing w:lineRule="atLeast" w:line="220" w:before="0" w:after="0"/>
                              <w:jc w:val="both"/>
                              <w:rPr/>
                            </w:pPr>
                            <w:r>
                              <w:rPr>
                                <w:spacing w:val="-2"/>
                              </w:rPr>
                              <w:t>the Chief Executive Officer of CBRE’s New York Tri-State Region since 2002, a region of 4,500 employees, and served as a director of CBRE in 2013. Over the course of her career, Ms. Tighe has completed commercial real estate transactions totaling more than 133.5 million square feet in the New York Region, including deals that have anchored more than 16.4 million square feet of new construction. From January 2010 through December 2012, Ms. Tighe served as Chair of the Real Estate Board of New York, the first woman to hold this position in its 114-year history and the first broker in 30 years. Ms. Tighe began her real estate career as a broker at the Edward S. Gordon Company, ultimately rising to the position of Vice Chairman of Insignia/ESG, where she was regularly recognized as being among the firm’s top producers. Prior to entering the real estate field, Ms. Tighe served as a Vice President of the American Broadcasting Companies, where she launched the A&amp;E cable channel. Ms. Tighe was also formerly the Deputy Chairman of the National Endowment for the Arts, Arts Advisor to Vice President Walter Mondale, and a staff member of the Smithsonian Institution.</w:t>
                            </w:r>
                            <w:r>
                              <w:rPr>
                                <w:spacing w:val="4"/>
                              </w:rPr>
                              <w:t xml:space="preserve"> </w:t>
                            </w:r>
                          </w:p>
                          <w:p>
                            <w:pPr>
                              <w:pStyle w:val="TextBody"/>
                              <w:bidi w:val="0"/>
                              <w:spacing w:lineRule="atLeast" w:line="240" w:before="240" w:after="283"/>
                              <w:jc w:val="left"/>
                              <w:rPr>
                                <w:b/>
                              </w:rPr>
                            </w:pPr>
                            <w:r>
                              <w:rPr>
                                <w:b/>
                                <w:spacing w:val="0"/>
                              </w:rPr>
                              <w:t>Qualifications</w:t>
                            </w:r>
                            <w:r>
                              <w:rPr>
                                <w:b/>
                                <w:spacing w:val="4"/>
                              </w:rPr>
                              <w:t xml:space="preserve"> </w:t>
                            </w:r>
                          </w:p>
                          <w:p>
                            <w:pPr>
                              <w:pStyle w:val="TextBody"/>
                              <w:bidi w:val="0"/>
                              <w:spacing w:lineRule="atLeast" w:line="210" w:before="80" w:after="283"/>
                              <w:jc w:val="both"/>
                              <w:rPr/>
                            </w:pPr>
                            <w:r>
                              <w:rPr>
                                <w:spacing w:val="-2"/>
                              </w:rPr>
                              <w:t>Ms. Tighe’s extensive experience with commercial real estate transactions enables her to provide the Board with key insight into real estate matters.</w:t>
                            </w:r>
                            <w:r>
                              <w:rPr>
                                <w:spacing w:val="4"/>
                              </w:rPr>
                              <w:t xml:space="preserve"> </w:t>
                            </w:r>
                          </w:p>
                          <w:tbl>
                            <w:tblPr>
                              <w:tblW w:w="5572" w:type="dxa"/>
                              <w:jc w:val="left"/>
                              <w:tblInd w:w="0" w:type="dxa"/>
                              <w:tblLayout w:type="fixed"/>
                              <w:tblCellMar>
                                <w:top w:w="0" w:type="dxa"/>
                                <w:left w:w="0" w:type="dxa"/>
                                <w:bottom w:w="0" w:type="dxa"/>
                                <w:right w:w="0" w:type="dxa"/>
                              </w:tblCellMar>
                            </w:tblPr>
                            <w:tblGrid>
                              <w:gridCol w:w="124"/>
                              <w:gridCol w:w="1751"/>
                              <w:gridCol w:w="109"/>
                              <w:gridCol w:w="109"/>
                              <w:gridCol w:w="3325"/>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377"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88" descr=""/>
                                                <pic:cNvPicPr>
                                                  <a:picLocks noChangeAspect="1" noChangeArrowheads="1"/>
                                                </pic:cNvPicPr>
                                              </pic:nvPicPr>
                                              <pic:blipFill>
                                                <a:blip r:embed="rId100"/>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325" w:type="dxa"/>
                                  <w:tcBorders/>
                                  <w:shd w:fill="E5E5E5" w:val="clear"/>
                                  <w:vAlign w:val="center"/>
                                </w:tcPr>
                                <w:p>
                                  <w:pPr>
                                    <w:pStyle w:val="TableContents"/>
                                    <w:bidi w:val="0"/>
                                    <w:spacing w:lineRule="atLeast" w:line="216" w:before="0" w:after="0"/>
                                    <w:jc w:val="left"/>
                                    <w:rPr>
                                      <w:b/>
                                    </w:rPr>
                                  </w:pPr>
                                  <w:r>
                                    <w:rPr>
                                      <w:b/>
                                      <w:spacing w:val="-2"/>
                                    </w:rPr>
                                    <w:t>JEAN-BAPTISTE WAUTIER</w:t>
                                  </w:r>
                                  <w:r>
                                    <w:rPr>
                                      <w:b/>
                                    </w:rPr>
                                    <w:t xml:space="preserve"> </w:t>
                                  </w:r>
                                </w:p>
                                <w:p>
                                  <w:pPr>
                                    <w:pStyle w:val="TableContents"/>
                                    <w:bidi w:val="0"/>
                                    <w:spacing w:lineRule="atLeast" w:line="180" w:before="156" w:after="283"/>
                                    <w:jc w:val="left"/>
                                    <w:rPr/>
                                  </w:pPr>
                                  <w:r>
                                    <w:rPr>
                                      <w:spacing w:val="-1"/>
                                    </w:rPr>
                                    <w:t>Age 56</w:t>
                                  </w:r>
                                  <w:r>
                                    <w:rPr/>
                                    <w:t xml:space="preserve"> </w:t>
                                  </w:r>
                                </w:p>
                                <w:p>
                                  <w:pPr>
                                    <w:pStyle w:val="TableContents"/>
                                    <w:bidi w:val="0"/>
                                    <w:spacing w:lineRule="atLeast" w:line="216" w:before="156" w:after="283"/>
                                    <w:jc w:val="left"/>
                                    <w:rPr/>
                                  </w:pPr>
                                  <w:r>
                                    <w:rPr>
                                      <w:spacing w:val="-1"/>
                                    </w:rPr>
                                    <w:t xml:space="preserve">Independent director since </w:t>
                                    <w:br/>
                                    <w:t>May 2025</w:t>
                                  </w:r>
                                  <w:r>
                                    <w:rPr/>
                                    <w:t xml:space="preserve"> </w:t>
                                  </w:r>
                                </w:p>
                                <w:p>
                                  <w:pPr>
                                    <w:pStyle w:val="TableContents"/>
                                    <w:bidi w:val="0"/>
                                    <w:spacing w:lineRule="atLeast" w:line="180" w:before="156" w:after="283"/>
                                    <w:jc w:val="left"/>
                                    <w:rPr/>
                                  </w:pPr>
                                  <w:r>
                                    <w:rPr>
                                      <w:spacing w:val="-1"/>
                                    </w:rPr>
                                    <w:t>Committees</w:t>
                                  </w:r>
                                  <w:r>
                                    <w:rPr/>
                                    <w:t xml:space="preserve"> </w:t>
                                  </w:r>
                                </w:p>
                                <w:p>
                                  <w:pPr>
                                    <w:pStyle w:val="TableContents"/>
                                    <w:bidi w:val="0"/>
                                    <w:spacing w:lineRule="atLeast" w:line="180" w:before="76" w:after="0"/>
                                    <w:ind w:left="460" w:right="0" w:hanging="0"/>
                                    <w:jc w:val="left"/>
                                    <w:rPr/>
                                  </w:pPr>
                                  <w:r>
                                    <w:rPr>
                                      <w:spacing w:val="-1"/>
                                    </w:rPr>
                                    <w:t>Audit</w:t>
                                  </w:r>
                                  <w:r>
                                    <w:rPr/>
                                    <w:t xml:space="preserve"> </w:t>
                                  </w:r>
                                </w:p>
                                <w:p>
                                  <w:pPr>
                                    <w:pStyle w:val="TableContents"/>
                                    <w:bidi w:val="0"/>
                                    <w:spacing w:before="0" w:after="0"/>
                                    <w:ind w:left="0" w:right="0" w:hanging="0"/>
                                    <w:jc w:val="left"/>
                                    <w:rPr/>
                                  </w:pPr>
                                  <w:r>
                                    <w:rPr/>
                                    <w:t>​</w:t>
                                  </w:r>
                                </w:p>
                                <w:p>
                                  <w:pPr>
                                    <w:pStyle w:val="TableContents"/>
                                    <w:bidi w:val="0"/>
                                    <w:spacing w:lineRule="atLeast" w:line="180" w:before="76" w:after="0"/>
                                    <w:ind w:left="460" w:right="0" w:hanging="0"/>
                                    <w:jc w:val="left"/>
                                    <w:rPr/>
                                  </w:pPr>
                                  <w:r>
                                    <w:rPr>
                                      <w:spacing w:val="-1"/>
                                    </w:rPr>
                                    <w:t>Technology</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8" w:after="283"/>
                              <w:jc w:val="left"/>
                              <w:rPr>
                                <w:b/>
                              </w:rPr>
                            </w:pPr>
                            <w:r>
                              <w:rPr>
                                <w:b/>
                                <w:spacing w:val="0"/>
                              </w:rPr>
                              <w:t>Background</w:t>
                            </w:r>
                            <w:r>
                              <w:rPr>
                                <w:b/>
                                <w:spacing w:val="4"/>
                              </w:rPr>
                              <w:t xml:space="preserve"> </w:t>
                            </w:r>
                          </w:p>
                          <w:p>
                            <w:pPr>
                              <w:pStyle w:val="TextBody"/>
                              <w:bidi w:val="0"/>
                              <w:spacing w:lineRule="atLeast" w:line="210" w:before="80" w:after="283"/>
                              <w:jc w:val="both"/>
                              <w:rPr/>
                            </w:pPr>
                            <w:r>
                              <w:rPr>
                                <w:b/>
                                <w:spacing w:val="0"/>
                              </w:rPr>
                              <w:t>Jean-Baptiste Wautier</w:t>
                            </w:r>
                            <w:r>
                              <w:rPr>
                                <w:spacing w:val="-2"/>
                              </w:rPr>
                              <w:t xml:space="preserve"> has served as a director since May 2025. Mr. Wautier is an investor and philanthropist, a resident of London, and co-founder of the Wautier Family Office, which was established in 2024. He is currently Chairman of GEDEBE, a luxury fashion house, and a non-executive director at the architectural practice, Studio Razavi + Partners, as well as Chair of the Investment Committee at Sci Ventures and Chairman of Aspire. Mr. Wautier has served as a director of Pershing Square Holdings, Ltd., a closed-end investment company, since May 2025. Mr. Wautier is also a Senior Lecturer at Sciences Po University in Paris and an Executive Fellow at Adam Smith’s Panmure House. Mr. Wautier began his career at Arthur Andersen before moving to Morgan Stanley. He then joined private equity firm, IK Partners, in 2000, before moving to BC Partners in 2004, where Mr. Wautier served as Chairman of the Investment Committee and Chief Investment Officer in the United Kingdom </w:t>
                            </w:r>
                          </w:p>
                        </w:txbxContent>
                      </wps:txbx>
                      <wps:bodyPr anchor="t" lIns="0" tIns="0" rIns="0" bIns="0">
                        <a:noAutofit/>
                      </wps:bodyPr>
                    </wps:wsp>
                  </a:graphicData>
                </a:graphic>
              </wp:anchor>
            </w:drawing>
          </mc:Choice>
          <mc:Fallback>
            <w:pict>
              <v:rect style="position:absolute;rotation:-0;width:240.6pt;height:785.2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20" w:before="0" w:after="0"/>
                        <w:jc w:val="both"/>
                        <w:rPr/>
                      </w:pPr>
                      <w:r>
                        <w:rPr>
                          <w:spacing w:val="-2"/>
                        </w:rPr>
                        <w:t>the Chief Executive Officer of CBRE’s New York Tri-State Region since 2002, a region of 4,500 employees, and served as a director of CBRE in 2013. Over the course of her career, Ms. Tighe has completed commercial real estate transactions totaling more than 133.5 million square feet in the New York Region, including deals that have anchored more than 16.4 million square feet of new construction. From January 2010 through December 2012, Ms. Tighe served as Chair of the Real Estate Board of New York, the first woman to hold this position in its 114-year history and the first broker in 30 years. Ms. Tighe began her real estate career as a broker at the Edward S. Gordon Company, ultimately rising to the position of Vice Chairman of Insignia/ESG, where she was regularly recognized as being among the firm’s top producers. Prior to entering the real estate field, Ms. Tighe served as a Vice President of the American Broadcasting Companies, where she launched the A&amp;E cable channel. Ms. Tighe was also formerly the Deputy Chairman of the National Endowment for the Arts, Arts Advisor to Vice President Walter Mondale, and a staff member of the Smithsonian Institution.</w:t>
                      </w:r>
                      <w:r>
                        <w:rPr>
                          <w:spacing w:val="4"/>
                        </w:rPr>
                        <w:t xml:space="preserve"> </w:t>
                      </w:r>
                    </w:p>
                    <w:p>
                      <w:pPr>
                        <w:pStyle w:val="TextBody"/>
                        <w:bidi w:val="0"/>
                        <w:spacing w:lineRule="atLeast" w:line="240" w:before="240" w:after="283"/>
                        <w:jc w:val="left"/>
                        <w:rPr>
                          <w:b/>
                        </w:rPr>
                      </w:pPr>
                      <w:r>
                        <w:rPr>
                          <w:b/>
                          <w:spacing w:val="0"/>
                        </w:rPr>
                        <w:t>Qualifications</w:t>
                      </w:r>
                      <w:r>
                        <w:rPr>
                          <w:b/>
                          <w:spacing w:val="4"/>
                        </w:rPr>
                        <w:t xml:space="preserve"> </w:t>
                      </w:r>
                    </w:p>
                    <w:p>
                      <w:pPr>
                        <w:pStyle w:val="TextBody"/>
                        <w:bidi w:val="0"/>
                        <w:spacing w:lineRule="atLeast" w:line="210" w:before="80" w:after="283"/>
                        <w:jc w:val="both"/>
                        <w:rPr/>
                      </w:pPr>
                      <w:r>
                        <w:rPr>
                          <w:spacing w:val="-2"/>
                        </w:rPr>
                        <w:t>Ms. Tighe’s extensive experience with commercial real estate transactions enables her to provide the Board with key insight into real estate matters.</w:t>
                      </w:r>
                      <w:r>
                        <w:rPr>
                          <w:spacing w:val="4"/>
                        </w:rPr>
                        <w:t xml:space="preserve"> </w:t>
                      </w:r>
                    </w:p>
                    <w:tbl>
                      <w:tblPr>
                        <w:tblW w:w="5572" w:type="dxa"/>
                        <w:jc w:val="left"/>
                        <w:tblInd w:w="0" w:type="dxa"/>
                        <w:tblLayout w:type="fixed"/>
                        <w:tblCellMar>
                          <w:top w:w="0" w:type="dxa"/>
                          <w:left w:w="0" w:type="dxa"/>
                          <w:bottom w:w="0" w:type="dxa"/>
                          <w:right w:w="0" w:type="dxa"/>
                        </w:tblCellMar>
                      </w:tblPr>
                      <w:tblGrid>
                        <w:gridCol w:w="124"/>
                        <w:gridCol w:w="1751"/>
                        <w:gridCol w:w="109"/>
                        <w:gridCol w:w="109"/>
                        <w:gridCol w:w="3325"/>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37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88" descr=""/>
                                          <pic:cNvPicPr>
                                            <a:picLocks noChangeAspect="1" noChangeArrowheads="1"/>
                                          </pic:cNvPicPr>
                                        </pic:nvPicPr>
                                        <pic:blipFill>
                                          <a:blip r:embed="rId101"/>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325" w:type="dxa"/>
                            <w:tcBorders/>
                            <w:shd w:fill="E5E5E5" w:val="clear"/>
                            <w:vAlign w:val="center"/>
                          </w:tcPr>
                          <w:p>
                            <w:pPr>
                              <w:pStyle w:val="TableContents"/>
                              <w:bidi w:val="0"/>
                              <w:spacing w:lineRule="atLeast" w:line="216" w:before="0" w:after="0"/>
                              <w:jc w:val="left"/>
                              <w:rPr>
                                <w:b/>
                              </w:rPr>
                            </w:pPr>
                            <w:r>
                              <w:rPr>
                                <w:b/>
                                <w:spacing w:val="-2"/>
                              </w:rPr>
                              <w:t>JEAN-BAPTISTE WAUTIER</w:t>
                            </w:r>
                            <w:r>
                              <w:rPr>
                                <w:b/>
                              </w:rPr>
                              <w:t xml:space="preserve"> </w:t>
                            </w:r>
                          </w:p>
                          <w:p>
                            <w:pPr>
                              <w:pStyle w:val="TableContents"/>
                              <w:bidi w:val="0"/>
                              <w:spacing w:lineRule="atLeast" w:line="180" w:before="156" w:after="283"/>
                              <w:jc w:val="left"/>
                              <w:rPr/>
                            </w:pPr>
                            <w:r>
                              <w:rPr>
                                <w:spacing w:val="-1"/>
                              </w:rPr>
                              <w:t>Age 56</w:t>
                            </w:r>
                            <w:r>
                              <w:rPr/>
                              <w:t xml:space="preserve"> </w:t>
                            </w:r>
                          </w:p>
                          <w:p>
                            <w:pPr>
                              <w:pStyle w:val="TableContents"/>
                              <w:bidi w:val="0"/>
                              <w:spacing w:lineRule="atLeast" w:line="216" w:before="156" w:after="283"/>
                              <w:jc w:val="left"/>
                              <w:rPr/>
                            </w:pPr>
                            <w:r>
                              <w:rPr>
                                <w:spacing w:val="-1"/>
                              </w:rPr>
                              <w:t xml:space="preserve">Independent director since </w:t>
                              <w:br/>
                              <w:t>May 2025</w:t>
                            </w:r>
                            <w:r>
                              <w:rPr/>
                              <w:t xml:space="preserve"> </w:t>
                            </w:r>
                          </w:p>
                          <w:p>
                            <w:pPr>
                              <w:pStyle w:val="TableContents"/>
                              <w:bidi w:val="0"/>
                              <w:spacing w:lineRule="atLeast" w:line="180" w:before="156" w:after="283"/>
                              <w:jc w:val="left"/>
                              <w:rPr/>
                            </w:pPr>
                            <w:r>
                              <w:rPr>
                                <w:spacing w:val="-1"/>
                              </w:rPr>
                              <w:t>Committees</w:t>
                            </w:r>
                            <w:r>
                              <w:rPr/>
                              <w:t xml:space="preserve"> </w:t>
                            </w:r>
                          </w:p>
                          <w:p>
                            <w:pPr>
                              <w:pStyle w:val="TableContents"/>
                              <w:bidi w:val="0"/>
                              <w:spacing w:lineRule="atLeast" w:line="180" w:before="76" w:after="0"/>
                              <w:ind w:left="460" w:right="0" w:hanging="0"/>
                              <w:jc w:val="left"/>
                              <w:rPr/>
                            </w:pPr>
                            <w:r>
                              <w:rPr>
                                <w:spacing w:val="-1"/>
                              </w:rPr>
                              <w:t>Audit</w:t>
                            </w:r>
                            <w:r>
                              <w:rPr/>
                              <w:t xml:space="preserve"> </w:t>
                            </w:r>
                          </w:p>
                          <w:p>
                            <w:pPr>
                              <w:pStyle w:val="TableContents"/>
                              <w:bidi w:val="0"/>
                              <w:spacing w:before="0" w:after="0"/>
                              <w:ind w:left="0" w:right="0" w:hanging="0"/>
                              <w:jc w:val="left"/>
                              <w:rPr/>
                            </w:pPr>
                            <w:r>
                              <w:rPr/>
                              <w:t>​</w:t>
                            </w:r>
                          </w:p>
                          <w:p>
                            <w:pPr>
                              <w:pStyle w:val="TableContents"/>
                              <w:bidi w:val="0"/>
                              <w:spacing w:lineRule="atLeast" w:line="180" w:before="76" w:after="0"/>
                              <w:ind w:left="460" w:right="0" w:hanging="0"/>
                              <w:jc w:val="left"/>
                              <w:rPr/>
                            </w:pPr>
                            <w:r>
                              <w:rPr>
                                <w:spacing w:val="-1"/>
                              </w:rPr>
                              <w:t>Technology</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8" w:after="283"/>
                        <w:jc w:val="left"/>
                        <w:rPr>
                          <w:b/>
                        </w:rPr>
                      </w:pPr>
                      <w:r>
                        <w:rPr>
                          <w:b/>
                          <w:spacing w:val="0"/>
                        </w:rPr>
                        <w:t>Background</w:t>
                      </w:r>
                      <w:r>
                        <w:rPr>
                          <w:b/>
                          <w:spacing w:val="4"/>
                        </w:rPr>
                        <w:t xml:space="preserve"> </w:t>
                      </w:r>
                    </w:p>
                    <w:p>
                      <w:pPr>
                        <w:pStyle w:val="TextBody"/>
                        <w:bidi w:val="0"/>
                        <w:spacing w:lineRule="atLeast" w:line="210" w:before="80" w:after="283"/>
                        <w:jc w:val="both"/>
                        <w:rPr/>
                      </w:pPr>
                      <w:r>
                        <w:rPr>
                          <w:b/>
                          <w:spacing w:val="0"/>
                        </w:rPr>
                        <w:t>Jean-Baptiste Wautier</w:t>
                      </w:r>
                      <w:r>
                        <w:rPr>
                          <w:spacing w:val="-2"/>
                        </w:rPr>
                        <w:t xml:space="preserve"> has served as a director since May 2025. Mr. Wautier is an investor and philanthropist, a resident of London, and co-founder of the Wautier Family Office, which was established in 2024. He is currently Chairman of GEDEBE, a luxury fashion house, and a non-executive director at the architectural practice, Studio Razavi + Partners, as well as Chair of the Investment Committee at Sci Ventures and Chairman of Aspire. Mr. Wautier has served as a director of Pershing Square Holdings, Ltd., a closed-end investment company, since May 2025. Mr. Wautier is also a Senior Lecturer at Sciences Po University in Paris and an Executive Fellow at Adam Smith’s Panmure House. Mr. Wautier began his career at Arthur Andersen before moving to Morgan Stanley. He then joined private equity firm, IK Partners, in 2000, before moving to BC Partners in 2004, where Mr. Wautier served as Chairman of the Investment Committee and Chief Investment Officer in the United Kingdom </w:t>
                      </w:r>
                    </w:p>
                  </w:txbxContent>
                </v:textbox>
                <w10:wrap type="square" side="right"/>
              </v:rect>
            </w:pict>
          </mc:Fallback>
        </mc:AlternateContent>
      </w:r>
      <w:r>
        <mc:AlternateContent>
          <mc:Choice Requires="wps">
            <w:drawing>
              <wp:anchor behindDoc="0" distT="0" distB="0" distL="304800" distR="0" simplePos="0" locked="0" layoutInCell="1" allowOverlap="1" relativeHeight="59">
                <wp:simplePos x="0" y="0"/>
                <wp:positionH relativeFrom="column">
                  <wp:align>left</wp:align>
                </wp:positionH>
                <wp:positionV relativeFrom="line">
                  <wp:posOffset>635</wp:posOffset>
                </wp:positionV>
                <wp:extent cx="3055620" cy="9972040"/>
                <wp:effectExtent l="0" t="0" r="0" b="0"/>
                <wp:wrapSquare wrapText="right"/>
                <wp:docPr id="379" name="Frame281"/>
                <a:graphic xmlns:a="http://schemas.openxmlformats.org/drawingml/2006/main">
                  <a:graphicData uri="http://schemas.microsoft.com/office/word/2010/wordprocessingShape">
                    <wps:wsp>
                      <wps:cNvSpPr txBox="1"/>
                      <wps:spPr>
                        <a:xfrm>
                          <a:off x="0" y="0"/>
                          <a:ext cx="3055620" cy="9972040"/>
                        </a:xfrm>
                        <a:prstGeom prst="rect"/>
                        <a:solidFill>
                          <a:srgbClr val="FFFFFF"/>
                        </a:solidFill>
                      </wps:spPr>
                      <wps:txbx>
                        <w:txbxContent>
                          <w:p>
                            <w:pPr>
                              <w:pStyle w:val="TextBody"/>
                              <w:bidi w:val="0"/>
                              <w:spacing w:lineRule="atLeast" w:line="210" w:before="0" w:after="0"/>
                              <w:jc w:val="both"/>
                              <w:rPr/>
                            </w:pPr>
                            <w:r>
                              <w:rPr>
                                <w:spacing w:val="-2"/>
                              </w:rPr>
                              <w:t>between 2013 and 2023. At BC, he co-managed €40 billion of assets, helped raise three flagship funds, and led ten major investments. Mr. Wautier served as a member of the Management Committee in the United Kingdom between 2018 and 2023, before leaving BC Partners in 2024. He also contributes to economic policy discussions through platforms like Les Echos, Fondapol, and the World Economic Forum. Mr. Wautier holds a Master’s (Political Science and Government) and a Master of Science (Industrial Organisation) from Sciences Po and Université Sorbonne Paris Nord, respectively.</w:t>
                            </w:r>
                            <w:r>
                              <w:rPr>
                                <w:spacing w:val="4"/>
                              </w:rPr>
                              <w:t xml:space="preserve"> </w:t>
                            </w:r>
                          </w:p>
                          <w:p>
                            <w:pPr>
                              <w:pStyle w:val="TextBody"/>
                              <w:bidi w:val="0"/>
                              <w:spacing w:lineRule="atLeast" w:line="240" w:before="240" w:after="283"/>
                              <w:jc w:val="left"/>
                              <w:rPr>
                                <w:b/>
                              </w:rPr>
                            </w:pPr>
                            <w:r>
                              <w:rPr>
                                <w:b/>
                                <w:spacing w:val="0"/>
                              </w:rPr>
                              <w:t>Qualifications</w:t>
                            </w:r>
                            <w:r>
                              <w:rPr>
                                <w:b/>
                                <w:spacing w:val="4"/>
                              </w:rPr>
                              <w:t xml:space="preserve"> </w:t>
                            </w:r>
                          </w:p>
                          <w:p>
                            <w:pPr>
                              <w:pStyle w:val="TextBody"/>
                              <w:bidi w:val="0"/>
                              <w:spacing w:lineRule="atLeast" w:line="220" w:before="80" w:after="283"/>
                              <w:jc w:val="both"/>
                              <w:rPr/>
                            </w:pPr>
                            <w:r>
                              <w:rPr>
                                <w:spacing w:val="-2"/>
                              </w:rPr>
                              <w:t>Mr. Wautier’s investment and architectural experience provide him with knowledge and expertise that will benefit the Board.</w:t>
                            </w:r>
                            <w:r>
                              <w:rPr>
                                <w:spacing w:val="4"/>
                              </w:rPr>
                              <w:t xml:space="preserve"> </w:t>
                            </w:r>
                          </w:p>
                          <w:tbl>
                            <w:tblPr>
                              <w:tblW w:w="7325" w:type="dxa"/>
                              <w:jc w:val="left"/>
                              <w:tblInd w:w="0" w:type="dxa"/>
                              <w:tblLayout w:type="fixed"/>
                              <w:tblCellMar>
                                <w:top w:w="0" w:type="dxa"/>
                                <w:left w:w="0" w:type="dxa"/>
                                <w:bottom w:w="0" w:type="dxa"/>
                                <w:right w:w="0" w:type="dxa"/>
                              </w:tblCellMar>
                            </w:tblPr>
                            <w:tblGrid>
                              <w:gridCol w:w="124"/>
                              <w:gridCol w:w="1751"/>
                              <w:gridCol w:w="109"/>
                              <w:gridCol w:w="109"/>
                              <w:gridCol w:w="5078"/>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38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89" descr=""/>
                                                <pic:cNvPicPr>
                                                  <a:picLocks noChangeAspect="1" noChangeArrowheads="1"/>
                                                </pic:cNvPicPr>
                                              </pic:nvPicPr>
                                              <pic:blipFill>
                                                <a:blip r:embed="rId102"/>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5078" w:type="dxa"/>
                                  <w:tcBorders/>
                                  <w:shd w:fill="E5E5E5" w:val="clear"/>
                                  <w:vAlign w:val="center"/>
                                </w:tcPr>
                                <w:p>
                                  <w:pPr>
                                    <w:pStyle w:val="TableContents"/>
                                    <w:bidi w:val="0"/>
                                    <w:spacing w:lineRule="atLeast" w:line="216" w:before="0" w:after="0"/>
                                    <w:jc w:val="left"/>
                                    <w:rPr>
                                      <w:b/>
                                    </w:rPr>
                                  </w:pPr>
                                  <w:r>
                                    <w:rPr>
                                      <w:b/>
                                      <w:spacing w:val="-2"/>
                                    </w:rPr>
                                    <w:t>ANTHONY WILLIAMS</w:t>
                                  </w:r>
                                  <w:r>
                                    <w:rPr>
                                      <w:b/>
                                    </w:rPr>
                                    <w:t xml:space="preserve"> </w:t>
                                  </w:r>
                                </w:p>
                                <w:p>
                                  <w:pPr>
                                    <w:pStyle w:val="TableContents"/>
                                    <w:bidi w:val="0"/>
                                    <w:spacing w:lineRule="atLeast" w:line="180" w:before="156" w:after="283"/>
                                    <w:jc w:val="left"/>
                                    <w:rPr/>
                                  </w:pPr>
                                  <w:r>
                                    <w:rPr>
                                      <w:spacing w:val="-1"/>
                                    </w:rPr>
                                    <w:t>Age 75</w:t>
                                  </w:r>
                                  <w:r>
                                    <w:rPr/>
                                    <w:t xml:space="preserve"> </w:t>
                                  </w:r>
                                </w:p>
                                <w:p>
                                  <w:pPr>
                                    <w:pStyle w:val="TableContents"/>
                                    <w:bidi w:val="0"/>
                                    <w:spacing w:lineRule="atLeast" w:line="215" w:before="156" w:after="283"/>
                                    <w:jc w:val="left"/>
                                    <w:rPr/>
                                  </w:pPr>
                                  <w:r>
                                    <w:rPr>
                                      <w:spacing w:val="-1"/>
                                    </w:rPr>
                                    <w:t xml:space="preserve">Independent director since </w:t>
                                    <w:br/>
                                    <w:t>February 2021</w:t>
                                  </w:r>
                                  <w:r>
                                    <w:rPr/>
                                    <w:t xml:space="preserve"> </w:t>
                                  </w:r>
                                </w:p>
                                <w:p>
                                  <w:pPr>
                                    <w:pStyle w:val="TableContents"/>
                                    <w:bidi w:val="0"/>
                                    <w:spacing w:lineRule="atLeast" w:line="180" w:before="156" w:after="283"/>
                                    <w:jc w:val="left"/>
                                    <w:rPr/>
                                  </w:pPr>
                                  <w:r>
                                    <w:rPr>
                                      <w:spacing w:val="-1"/>
                                    </w:rPr>
                                    <w:t>Committees</w:t>
                                  </w:r>
                                  <w:r>
                                    <w:rPr/>
                                    <w:t xml:space="preserve"> </w:t>
                                  </w:r>
                                </w:p>
                                <w:p>
                                  <w:pPr>
                                    <w:pStyle w:val="TableContents"/>
                                    <w:bidi w:val="0"/>
                                    <w:spacing w:lineRule="atLeast" w:line="180" w:before="76" w:after="0"/>
                                    <w:ind w:left="460" w:right="0" w:hanging="0"/>
                                    <w:jc w:val="left"/>
                                    <w:rPr/>
                                  </w:pPr>
                                  <w:r>
                                    <w:rPr>
                                      <w:spacing w:val="-1"/>
                                    </w:rPr>
                                    <w:t>Compensation</w:t>
                                  </w:r>
                                  <w:r>
                                    <w:rPr/>
                                    <w:t xml:space="preserve"> </w:t>
                                  </w:r>
                                </w:p>
                                <w:p>
                                  <w:pPr>
                                    <w:pStyle w:val="TableContents"/>
                                    <w:bidi w:val="0"/>
                                    <w:spacing w:before="0" w:after="0"/>
                                    <w:ind w:left="0" w:right="0" w:hanging="0"/>
                                    <w:jc w:val="left"/>
                                    <w:rPr/>
                                  </w:pPr>
                                  <w:r>
                                    <w:rPr/>
                                    <w:t>​</w:t>
                                  </w:r>
                                </w:p>
                                <w:p>
                                  <w:pPr>
                                    <w:pStyle w:val="TableContents"/>
                                    <w:bidi w:val="0"/>
                                    <w:spacing w:lineRule="atLeast" w:line="216" w:before="76" w:after="0"/>
                                    <w:ind w:left="460" w:right="0" w:hanging="0"/>
                                    <w:jc w:val="left"/>
                                    <w:rPr/>
                                  </w:pPr>
                                  <w:r>
                                    <w:rPr>
                                      <w:spacing w:val="-1"/>
                                    </w:rPr>
                                    <w:t>Nominating and Corporate Governance (Chair)</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jc w:val="left"/>
                              <w:rPr>
                                <w:b/>
                              </w:rPr>
                            </w:pPr>
                            <w:r>
                              <w:rPr>
                                <w:b/>
                                <w:spacing w:val="0"/>
                              </w:rPr>
                              <w:t>Background</w:t>
                            </w:r>
                            <w:r>
                              <w:rPr>
                                <w:b/>
                                <w:spacing w:val="4"/>
                              </w:rPr>
                              <w:t xml:space="preserve"> </w:t>
                            </w:r>
                          </w:p>
                          <w:p>
                            <w:pPr>
                              <w:pStyle w:val="TextBody"/>
                              <w:bidi w:val="0"/>
                              <w:spacing w:lineRule="atLeast" w:line="220" w:before="80" w:after="283"/>
                              <w:jc w:val="both"/>
                              <w:rPr/>
                            </w:pPr>
                            <w:r>
                              <w:rPr>
                                <w:b/>
                                <w:spacing w:val="0"/>
                              </w:rPr>
                              <w:t>Anthony Williams</w:t>
                            </w:r>
                            <w:r>
                              <w:rPr>
                                <w:spacing w:val="-2"/>
                              </w:rPr>
                              <w:t xml:space="preserve"> has served as a director since February 2021. Mr. Williams currently serves as the Chief Executive Officer and Executive Director of Federal City Council, a nonprofit organization dedicated to the advancement of civic life in the nation’s capital, a position he has held since April 2012. He also has served as a Senior Advisor with the law firm King &amp; Spalding in its Government Affairs and Public Policy practice group since July 2016. Mr. Williams previously served two terms as the mayor of Washington, D.C. from 1999 to 2007, leading the city’s revitalization, restoring its finances and improving city services. As the independent Chief Financial Officer of the District of Columbia from 1995 to 1998, he worked with local officials, the D.C. Financial Control Board, and the U.S. Congress. He has held various positions in federal, state, and local government, including serving as the first CFO for the U.S. Department of Agriculture, a position to which he was appointed by President Bill Clinton and confirmed by the U.S. Senate. Mr. Williams is a veteran of the U.S. Air Force, a fellow of the National Academy of Public Administration and former President of the National League of Cities, and formerly served as a lecturer and faculty member in Public Management at the Harvard Kennedy School of Government’s Ash Center for Democratic Governance and Innovation. Mr. Williams holds a JD from Harvard Law School, a master’s degree in public policy from the Harvard Kennedy School of Government, and a bachelor’s </w:t>
                            </w:r>
                          </w:p>
                        </w:txbxContent>
                      </wps:txbx>
                      <wps:bodyPr anchor="t" lIns="0" tIns="0" rIns="0" bIns="0">
                        <a:noAutofit/>
                      </wps:bodyPr>
                    </wps:wsp>
                  </a:graphicData>
                </a:graphic>
              </wp:anchor>
            </w:drawing>
          </mc:Choice>
          <mc:Fallback>
            <w:pict>
              <v:rect style="position:absolute;rotation:-0;width:240.6pt;height:785.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10" w:before="0" w:after="0"/>
                        <w:jc w:val="both"/>
                        <w:rPr/>
                      </w:pPr>
                      <w:r>
                        <w:rPr>
                          <w:spacing w:val="-2"/>
                        </w:rPr>
                        <w:t>between 2013 and 2023. At BC, he co-managed €40 billion of assets, helped raise three flagship funds, and led ten major investments. Mr. Wautier served as a member of the Management Committee in the United Kingdom between 2018 and 2023, before leaving BC Partners in 2024. He also contributes to economic policy discussions through platforms like Les Echos, Fondapol, and the World Economic Forum. Mr. Wautier holds a Master’s (Political Science and Government) and a Master of Science (Industrial Organisation) from Sciences Po and Université Sorbonne Paris Nord, respectively.</w:t>
                      </w:r>
                      <w:r>
                        <w:rPr>
                          <w:spacing w:val="4"/>
                        </w:rPr>
                        <w:t xml:space="preserve"> </w:t>
                      </w:r>
                    </w:p>
                    <w:p>
                      <w:pPr>
                        <w:pStyle w:val="TextBody"/>
                        <w:bidi w:val="0"/>
                        <w:spacing w:lineRule="atLeast" w:line="240" w:before="240" w:after="283"/>
                        <w:jc w:val="left"/>
                        <w:rPr>
                          <w:b/>
                        </w:rPr>
                      </w:pPr>
                      <w:r>
                        <w:rPr>
                          <w:b/>
                          <w:spacing w:val="0"/>
                        </w:rPr>
                        <w:t>Qualifications</w:t>
                      </w:r>
                      <w:r>
                        <w:rPr>
                          <w:b/>
                          <w:spacing w:val="4"/>
                        </w:rPr>
                        <w:t xml:space="preserve"> </w:t>
                      </w:r>
                    </w:p>
                    <w:p>
                      <w:pPr>
                        <w:pStyle w:val="TextBody"/>
                        <w:bidi w:val="0"/>
                        <w:spacing w:lineRule="atLeast" w:line="220" w:before="80" w:after="283"/>
                        <w:jc w:val="both"/>
                        <w:rPr/>
                      </w:pPr>
                      <w:r>
                        <w:rPr>
                          <w:spacing w:val="-2"/>
                        </w:rPr>
                        <w:t>Mr. Wautier’s investment and architectural experience provide him with knowledge and expertise that will benefit the Board.</w:t>
                      </w:r>
                      <w:r>
                        <w:rPr>
                          <w:spacing w:val="4"/>
                        </w:rPr>
                        <w:t xml:space="preserve"> </w:t>
                      </w:r>
                    </w:p>
                    <w:tbl>
                      <w:tblPr>
                        <w:tblW w:w="7325" w:type="dxa"/>
                        <w:jc w:val="left"/>
                        <w:tblInd w:w="0" w:type="dxa"/>
                        <w:tblLayout w:type="fixed"/>
                        <w:tblCellMar>
                          <w:top w:w="0" w:type="dxa"/>
                          <w:left w:w="0" w:type="dxa"/>
                          <w:bottom w:w="0" w:type="dxa"/>
                          <w:right w:w="0" w:type="dxa"/>
                        </w:tblCellMar>
                      </w:tblPr>
                      <w:tblGrid>
                        <w:gridCol w:w="124"/>
                        <w:gridCol w:w="1751"/>
                        <w:gridCol w:w="109"/>
                        <w:gridCol w:w="109"/>
                        <w:gridCol w:w="5078"/>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38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89" descr=""/>
                                          <pic:cNvPicPr>
                                            <a:picLocks noChangeAspect="1" noChangeArrowheads="1"/>
                                          </pic:cNvPicPr>
                                        </pic:nvPicPr>
                                        <pic:blipFill>
                                          <a:blip r:embed="rId103"/>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5078" w:type="dxa"/>
                            <w:tcBorders/>
                            <w:shd w:fill="E5E5E5" w:val="clear"/>
                            <w:vAlign w:val="center"/>
                          </w:tcPr>
                          <w:p>
                            <w:pPr>
                              <w:pStyle w:val="TableContents"/>
                              <w:bidi w:val="0"/>
                              <w:spacing w:lineRule="atLeast" w:line="216" w:before="0" w:after="0"/>
                              <w:jc w:val="left"/>
                              <w:rPr>
                                <w:b/>
                              </w:rPr>
                            </w:pPr>
                            <w:r>
                              <w:rPr>
                                <w:b/>
                                <w:spacing w:val="-2"/>
                              </w:rPr>
                              <w:t>ANTHONY WILLIAMS</w:t>
                            </w:r>
                            <w:r>
                              <w:rPr>
                                <w:b/>
                              </w:rPr>
                              <w:t xml:space="preserve"> </w:t>
                            </w:r>
                          </w:p>
                          <w:p>
                            <w:pPr>
                              <w:pStyle w:val="TableContents"/>
                              <w:bidi w:val="0"/>
                              <w:spacing w:lineRule="atLeast" w:line="180" w:before="156" w:after="283"/>
                              <w:jc w:val="left"/>
                              <w:rPr/>
                            </w:pPr>
                            <w:r>
                              <w:rPr>
                                <w:spacing w:val="-1"/>
                              </w:rPr>
                              <w:t>Age 75</w:t>
                            </w:r>
                            <w:r>
                              <w:rPr/>
                              <w:t xml:space="preserve"> </w:t>
                            </w:r>
                          </w:p>
                          <w:p>
                            <w:pPr>
                              <w:pStyle w:val="TableContents"/>
                              <w:bidi w:val="0"/>
                              <w:spacing w:lineRule="atLeast" w:line="215" w:before="156" w:after="283"/>
                              <w:jc w:val="left"/>
                              <w:rPr/>
                            </w:pPr>
                            <w:r>
                              <w:rPr>
                                <w:spacing w:val="-1"/>
                              </w:rPr>
                              <w:t xml:space="preserve">Independent director since </w:t>
                              <w:br/>
                              <w:t>February 2021</w:t>
                            </w:r>
                            <w:r>
                              <w:rPr/>
                              <w:t xml:space="preserve"> </w:t>
                            </w:r>
                          </w:p>
                          <w:p>
                            <w:pPr>
                              <w:pStyle w:val="TableContents"/>
                              <w:bidi w:val="0"/>
                              <w:spacing w:lineRule="atLeast" w:line="180" w:before="156" w:after="283"/>
                              <w:jc w:val="left"/>
                              <w:rPr/>
                            </w:pPr>
                            <w:r>
                              <w:rPr>
                                <w:spacing w:val="-1"/>
                              </w:rPr>
                              <w:t>Committees</w:t>
                            </w:r>
                            <w:r>
                              <w:rPr/>
                              <w:t xml:space="preserve"> </w:t>
                            </w:r>
                          </w:p>
                          <w:p>
                            <w:pPr>
                              <w:pStyle w:val="TableContents"/>
                              <w:bidi w:val="0"/>
                              <w:spacing w:lineRule="atLeast" w:line="180" w:before="76" w:after="0"/>
                              <w:ind w:left="460" w:right="0" w:hanging="0"/>
                              <w:jc w:val="left"/>
                              <w:rPr/>
                            </w:pPr>
                            <w:r>
                              <w:rPr>
                                <w:spacing w:val="-1"/>
                              </w:rPr>
                              <w:t>Compensation</w:t>
                            </w:r>
                            <w:r>
                              <w:rPr/>
                              <w:t xml:space="preserve"> </w:t>
                            </w:r>
                          </w:p>
                          <w:p>
                            <w:pPr>
                              <w:pStyle w:val="TableContents"/>
                              <w:bidi w:val="0"/>
                              <w:spacing w:before="0" w:after="0"/>
                              <w:ind w:left="0" w:right="0" w:hanging="0"/>
                              <w:jc w:val="left"/>
                              <w:rPr/>
                            </w:pPr>
                            <w:r>
                              <w:rPr/>
                              <w:t>​</w:t>
                            </w:r>
                          </w:p>
                          <w:p>
                            <w:pPr>
                              <w:pStyle w:val="TableContents"/>
                              <w:bidi w:val="0"/>
                              <w:spacing w:lineRule="atLeast" w:line="216" w:before="76" w:after="0"/>
                              <w:ind w:left="460" w:right="0" w:hanging="0"/>
                              <w:jc w:val="left"/>
                              <w:rPr/>
                            </w:pPr>
                            <w:r>
                              <w:rPr>
                                <w:spacing w:val="-1"/>
                              </w:rPr>
                              <w:t>Nominating and Corporate Governance (Chair)</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jc w:val="left"/>
                        <w:rPr>
                          <w:b/>
                        </w:rPr>
                      </w:pPr>
                      <w:r>
                        <w:rPr>
                          <w:b/>
                          <w:spacing w:val="0"/>
                        </w:rPr>
                        <w:t>Background</w:t>
                      </w:r>
                      <w:r>
                        <w:rPr>
                          <w:b/>
                          <w:spacing w:val="4"/>
                        </w:rPr>
                        <w:t xml:space="preserve"> </w:t>
                      </w:r>
                    </w:p>
                    <w:p>
                      <w:pPr>
                        <w:pStyle w:val="TextBody"/>
                        <w:bidi w:val="0"/>
                        <w:spacing w:lineRule="atLeast" w:line="220" w:before="80" w:after="283"/>
                        <w:jc w:val="both"/>
                        <w:rPr/>
                      </w:pPr>
                      <w:r>
                        <w:rPr>
                          <w:b/>
                          <w:spacing w:val="0"/>
                        </w:rPr>
                        <w:t>Anthony Williams</w:t>
                      </w:r>
                      <w:r>
                        <w:rPr>
                          <w:spacing w:val="-2"/>
                        </w:rPr>
                        <w:t xml:space="preserve"> has served as a director since February 2021. Mr. Williams currently serves as the Chief Executive Officer and Executive Director of Federal City Council, a nonprofit organization dedicated to the advancement of civic life in the nation’s capital, a position he has held since April 2012. He also has served as a Senior Advisor with the law firm King &amp; Spalding in its Government Affairs and Public Policy practice group since July 2016. Mr. Williams previously served two terms as the mayor of Washington, D.C. from 1999 to 2007, leading the city’s revitalization, restoring its finances and improving city services. As the independent Chief Financial Officer of the District of Columbia from 1995 to 1998, he worked with local officials, the D.C. Financial Control Board, and the U.S. Congress. He has held various positions in federal, state, and local government, including serving as the first CFO for the U.S. Department of Agriculture, a position to which he was appointed by President Bill Clinton and confirmed by the U.S. Senate. Mr. Williams is a veteran of the U.S. Air Force, a fellow of the National Academy of Public Administration and former President of the National League of Cities, and formerly served as a lecturer and faculty member in Public Management at the Harvard Kennedy School of Government’s Ash Center for Democratic Governance and Innovation. Mr. Williams holds a JD from Harvard Law School, a master’s degree in public policy from the Harvard Kennedy School of Government, and a bachelor’s </w:t>
                      </w:r>
                    </w:p>
                  </w:txbxContent>
                </v:textbox>
                <w10:wrap type="square" side="right"/>
              </v:rect>
            </w:pict>
          </mc:Fallback>
        </mc:AlternateContent>
      </w:r>
      <w:r>
        <mc:AlternateContent>
          <mc:Choice Requires="wps">
            <w:drawing>
              <wp:anchor behindDoc="0" distT="48260" distB="0" distL="63500" distR="0" simplePos="0" locked="0" layoutInCell="1" allowOverlap="1" relativeHeight="404">
                <wp:simplePos x="0" y="0"/>
                <wp:positionH relativeFrom="column">
                  <wp:align>left</wp:align>
                </wp:positionH>
                <wp:positionV relativeFrom="line">
                  <wp:align>top</wp:align>
                </wp:positionV>
                <wp:extent cx="228600" cy="350520"/>
                <wp:effectExtent l="0" t="0" r="0" b="0"/>
                <wp:wrapSquare wrapText="right"/>
                <wp:docPr id="382" name="Frame27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5pt;mso-wrap-distance-right:0pt;mso-wrap-distance-top:3.8pt;mso-wrap-distance-bottom:0pt;margin-top:3.8pt;mso-position-vertical:top;mso-position-vertical-relative:text;margin-left:5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48260" distB="0" distL="63500" distR="0" simplePos="0" locked="0" layoutInCell="1" allowOverlap="1" relativeHeight="405">
                <wp:simplePos x="0" y="0"/>
                <wp:positionH relativeFrom="column">
                  <wp:align>left</wp:align>
                </wp:positionH>
                <wp:positionV relativeFrom="line">
                  <wp:align>top</wp:align>
                </wp:positionV>
                <wp:extent cx="228600" cy="350520"/>
                <wp:effectExtent l="0" t="0" r="0" b="0"/>
                <wp:wrapSquare wrapText="right"/>
                <wp:docPr id="383" name="Frame28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5pt;mso-wrap-distance-right:0pt;mso-wrap-distance-top:3.8pt;mso-wrap-distance-bottom:0pt;margin-top:3.8pt;mso-position-vertical:top;mso-position-vertical-relative:text;margin-left:5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48260" distB="0" distL="63500" distR="0" simplePos="0" locked="0" layoutInCell="1" allowOverlap="1" relativeHeight="406">
                <wp:simplePos x="0" y="0"/>
                <wp:positionH relativeFrom="column">
                  <wp:align>left</wp:align>
                </wp:positionH>
                <wp:positionV relativeFrom="line">
                  <wp:align>top</wp:align>
                </wp:positionV>
                <wp:extent cx="228600" cy="350520"/>
                <wp:effectExtent l="0" t="0" r="0" b="0"/>
                <wp:wrapSquare wrapText="right"/>
                <wp:docPr id="384" name="Frame28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5pt;mso-wrap-distance-right:0pt;mso-wrap-distance-top:3.8pt;mso-wrap-distance-bottom:0pt;margin-top:3.8pt;mso-position-vertical:top;mso-position-vertical-relative:text;margin-left:5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48260" distB="0" distL="63500" distR="0" simplePos="0" locked="0" layoutInCell="1" allowOverlap="1" relativeHeight="407">
                <wp:simplePos x="0" y="0"/>
                <wp:positionH relativeFrom="column">
                  <wp:align>left</wp:align>
                </wp:positionH>
                <wp:positionV relativeFrom="line">
                  <wp:align>top</wp:align>
                </wp:positionV>
                <wp:extent cx="228600" cy="350520"/>
                <wp:effectExtent l="0" t="0" r="0" b="0"/>
                <wp:wrapSquare wrapText="right"/>
                <wp:docPr id="385" name="Frame28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16"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5pt;mso-wrap-distance-right:0pt;mso-wrap-distance-top:3.8pt;mso-wrap-distance-bottom:0pt;margin-top:3.8pt;mso-position-vertical:top;mso-position-vertical-relative:text;margin-left:5pt;mso-position-horizontal:left;mso-position-horizontal-relative:text">
                <v:textbox>
                  <w:txbxContent>
                    <w:p>
                      <w:pPr>
                        <w:pStyle w:val="TextBody"/>
                        <w:bidi w:val="0"/>
                        <w:spacing w:lineRule="atLeast" w:line="216"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/ 41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Proposal No. 1 – Election of Directors</w:t>
      </w:r>
      <w:r>
        <w:rPr>
          <w:rFonts w:ascii="Arial;Helvetica;sans-serif" w:hAnsi="Arial;Helvetica;sans-serif"/>
          <w:b/>
          <w:i w:val="false"/>
          <w:caps w:val="false"/>
          <w:smallCaps w:val="false"/>
          <w:color w:val="7F7F7F"/>
          <w:spacing w:val="-3"/>
          <w:sz w:val="22"/>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408">
                <wp:simplePos x="0" y="0"/>
                <wp:positionH relativeFrom="column">
                  <wp:align>left</wp:align>
                </wp:positionH>
                <wp:positionV relativeFrom="line">
                  <wp:posOffset>635</wp:posOffset>
                </wp:positionV>
                <wp:extent cx="3055620" cy="1265555"/>
                <wp:effectExtent l="0" t="0" r="0" b="0"/>
                <wp:wrapSquare wrapText="right"/>
                <wp:docPr id="386" name="Frame284"/>
                <a:graphic xmlns:a="http://schemas.openxmlformats.org/drawingml/2006/main">
                  <a:graphicData uri="http://schemas.microsoft.com/office/word/2010/wordprocessingShape">
                    <wps:wsp>
                      <wps:cNvSpPr txBox="1"/>
                      <wps:spPr>
                        <a:xfrm>
                          <a:off x="0" y="0"/>
                          <a:ext cx="3055620" cy="1265555"/>
                        </a:xfrm>
                        <a:prstGeom prst="rect"/>
                        <a:solidFill>
                          <a:srgbClr val="FFFFFF"/>
                        </a:solidFill>
                      </wps:spPr>
                      <wps:txbx>
                        <w:txbxContent>
                          <w:p>
                            <w:pPr>
                              <w:pStyle w:val="TextBody"/>
                              <w:bidi w:val="0"/>
                              <w:spacing w:lineRule="atLeast" w:line="210" w:before="0" w:after="0"/>
                              <w:jc w:val="both"/>
                              <w:rPr>
                                <w:rFonts w:ascii="Arial;Helvetica;sans-serif" w:hAnsi="Arial;Helvetica;sans-serif"/>
                                <w:sz w:val="20"/>
                              </w:rPr>
                            </w:pPr>
                            <w:r>
                              <w:rPr>
                                <w:rFonts w:ascii="Arial;Helvetica;sans-serif" w:hAnsi="Arial;Helvetica;sans-serif"/>
                                <w:spacing w:val="-2"/>
                                <w:sz w:val="20"/>
                              </w:rPr>
                              <w:t>degree from Yale College, as well as a number of honorary degrees and awards, including the 2020 ULI Prize for Visionaries in Urban Development.</w:t>
                            </w:r>
                            <w:r>
                              <w:rPr>
                                <w:rFonts w:ascii="Arial;Helvetica;sans-serif" w:hAnsi="Arial;Helvetica;sans-serif"/>
                                <w:spacing w:val="4"/>
                                <w:sz w:val="20"/>
                              </w:rPr>
                              <w:t xml:space="preserve"> </w:t>
                            </w:r>
                          </w:p>
                          <w:p>
                            <w:pPr>
                              <w:pStyle w:val="TextBody"/>
                              <w:bidi w:val="0"/>
                              <w:spacing w:lineRule="atLeast" w:line="240" w:before="240" w:after="283"/>
                              <w:jc w:val="left"/>
                              <w:rPr>
                                <w:rFonts w:ascii="Arial;Helvetica;sans-serif" w:hAnsi="Arial;Helvetica;sans-serif"/>
                                <w:b/>
                                <w:sz w:val="20"/>
                              </w:rPr>
                            </w:pPr>
                            <w:r>
                              <w:rPr>
                                <w:rFonts w:ascii="Arial;Helvetica;sans-serif" w:hAnsi="Arial;Helvetica;sans-serif"/>
                                <w:b/>
                                <w:spacing w:val="0"/>
                                <w:sz w:val="20"/>
                              </w:rPr>
                              <w:t>Qualifications</w:t>
                            </w:r>
                            <w:r>
                              <w:rPr>
                                <w:rFonts w:ascii="Arial;Helvetica;sans-serif" w:hAnsi="Arial;Helvetica;sans-serif"/>
                                <w:b/>
                                <w:spacing w:val="4"/>
                                <w:sz w:val="20"/>
                              </w:rPr>
                              <w:t xml:space="preserve"> </w:t>
                            </w:r>
                          </w:p>
                          <w:p>
                            <w:pPr>
                              <w:pStyle w:val="TextBody"/>
                              <w:bidi w:val="0"/>
                              <w:spacing w:lineRule="atLeast" w:line="210" w:before="80" w:after="283"/>
                              <w:jc w:val="both"/>
                              <w:rPr>
                                <w:rFonts w:ascii="Arial;Helvetica;sans-serif" w:hAnsi="Arial;Helvetica;sans-serif"/>
                                <w:spacing w:val="-2"/>
                                <w:sz w:val="20"/>
                              </w:rPr>
                            </w:pPr>
                            <w:r>
                              <w:rPr>
                                <w:rFonts w:ascii="Arial;Helvetica;sans-serif" w:hAnsi="Arial;Helvetica;sans-serif"/>
                                <w:spacing w:val="-2"/>
                                <w:sz w:val="20"/>
                              </w:rPr>
                              <w:t xml:space="preserve">Mr. Williams’ extensive experience with urban development, government relations and financial </w:t>
                            </w:r>
                          </w:p>
                        </w:txbxContent>
                      </wps:txbx>
                      <wps:bodyPr anchor="t" lIns="0" tIns="0" rIns="0" bIns="0">
                        <a:noAutofit/>
                      </wps:bodyPr>
                    </wps:wsp>
                  </a:graphicData>
                </a:graphic>
              </wp:anchor>
            </w:drawing>
          </mc:Choice>
          <mc:Fallback>
            <w:pict>
              <v:rect style="position:absolute;rotation:-0;width:240.6pt;height:99.65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10" w:before="0" w:after="0"/>
                        <w:jc w:val="both"/>
                        <w:rPr>
                          <w:rFonts w:ascii="Arial;Helvetica;sans-serif" w:hAnsi="Arial;Helvetica;sans-serif"/>
                          <w:sz w:val="20"/>
                        </w:rPr>
                      </w:pPr>
                      <w:r>
                        <w:rPr>
                          <w:rFonts w:ascii="Arial;Helvetica;sans-serif" w:hAnsi="Arial;Helvetica;sans-serif"/>
                          <w:spacing w:val="-2"/>
                          <w:sz w:val="20"/>
                        </w:rPr>
                        <w:t>degree from Yale College, as well as a number of honorary degrees and awards, including the 2020 ULI Prize for Visionaries in Urban Development.</w:t>
                      </w:r>
                      <w:r>
                        <w:rPr>
                          <w:rFonts w:ascii="Arial;Helvetica;sans-serif" w:hAnsi="Arial;Helvetica;sans-serif"/>
                          <w:spacing w:val="4"/>
                          <w:sz w:val="20"/>
                        </w:rPr>
                        <w:t xml:space="preserve"> </w:t>
                      </w:r>
                    </w:p>
                    <w:p>
                      <w:pPr>
                        <w:pStyle w:val="TextBody"/>
                        <w:bidi w:val="0"/>
                        <w:spacing w:lineRule="atLeast" w:line="240" w:before="240" w:after="283"/>
                        <w:jc w:val="left"/>
                        <w:rPr>
                          <w:rFonts w:ascii="Arial;Helvetica;sans-serif" w:hAnsi="Arial;Helvetica;sans-serif"/>
                          <w:b/>
                          <w:sz w:val="20"/>
                        </w:rPr>
                      </w:pPr>
                      <w:r>
                        <w:rPr>
                          <w:rFonts w:ascii="Arial;Helvetica;sans-serif" w:hAnsi="Arial;Helvetica;sans-serif"/>
                          <w:b/>
                          <w:spacing w:val="0"/>
                          <w:sz w:val="20"/>
                        </w:rPr>
                        <w:t>Qualifications</w:t>
                      </w:r>
                      <w:r>
                        <w:rPr>
                          <w:rFonts w:ascii="Arial;Helvetica;sans-serif" w:hAnsi="Arial;Helvetica;sans-serif"/>
                          <w:b/>
                          <w:spacing w:val="4"/>
                          <w:sz w:val="20"/>
                        </w:rPr>
                        <w:t xml:space="preserve"> </w:t>
                      </w:r>
                    </w:p>
                    <w:p>
                      <w:pPr>
                        <w:pStyle w:val="TextBody"/>
                        <w:bidi w:val="0"/>
                        <w:spacing w:lineRule="atLeast" w:line="210" w:before="80" w:after="283"/>
                        <w:jc w:val="both"/>
                        <w:rPr>
                          <w:rFonts w:ascii="Arial;Helvetica;sans-serif" w:hAnsi="Arial;Helvetica;sans-serif"/>
                          <w:spacing w:val="-2"/>
                          <w:sz w:val="20"/>
                        </w:rPr>
                      </w:pPr>
                      <w:r>
                        <w:rPr>
                          <w:rFonts w:ascii="Arial;Helvetica;sans-serif" w:hAnsi="Arial;Helvetica;sans-serif"/>
                          <w:spacing w:val="-2"/>
                          <w:sz w:val="20"/>
                        </w:rPr>
                        <w:t xml:space="preserve">Mr. Williams’ extensive experience with urban development, government relations and financial </w:t>
                      </w:r>
                    </w:p>
                  </w:txbxContent>
                </v:textbox>
                <w10:wrap type="square" side="right"/>
              </v:rect>
            </w:pict>
          </mc:Fallback>
        </mc:AlternateContent>
      </w:r>
      <w:r>
        <mc:AlternateContent>
          <mc:Choice Requires="wps">
            <w:drawing>
              <wp:anchor behindDoc="0" distT="0" distB="0" distL="304800" distR="0" simplePos="0" locked="0" layoutInCell="1" allowOverlap="1" relativeHeight="409">
                <wp:simplePos x="0" y="0"/>
                <wp:positionH relativeFrom="column">
                  <wp:align>left</wp:align>
                </wp:positionH>
                <wp:positionV relativeFrom="line">
                  <wp:posOffset>635</wp:posOffset>
                </wp:positionV>
                <wp:extent cx="3055620" cy="438150"/>
                <wp:effectExtent l="0" t="0" r="0" b="0"/>
                <wp:wrapSquare wrapText="right"/>
                <wp:docPr id="387" name="Frame285"/>
                <a:graphic xmlns:a="http://schemas.openxmlformats.org/drawingml/2006/main">
                  <a:graphicData uri="http://schemas.microsoft.com/office/word/2010/wordprocessingShape">
                    <wps:wsp>
                      <wps:cNvSpPr txBox="1"/>
                      <wps:spPr>
                        <a:xfrm>
                          <a:off x="0" y="0"/>
                          <a:ext cx="3055620" cy="438150"/>
                        </a:xfrm>
                        <a:prstGeom prst="rect"/>
                        <a:solidFill>
                          <a:srgbClr val="FFFFFF"/>
                        </a:solidFill>
                      </wps:spPr>
                      <wps:txbx>
                        <w:txbxContent>
                          <w:p>
                            <w:pPr>
                              <w:pStyle w:val="TextBody"/>
                              <w:bidi w:val="0"/>
                              <w:spacing w:lineRule="atLeast" w:line="230" w:before="0" w:after="0"/>
                              <w:jc w:val="both"/>
                              <w:rPr>
                                <w:rFonts w:ascii="Arial;Helvetica;sans-serif" w:hAnsi="Arial;Helvetica;sans-serif"/>
                                <w:sz w:val="20"/>
                              </w:rPr>
                            </w:pPr>
                            <w:r>
                              <w:rPr>
                                <w:rFonts w:ascii="Arial;Helvetica;sans-serif" w:hAnsi="Arial;Helvetica;sans-serif"/>
                                <w:spacing w:val="-2"/>
                                <w:sz w:val="20"/>
                              </w:rPr>
                              <w:t>oversight enables him to provide the Board with key insight into urban development and the related government relations.</w:t>
                            </w:r>
                            <w:r>
                              <w:rPr>
                                <w:rFonts w:ascii="Arial;Helvetica;sans-serif" w:hAnsi="Arial;Helvetica;sans-serif"/>
                                <w:sz w:val="20"/>
                              </w:rPr>
                              <w:t xml:space="preserve"> </w:t>
                            </w:r>
                          </w:p>
                        </w:txbxContent>
                      </wps:txbx>
                      <wps:bodyPr anchor="t" lIns="0" tIns="0" rIns="0" bIns="0">
                        <a:noAutofit/>
                      </wps:bodyPr>
                    </wps:wsp>
                  </a:graphicData>
                </a:graphic>
              </wp:anchor>
            </w:drawing>
          </mc:Choice>
          <mc:Fallback>
            <w:pict>
              <v:rect style="position:absolute;rotation:-0;width:240.6pt;height:34.5pt;mso-wrap-distance-left:24pt;mso-wrap-distance-right:0pt;mso-wrap-distance-top:0pt;mso-wrap-distance-bottom:0pt;margin-top:0pt;mso-position-vertical:top;mso-position-vertical-relative:text;margin-left:288.6pt;mso-position-horizontal:left;mso-position-horizontal-relative:text">
                <v:textbox>
                  <w:txbxContent>
                    <w:p>
                      <w:pPr>
                        <w:pStyle w:val="TextBody"/>
                        <w:bidi w:val="0"/>
                        <w:spacing w:lineRule="atLeast" w:line="230" w:before="0" w:after="0"/>
                        <w:jc w:val="both"/>
                        <w:rPr>
                          <w:rFonts w:ascii="Arial;Helvetica;sans-serif" w:hAnsi="Arial;Helvetica;sans-serif"/>
                          <w:sz w:val="20"/>
                        </w:rPr>
                      </w:pPr>
                      <w:r>
                        <w:rPr>
                          <w:rFonts w:ascii="Arial;Helvetica;sans-serif" w:hAnsi="Arial;Helvetica;sans-serif"/>
                          <w:spacing w:val="-2"/>
                          <w:sz w:val="20"/>
                        </w:rPr>
                        <w:t>oversight enables him to provide the Board with key insight into urban development and the related government relations.</w:t>
                      </w:r>
                      <w:r>
                        <w:rPr>
                          <w:rFonts w:ascii="Arial;Helvetica;sans-serif" w:hAnsi="Arial;Helvetica;sans-serif"/>
                          <w:sz w:val="20"/>
                        </w:rPr>
                        <w:t xml:space="preserve"> </w:t>
                      </w:r>
                    </w:p>
                  </w:txbxContent>
                </v:textbox>
                <w10:wrap type="square" side="right"/>
              </v:rect>
            </w:pict>
          </mc:Fallback>
        </mc:AlternateContent>
      </w:r>
    </w:p>
    <w:tbl>
      <w:tblPr>
        <w:tblW w:w="9304" w:type="dxa"/>
        <w:jc w:val="left"/>
        <w:tblInd w:w="901" w:type="dxa"/>
        <w:tblLayout w:type="fixed"/>
        <w:tblCellMar>
          <w:top w:w="0" w:type="dxa"/>
          <w:left w:w="0" w:type="dxa"/>
          <w:bottom w:w="0" w:type="dxa"/>
          <w:right w:w="0" w:type="dxa"/>
        </w:tblCellMar>
      </w:tblPr>
      <w:tblGrid>
        <w:gridCol w:w="124"/>
        <w:gridCol w:w="109"/>
        <w:gridCol w:w="374"/>
        <w:gridCol w:w="109"/>
        <w:gridCol w:w="109"/>
        <w:gridCol w:w="8215"/>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16" w:space="0" w:color="BAD8EA"/>
            </w:tcBorders>
            <w:shd w:fill="E5E5E5" w:val="clear"/>
            <w:tcMar>
              <w:bottom w:w="28" w:type="dxa"/>
            </w:tcMar>
            <w:vAlign w:val="center"/>
          </w:tcPr>
          <w:p>
            <w:pPr>
              <w:pStyle w:val="TableContents"/>
              <w:bidi w:val="0"/>
              <w:spacing w:before="0" w:after="283"/>
              <w:jc w:val="left"/>
              <w:rPr/>
            </w:pPr>
            <w:r>
              <w:rPr/>
              <w:t>​</w:t>
            </w:r>
          </w:p>
        </w:tc>
        <w:tc>
          <w:tcPr>
            <w:tcW w:w="374" w:type="dxa"/>
            <w:tcBorders>
              <w:bottom w:val="single" w:sz="16" w:space="0" w:color="BAD8EA"/>
            </w:tcBorders>
            <w:shd w:fill="E5E5E5" w:val="clear"/>
            <w:tcMar>
              <w:bottom w:w="160" w:type="dxa"/>
            </w:tcMar>
            <w:vAlign w:val="center"/>
          </w:tcPr>
          <w:p>
            <w:pPr>
              <w:pStyle w:val="TableContents"/>
              <w:bidi w:val="0"/>
              <w:spacing w:lineRule="atLeast" w:line="318" w:before="0" w:after="0"/>
              <w:jc w:val="center"/>
              <w:rPr/>
            </w:pPr>
            <w:r>
              <w:rPr>
                <w:spacing w:val="-2"/>
              </w:rPr>
              <w:t>✓</w:t>
            </w:r>
            <w:r>
              <w:rPr/>
              <w:t xml:space="preserve"> </w:t>
            </w:r>
          </w:p>
        </w:tc>
        <w:tc>
          <w:tcPr>
            <w:tcW w:w="109" w:type="dxa"/>
            <w:tcBorders>
              <w:bottom w:val="single" w:sz="16" w:space="0" w:color="BAD8EA"/>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16" w:space="0" w:color="BAD8EA"/>
            </w:tcBorders>
            <w:shd w:fill="E5E5E5" w:val="clear"/>
            <w:tcMar>
              <w:bottom w:w="28" w:type="dxa"/>
            </w:tcMar>
            <w:vAlign w:val="center"/>
          </w:tcPr>
          <w:p>
            <w:pPr>
              <w:pStyle w:val="TableContents"/>
              <w:bidi w:val="0"/>
              <w:spacing w:before="0" w:after="283"/>
              <w:jc w:val="left"/>
              <w:rPr/>
            </w:pPr>
            <w:r>
              <w:rPr/>
              <w:t>​</w:t>
            </w:r>
          </w:p>
        </w:tc>
        <w:tc>
          <w:tcPr>
            <w:tcW w:w="8215" w:type="dxa"/>
            <w:tcBorders>
              <w:bottom w:val="single" w:sz="16" w:space="0" w:color="BAD8EA"/>
            </w:tcBorders>
            <w:shd w:fill="E5E5E5" w:val="clear"/>
            <w:tcMar>
              <w:bottom w:w="28" w:type="dxa"/>
            </w:tcMar>
            <w:vAlign w:val="center"/>
          </w:tcPr>
          <w:p>
            <w:pPr>
              <w:pStyle w:val="TableContents"/>
              <w:bidi w:val="0"/>
              <w:spacing w:lineRule="atLeast" w:line="228" w:before="0" w:after="0"/>
              <w:jc w:val="left"/>
              <w:rPr/>
            </w:pPr>
            <w:r>
              <w:rPr>
                <w:spacing w:val="-1"/>
              </w:rPr>
              <w:t xml:space="preserve">The Board recommends a vote </w:t>
            </w:r>
            <w:r>
              <w:rPr>
                <w:b/>
                <w:spacing w:val="-2"/>
              </w:rPr>
              <w:t>FOR</w:t>
            </w:r>
            <w:r>
              <w:rPr>
                <w:spacing w:val="-1"/>
              </w:rPr>
              <w:t xml:space="preserve"> each of the eleven director nominees listed above.</w:t>
            </w:r>
            <w:r>
              <w:rPr/>
              <w:t xml:space="preserve"> </w:t>
            </w:r>
          </w:p>
        </w:tc>
        <w:tc>
          <w:tcPr>
            <w:tcW w:w="109" w:type="dxa"/>
            <w:tcBorders>
              <w:bottom w:val="single" w:sz="16" w:space="0" w:color="BAD8EA"/>
            </w:tcBorders>
            <w:shd w:fill="E5E5E5" w:val="clear"/>
            <w:tcMar>
              <w:bottom w:w="28" w:type="dxa"/>
            </w:tcMar>
            <w:vAlign w:val="center"/>
          </w:tcPr>
          <w:p>
            <w:pPr>
              <w:pStyle w:val="TableContents"/>
              <w:bidi w:val="0"/>
              <w:spacing w:before="0" w:after="283"/>
              <w:jc w:val="left"/>
              <w:rPr/>
            </w:pPr>
            <w:r>
              <w:rPr/>
              <w:t>​</w:t>
            </w:r>
          </w:p>
        </w:tc>
        <w:tc>
          <w:tcPr>
            <w:tcW w:w="155" w:type="dxa"/>
            <w:tcBorders/>
            <w:shd w:fill="E5E5E5" w:val="clear"/>
            <w:vAlign w:val="center"/>
          </w:tcPr>
          <w:p>
            <w:pPr>
              <w:pStyle w:val="TableContents"/>
              <w:bidi w:val="0"/>
              <w:spacing w:before="0" w:after="283"/>
              <w:jc w:val="left"/>
              <w:rPr/>
            </w:pPr>
            <w:r>
              <w:rPr/>
              <w:t>​</w:t>
            </w:r>
          </w:p>
        </w:tc>
      </w:tr>
    </w:tbl>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42 \ 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PN2A"/>
      <w:bookmarkEnd w:id="48"/>
      <w:r>
        <w:rPr>
          <w:rFonts w:ascii="calibri;arial;sans-serif" w:hAnsi="calibri;arial;sans-serif"/>
          <w:b w:val="false"/>
          <w:i w:val="false"/>
          <w:caps w:val="false"/>
          <w:smallCaps w:val="false"/>
          <w:color w:val="000000"/>
          <w:sz w:val="16"/>
        </w:rPr>
        <w:t xml:space="preserve">​ </w:t>
      </w:r>
    </w:p>
    <w:tbl>
      <w:tblPr>
        <w:tblW w:w="5875" w:type="dxa"/>
        <w:jc w:val="left"/>
        <w:tblInd w:w="0" w:type="dxa"/>
        <w:tblLayout w:type="fixed"/>
        <w:tblCellMar>
          <w:top w:w="0" w:type="dxa"/>
          <w:left w:w="0" w:type="dxa"/>
          <w:bottom w:w="0" w:type="dxa"/>
          <w:right w:w="0" w:type="dxa"/>
        </w:tblCellMar>
      </w:tblPr>
      <w:tblGrid>
        <w:gridCol w:w="124"/>
        <w:gridCol w:w="109"/>
        <w:gridCol w:w="109"/>
        <w:gridCol w:w="109"/>
        <w:gridCol w:w="4943"/>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943" w:type="dxa"/>
            <w:tcBorders/>
            <w:vAlign w:val="center"/>
          </w:tcPr>
          <w:p>
            <w:pPr>
              <w:pStyle w:val="TableContents"/>
              <w:bidi w:val="0"/>
              <w:spacing w:before="0" w:after="283"/>
              <w:jc w:val="left"/>
              <w:rPr/>
            </w:pPr>
            <w:r>
              <w:rPr>
                <w:spacing w:val="-1"/>
              </w:rPr>
              <w:t>Proposal No. 2</w:t>
            </w:r>
            <w:r>
              <w:rPr>
                <w:spacing w:val="-6"/>
              </w:rPr>
              <w:t> – </w:t>
            </w:r>
            <w:r>
              <w:rPr>
                <w:spacing w:val="-1"/>
              </w:rPr>
              <w:t xml:space="preserve">Advisory (Non-Binding) Vote on </w:t>
              <w:br/>
              <w:t xml:space="preserve">Executive Compensation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410">
                <wp:simplePos x="0" y="0"/>
                <wp:positionH relativeFrom="column">
                  <wp:align>left</wp:align>
                </wp:positionH>
                <wp:positionV relativeFrom="line">
                  <wp:posOffset>635</wp:posOffset>
                </wp:positionV>
                <wp:extent cx="3054350" cy="5944235"/>
                <wp:effectExtent l="0" t="0" r="0" b="0"/>
                <wp:wrapSquare wrapText="right"/>
                <wp:docPr id="388" name="Frame286"/>
                <a:graphic xmlns:a="http://schemas.openxmlformats.org/drawingml/2006/main">
                  <a:graphicData uri="http://schemas.microsoft.com/office/word/2010/wordprocessingShape">
                    <wps:wsp>
                      <wps:cNvSpPr txBox="1"/>
                      <wps:spPr>
                        <a:xfrm>
                          <a:off x="0" y="0"/>
                          <a:ext cx="3054350" cy="5944235"/>
                        </a:xfrm>
                        <a:prstGeom prst="rect"/>
                        <a:solidFill>
                          <a:srgbClr val="FFFFFF"/>
                        </a:solidFill>
                      </wps:spPr>
                      <wps:txbx>
                        <w:txbxContent>
                          <w:p>
                            <w:pPr>
                              <w:pStyle w:val="TextBody"/>
                              <w:bidi w:val="0"/>
                              <w:spacing w:lineRule="atLeast" w:line="230" w:before="0" w:after="0"/>
                              <w:jc w:val="both"/>
                              <w:rPr/>
                            </w:pPr>
                            <w:r>
                              <w:rPr>
                                <w:spacing w:val="-2"/>
                              </w:rPr>
                              <w:t>The Company believes that its compensation policies and procedures are centered on a pay-for-performance culture and are strongly aligned with the long-term interests of its stockholders. This advisory, non-binding, stockholder vote, as required under Section 14A of the Exchange Act and commonly known as “say-on-pay”, gives you, as a stockholder, the opportunity to vote for or against the Company’s executive compensation program. We conduct this vote annually.</w:t>
                            </w:r>
                            <w:r>
                              <w:rPr>
                                <w:spacing w:val="4"/>
                              </w:rPr>
                              <w:t xml:space="preserve"> </w:t>
                            </w:r>
                          </w:p>
                          <w:p>
                            <w:pPr>
                              <w:pStyle w:val="TextBody"/>
                              <w:bidi w:val="0"/>
                              <w:spacing w:lineRule="atLeast" w:line="230" w:before="160" w:after="283"/>
                              <w:jc w:val="both"/>
                              <w:rPr/>
                            </w:pPr>
                            <w:r>
                              <w:rPr>
                                <w:spacing w:val="-2"/>
                              </w:rPr>
                              <w:t>The vote on this proposal is not intended to address any specific element of compensation. The vote relates to the compensation of the Company’s named executive officers (“NEOs”), as disclosed under the headings “</w:t>
                            </w:r>
                            <w:r>
                              <w:rPr>
                                <w:i/>
                              </w:rPr>
                              <w:t>Compensation Discussion and Analysis</w:t>
                            </w:r>
                            <w:r>
                              <w:rPr>
                                <w:spacing w:val="-2"/>
                              </w:rPr>
                              <w:t>” and “</w:t>
                            </w:r>
                            <w:r>
                              <w:rPr>
                                <w:i/>
                              </w:rPr>
                              <w:t>Executive Compensation</w:t>
                            </w:r>
                            <w:r>
                              <w:rPr>
                                <w:spacing w:val="-2"/>
                              </w:rPr>
                              <w:t>” in this Proxy Statement pursuant to the compensation disclosure rules of the SEC. Highlights of our executive compensation program and practices include the following:</w:t>
                            </w:r>
                            <w:r>
                              <w:rPr>
                                <w:spacing w:val="4"/>
                              </w:rPr>
                              <w:t xml:space="preserve"> </w:t>
                            </w:r>
                          </w:p>
                          <w:p>
                            <w:pPr>
                              <w:pStyle w:val="TextBody"/>
                              <w:bidi w:val="0"/>
                              <w:spacing w:lineRule="atLeast" w:line="240" w:before="238" w:after="0"/>
                              <w:ind w:left="760" w:right="0" w:hanging="0"/>
                              <w:jc w:val="both"/>
                              <w:rPr/>
                            </w:pPr>
                            <w:r>
                              <w:rPr>
                                <w:spacing w:val="-2"/>
                              </w:rPr>
                              <w:t>a compensation recovery policy designed to prevent misconduct by any executive officers;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38" w:after="0"/>
                              <w:ind w:left="760" w:right="0" w:hanging="0"/>
                              <w:jc w:val="both"/>
                              <w:rPr/>
                            </w:pPr>
                            <w:r>
                              <w:rPr>
                                <w:spacing w:val="-2"/>
                              </w:rPr>
                              <w:t>no single-trigger change-in-control arrangements;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38" w:after="0"/>
                              <w:ind w:left="760" w:right="0" w:hanging="0"/>
                              <w:jc w:val="both"/>
                              <w:rPr/>
                            </w:pPr>
                            <w:r>
                              <w:rPr>
                                <w:spacing w:val="-2"/>
                              </w:rPr>
                              <w:t>minimum three-year vesting period for performance-based equity awards;</w:t>
                            </w:r>
                            <w:r>
                              <w:rPr>
                                <w:spacing w:val="4"/>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0.5pt;height:468.05pt;mso-wrap-distance-left:45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lineRule="atLeast" w:line="230" w:before="0" w:after="0"/>
                        <w:jc w:val="both"/>
                        <w:rPr/>
                      </w:pPr>
                      <w:r>
                        <w:rPr>
                          <w:spacing w:val="-2"/>
                        </w:rPr>
                        <w:t>The Company believes that its compensation policies and procedures are centered on a pay-for-performance culture and are strongly aligned with the long-term interests of its stockholders. This advisory, non-binding, stockholder vote, as required under Section 14A of the Exchange Act and commonly known as “say-on-pay”, gives you, as a stockholder, the opportunity to vote for or against the Company’s executive compensation program. We conduct this vote annually.</w:t>
                      </w:r>
                      <w:r>
                        <w:rPr>
                          <w:spacing w:val="4"/>
                        </w:rPr>
                        <w:t xml:space="preserve"> </w:t>
                      </w:r>
                    </w:p>
                    <w:p>
                      <w:pPr>
                        <w:pStyle w:val="TextBody"/>
                        <w:bidi w:val="0"/>
                        <w:spacing w:lineRule="atLeast" w:line="230" w:before="160" w:after="283"/>
                        <w:jc w:val="both"/>
                        <w:rPr/>
                      </w:pPr>
                      <w:r>
                        <w:rPr>
                          <w:spacing w:val="-2"/>
                        </w:rPr>
                        <w:t>The vote on this proposal is not intended to address any specific element of compensation. The vote relates to the compensation of the Company’s named executive officers (“NEOs”), as disclosed under the headings “</w:t>
                      </w:r>
                      <w:r>
                        <w:rPr>
                          <w:i/>
                        </w:rPr>
                        <w:t>Compensation Discussion and Analysis</w:t>
                      </w:r>
                      <w:r>
                        <w:rPr>
                          <w:spacing w:val="-2"/>
                        </w:rPr>
                        <w:t>” and “</w:t>
                      </w:r>
                      <w:r>
                        <w:rPr>
                          <w:i/>
                        </w:rPr>
                        <w:t>Executive Compensation</w:t>
                      </w:r>
                      <w:r>
                        <w:rPr>
                          <w:spacing w:val="-2"/>
                        </w:rPr>
                        <w:t>” in this Proxy Statement pursuant to the compensation disclosure rules of the SEC. Highlights of our executive compensation program and practices include the following:</w:t>
                      </w:r>
                      <w:r>
                        <w:rPr>
                          <w:spacing w:val="4"/>
                        </w:rPr>
                        <w:t xml:space="preserve"> </w:t>
                      </w:r>
                    </w:p>
                    <w:p>
                      <w:pPr>
                        <w:pStyle w:val="TextBody"/>
                        <w:bidi w:val="0"/>
                        <w:spacing w:lineRule="atLeast" w:line="240" w:before="238" w:after="0"/>
                        <w:ind w:left="760" w:right="0" w:hanging="0"/>
                        <w:jc w:val="both"/>
                        <w:rPr/>
                      </w:pPr>
                      <w:r>
                        <w:rPr>
                          <w:spacing w:val="-2"/>
                        </w:rPr>
                        <w:t>a compensation recovery policy designed to prevent misconduct by any executive officers;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38" w:after="0"/>
                        <w:ind w:left="760" w:right="0" w:hanging="0"/>
                        <w:jc w:val="both"/>
                        <w:rPr/>
                      </w:pPr>
                      <w:r>
                        <w:rPr>
                          <w:spacing w:val="-2"/>
                        </w:rPr>
                        <w:t>no single-trigger change-in-control arrangements;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38" w:after="0"/>
                        <w:ind w:left="760" w:right="0" w:hanging="0"/>
                        <w:jc w:val="both"/>
                        <w:rPr/>
                      </w:pPr>
                      <w:r>
                        <w:rPr>
                          <w:spacing w:val="-2"/>
                        </w:rPr>
                        <w:t>minimum three-year vesting period for performance-based equity awards;</w:t>
                      </w:r>
                      <w:r>
                        <w:rPr>
                          <w:spacing w:val="4"/>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304800" distR="0" simplePos="0" locked="0" layoutInCell="1" allowOverlap="1" relativeHeight="414">
                <wp:simplePos x="0" y="0"/>
                <wp:positionH relativeFrom="column">
                  <wp:align>left</wp:align>
                </wp:positionH>
                <wp:positionV relativeFrom="line">
                  <wp:posOffset>635</wp:posOffset>
                </wp:positionV>
                <wp:extent cx="3054350" cy="6101715"/>
                <wp:effectExtent l="0" t="0" r="0" b="0"/>
                <wp:wrapSquare wrapText="right"/>
                <wp:docPr id="389" name="Frame290"/>
                <a:graphic xmlns:a="http://schemas.openxmlformats.org/drawingml/2006/main">
                  <a:graphicData uri="http://schemas.microsoft.com/office/word/2010/wordprocessingShape">
                    <wps:wsp>
                      <wps:cNvSpPr txBox="1"/>
                      <wps:spPr>
                        <a:xfrm>
                          <a:off x="0" y="0"/>
                          <a:ext cx="3054350" cy="6101715"/>
                        </a:xfrm>
                        <a:prstGeom prst="rect"/>
                        <a:solidFill>
                          <a:srgbClr val="FFFFFF"/>
                        </a:solidFill>
                      </wps:spPr>
                      <wps:txbx>
                        <w:txbxContent>
                          <w:p>
                            <w:pPr>
                              <w:pStyle w:val="TextBody"/>
                              <w:bidi w:val="0"/>
                              <w:spacing w:lineRule="atLeast" w:line="240" w:before="0" w:after="0"/>
                              <w:ind w:left="760" w:right="0" w:hanging="0"/>
                              <w:jc w:val="both"/>
                              <w:rPr/>
                            </w:pPr>
                            <w:r>
                              <w:rPr>
                                <w:spacing w:val="-2"/>
                              </w:rPr>
                              <w:t>a substantial portion of our long-term equity awards contains meaningful performance hurdles to achieve full vesting;</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2" w:after="0"/>
                              <w:ind w:left="760" w:right="0" w:hanging="0"/>
                              <w:jc w:val="both"/>
                              <w:rPr/>
                            </w:pPr>
                            <w:r>
                              <w:rPr>
                                <w:spacing w:val="-2"/>
                              </w:rPr>
                              <w:t>minimum stock ownership guidelines for the Chief Executive Officer, Chief Financial Officer, and Chief Legal Officer &amp; Secretary;</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2" w:after="0"/>
                              <w:ind w:left="760" w:right="0" w:hanging="0"/>
                              <w:jc w:val="both"/>
                              <w:rPr/>
                            </w:pPr>
                            <w:r>
                              <w:rPr>
                                <w:spacing w:val="-2"/>
                              </w:rPr>
                              <w:t>no excise tax gross-ups in executive employment agreements or incentive plans; and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2" w:after="0"/>
                              <w:ind w:left="760" w:right="0" w:hanging="0"/>
                              <w:jc w:val="both"/>
                              <w:rPr/>
                            </w:pPr>
                            <w:r>
                              <w:rPr>
                                <w:spacing w:val="-2"/>
                              </w:rPr>
                              <w:t>a general prohibition against short sales, investing in publicly traded options, hedging, pledging and margin accounts and limit orders involving Company securities.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2"/>
                              </w:rPr>
                              <w:t>The Board recommends that stockholders vote “FOR” the following resolution:</w:t>
                            </w:r>
                            <w:r>
                              <w:rPr>
                                <w:spacing w:val="4"/>
                              </w:rPr>
                              <w:t xml:space="preserve"> </w:t>
                            </w:r>
                          </w:p>
                          <w:p>
                            <w:pPr>
                              <w:pStyle w:val="TextBody"/>
                              <w:bidi w:val="0"/>
                              <w:spacing w:lineRule="atLeast" w:line="240" w:before="160" w:after="283"/>
                              <w:ind w:left="360" w:right="0" w:hanging="0"/>
                              <w:jc w:val="both"/>
                              <w:rPr/>
                            </w:pPr>
                            <w:r>
                              <w:rPr>
                                <w:b/>
                                <w:spacing w:val="-3"/>
                              </w:rPr>
                              <w:t>RESOLVED</w:t>
                            </w:r>
                            <w:r>
                              <w:rPr>
                                <w:spacing w:val="-2"/>
                              </w:rPr>
                              <w:t>, that the compensation paid to the Company’s named executive officers, as disclosed pursuant to the compensation disclosure rules of the Securities and Exchange Commission, including the Compensation Discussion and Analysis, the compensation tables and any related material disclosed in this Proxy Statement, is hereby approved.</w:t>
                            </w:r>
                            <w:r>
                              <w:rPr/>
                              <w:t xml:space="preserve"> </w:t>
                            </w:r>
                          </w:p>
                        </w:txbxContent>
                      </wps:txbx>
                      <wps:bodyPr anchor="t" lIns="0" tIns="0" rIns="0" bIns="0">
                        <a:noAutofit/>
                      </wps:bodyPr>
                    </wps:wsp>
                  </a:graphicData>
                </a:graphic>
              </wp:anchor>
            </w:drawing>
          </mc:Choice>
          <mc:Fallback>
            <w:pict>
              <v:rect style="position:absolute;rotation:-0;width:240.5pt;height:480.4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ind w:left="760" w:right="0" w:hanging="0"/>
                        <w:jc w:val="both"/>
                        <w:rPr/>
                      </w:pPr>
                      <w:r>
                        <w:rPr>
                          <w:spacing w:val="-2"/>
                        </w:rPr>
                        <w:t>a substantial portion of our long-term equity awards contains meaningful performance hurdles to achieve full vesting;</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2" w:after="0"/>
                        <w:ind w:left="760" w:right="0" w:hanging="0"/>
                        <w:jc w:val="both"/>
                        <w:rPr/>
                      </w:pPr>
                      <w:r>
                        <w:rPr>
                          <w:spacing w:val="-2"/>
                        </w:rPr>
                        <w:t>minimum stock ownership guidelines for the Chief Executive Officer, Chief Financial Officer, and Chief Legal Officer &amp; Secretary;</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2" w:after="0"/>
                        <w:ind w:left="760" w:right="0" w:hanging="0"/>
                        <w:jc w:val="both"/>
                        <w:rPr/>
                      </w:pPr>
                      <w:r>
                        <w:rPr>
                          <w:spacing w:val="-2"/>
                        </w:rPr>
                        <w:t>no excise tax gross-ups in executive employment agreements or incentive plans; and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2" w:after="0"/>
                        <w:ind w:left="760" w:right="0" w:hanging="0"/>
                        <w:jc w:val="both"/>
                        <w:rPr/>
                      </w:pPr>
                      <w:r>
                        <w:rPr>
                          <w:spacing w:val="-2"/>
                        </w:rPr>
                        <w:t>a general prohibition against short sales, investing in publicly traded options, hedging, pledging and margin accounts and limit orders involving Company securities.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2"/>
                        </w:rPr>
                        <w:t>The Board recommends that stockholders vote “FOR” the following resolution:</w:t>
                      </w:r>
                      <w:r>
                        <w:rPr>
                          <w:spacing w:val="4"/>
                        </w:rPr>
                        <w:t xml:space="preserve"> </w:t>
                      </w:r>
                    </w:p>
                    <w:p>
                      <w:pPr>
                        <w:pStyle w:val="TextBody"/>
                        <w:bidi w:val="0"/>
                        <w:spacing w:lineRule="atLeast" w:line="240" w:before="160" w:after="283"/>
                        <w:ind w:left="360" w:right="0" w:hanging="0"/>
                        <w:jc w:val="both"/>
                        <w:rPr/>
                      </w:pPr>
                      <w:r>
                        <w:rPr>
                          <w:b/>
                          <w:spacing w:val="-3"/>
                        </w:rPr>
                        <w:t>RESOLVED</w:t>
                      </w:r>
                      <w:r>
                        <w:rPr>
                          <w:spacing w:val="-2"/>
                        </w:rPr>
                        <w:t>, that the compensation paid to the Company’s named executive officers, as disclosed pursuant to the compensation disclosure rules of the Securities and Exchange Commission, including the Compensation Discussion and Analysis, the compensation tables and any related material disclosed in this Proxy Statement, is hereby approved.</w:t>
                      </w:r>
                      <w:r>
                        <w:rPr/>
                        <w:t xml:space="preserve"> </w:t>
                      </w:r>
                    </w:p>
                  </w:txbxContent>
                </v:textbox>
                <w10:wrap type="square" side="right"/>
              </v:rect>
            </w:pict>
          </mc:Fallback>
        </mc:AlternateContent>
      </w:r>
      <w:r>
        <mc:AlternateContent>
          <mc:Choice Requires="wps">
            <w:drawing>
              <wp:anchor behindDoc="0" distT="151130" distB="0" distL="254000" distR="0" simplePos="0" locked="0" layoutInCell="1" allowOverlap="1" relativeHeight="411">
                <wp:simplePos x="0" y="0"/>
                <wp:positionH relativeFrom="column">
                  <wp:align>left</wp:align>
                </wp:positionH>
                <wp:positionV relativeFrom="line">
                  <wp:align>top</wp:align>
                </wp:positionV>
                <wp:extent cx="228600" cy="350520"/>
                <wp:effectExtent l="0" t="0" r="0" b="0"/>
                <wp:wrapSquare wrapText="right"/>
                <wp:docPr id="390" name="Frame28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1130" distB="0" distL="254000" distR="0" simplePos="0" locked="0" layoutInCell="1" allowOverlap="1" relativeHeight="412">
                <wp:simplePos x="0" y="0"/>
                <wp:positionH relativeFrom="column">
                  <wp:align>left</wp:align>
                </wp:positionH>
                <wp:positionV relativeFrom="line">
                  <wp:align>top</wp:align>
                </wp:positionV>
                <wp:extent cx="228600" cy="350520"/>
                <wp:effectExtent l="0" t="0" r="0" b="0"/>
                <wp:wrapSquare wrapText="right"/>
                <wp:docPr id="391" name="Frame28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1130" distB="0" distL="254000" distR="0" simplePos="0" locked="0" layoutInCell="1" allowOverlap="1" relativeHeight="413">
                <wp:simplePos x="0" y="0"/>
                <wp:positionH relativeFrom="column">
                  <wp:align>left</wp:align>
                </wp:positionH>
                <wp:positionV relativeFrom="line">
                  <wp:align>top</wp:align>
                </wp:positionV>
                <wp:extent cx="228600" cy="350520"/>
                <wp:effectExtent l="0" t="0" r="0" b="0"/>
                <wp:wrapSquare wrapText="right"/>
                <wp:docPr id="392" name="Frame28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415">
                <wp:simplePos x="0" y="0"/>
                <wp:positionH relativeFrom="column">
                  <wp:align>left</wp:align>
                </wp:positionH>
                <wp:positionV relativeFrom="line">
                  <wp:posOffset>635</wp:posOffset>
                </wp:positionV>
                <wp:extent cx="228600" cy="350520"/>
                <wp:effectExtent l="0" t="0" r="0" b="0"/>
                <wp:wrapSquare wrapText="right"/>
                <wp:docPr id="393" name="Frame29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3670" distB="0" distL="254000" distR="0" simplePos="0" locked="0" layoutInCell="1" allowOverlap="1" relativeHeight="416">
                <wp:simplePos x="0" y="0"/>
                <wp:positionH relativeFrom="column">
                  <wp:align>left</wp:align>
                </wp:positionH>
                <wp:positionV relativeFrom="line">
                  <wp:align>top</wp:align>
                </wp:positionV>
                <wp:extent cx="228600" cy="350520"/>
                <wp:effectExtent l="0" t="0" r="0" b="0"/>
                <wp:wrapSquare wrapText="right"/>
                <wp:docPr id="394" name="Frame29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3670" distB="0" distL="254000" distR="0" simplePos="0" locked="0" layoutInCell="1" allowOverlap="1" relativeHeight="417">
                <wp:simplePos x="0" y="0"/>
                <wp:positionH relativeFrom="column">
                  <wp:align>left</wp:align>
                </wp:positionH>
                <wp:positionV relativeFrom="line">
                  <wp:align>top</wp:align>
                </wp:positionV>
                <wp:extent cx="228600" cy="350520"/>
                <wp:effectExtent l="0" t="0" r="0" b="0"/>
                <wp:wrapSquare wrapText="right"/>
                <wp:docPr id="395" name="Frame29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3670" distB="0" distL="254000" distR="0" simplePos="0" locked="0" layoutInCell="1" allowOverlap="1" relativeHeight="418">
                <wp:simplePos x="0" y="0"/>
                <wp:positionH relativeFrom="column">
                  <wp:align>left</wp:align>
                </wp:positionH>
                <wp:positionV relativeFrom="line">
                  <wp:align>top</wp:align>
                </wp:positionV>
                <wp:extent cx="228600" cy="350520"/>
                <wp:effectExtent l="0" t="0" r="0" b="0"/>
                <wp:wrapSquare wrapText="right"/>
                <wp:docPr id="396" name="Frame29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tbl>
      <w:tblPr>
        <w:tblW w:w="9305" w:type="dxa"/>
        <w:jc w:val="left"/>
        <w:tblInd w:w="900" w:type="dxa"/>
        <w:tblLayout w:type="fixed"/>
        <w:tblCellMar>
          <w:top w:w="0" w:type="dxa"/>
          <w:left w:w="0" w:type="dxa"/>
          <w:bottom w:w="0" w:type="dxa"/>
          <w:right w:w="0" w:type="dxa"/>
        </w:tblCellMar>
      </w:tblPr>
      <w:tblGrid>
        <w:gridCol w:w="124"/>
        <w:gridCol w:w="109"/>
        <w:gridCol w:w="363"/>
        <w:gridCol w:w="109"/>
        <w:gridCol w:w="109"/>
        <w:gridCol w:w="8227"/>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16" w:space="0" w:color="BAD8EA"/>
            </w:tcBorders>
            <w:shd w:fill="E5E5E5" w:val="clear"/>
            <w:tcMar>
              <w:bottom w:w="28" w:type="dxa"/>
            </w:tcMar>
            <w:vAlign w:val="center"/>
          </w:tcPr>
          <w:p>
            <w:pPr>
              <w:pStyle w:val="TableContents"/>
              <w:bidi w:val="0"/>
              <w:spacing w:before="0" w:after="283"/>
              <w:jc w:val="left"/>
              <w:rPr/>
            </w:pPr>
            <w:r>
              <w:rPr/>
              <w:t>​</w:t>
            </w:r>
          </w:p>
        </w:tc>
        <w:tc>
          <w:tcPr>
            <w:tcW w:w="363" w:type="dxa"/>
            <w:tcBorders>
              <w:bottom w:val="single" w:sz="16" w:space="0" w:color="BAD8EA"/>
            </w:tcBorders>
            <w:shd w:fill="E5E5E5" w:val="clear"/>
            <w:tcMar>
              <w:bottom w:w="281" w:type="dxa"/>
            </w:tcMar>
            <w:vAlign w:val="center"/>
          </w:tcPr>
          <w:p>
            <w:pPr>
              <w:pStyle w:val="TableContents"/>
              <w:bidi w:val="0"/>
              <w:spacing w:lineRule="atLeast" w:line="318" w:before="0" w:after="0"/>
              <w:jc w:val="center"/>
              <w:rPr/>
            </w:pPr>
            <w:r>
              <w:rPr>
                <w:spacing w:val="-2"/>
              </w:rPr>
              <w:t>✓</w:t>
            </w:r>
            <w:r>
              <w:rPr/>
              <w:t xml:space="preserve"> </w:t>
            </w:r>
          </w:p>
        </w:tc>
        <w:tc>
          <w:tcPr>
            <w:tcW w:w="109" w:type="dxa"/>
            <w:tcBorders>
              <w:bottom w:val="single" w:sz="16" w:space="0" w:color="BAD8EA"/>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16" w:space="0" w:color="BAD8EA"/>
            </w:tcBorders>
            <w:shd w:fill="E5E5E5" w:val="clear"/>
            <w:tcMar>
              <w:bottom w:w="28" w:type="dxa"/>
            </w:tcMar>
            <w:vAlign w:val="center"/>
          </w:tcPr>
          <w:p>
            <w:pPr>
              <w:pStyle w:val="TableContents"/>
              <w:bidi w:val="0"/>
              <w:spacing w:before="0" w:after="283"/>
              <w:jc w:val="left"/>
              <w:rPr/>
            </w:pPr>
            <w:r>
              <w:rPr/>
              <w:t>​</w:t>
            </w:r>
          </w:p>
        </w:tc>
        <w:tc>
          <w:tcPr>
            <w:tcW w:w="8227" w:type="dxa"/>
            <w:tcBorders>
              <w:bottom w:val="single" w:sz="16" w:space="0" w:color="BAD8EA"/>
            </w:tcBorders>
            <w:shd w:fill="E5E5E5" w:val="clear"/>
            <w:tcMar>
              <w:bottom w:w="28" w:type="dxa"/>
            </w:tcMar>
            <w:vAlign w:val="center"/>
          </w:tcPr>
          <w:p>
            <w:pPr>
              <w:pStyle w:val="TableContents"/>
              <w:bidi w:val="0"/>
              <w:spacing w:lineRule="atLeast" w:line="228" w:before="0" w:after="0"/>
              <w:jc w:val="left"/>
              <w:rPr/>
            </w:pPr>
            <w:r>
              <w:rPr>
                <w:spacing w:val="-1"/>
              </w:rPr>
              <w:t xml:space="preserve">The Board recommends a vote </w:t>
            </w:r>
            <w:r>
              <w:rPr>
                <w:b/>
                <w:color w:val="2E2925"/>
                <w:spacing w:val="-2"/>
              </w:rPr>
              <w:t>FOR</w:t>
            </w:r>
            <w:r>
              <w:rPr>
                <w:spacing w:val="-1"/>
              </w:rPr>
              <w:t xml:space="preserve"> the resolution approving the executive compensation of our NEOs.</w:t>
            </w:r>
            <w:r>
              <w:rPr/>
              <w:t xml:space="preserve"> </w:t>
            </w:r>
          </w:p>
        </w:tc>
        <w:tc>
          <w:tcPr>
            <w:tcW w:w="109" w:type="dxa"/>
            <w:tcBorders>
              <w:bottom w:val="single" w:sz="16" w:space="0" w:color="BAD8EA"/>
            </w:tcBorders>
            <w:shd w:fill="E5E5E5" w:val="clear"/>
            <w:tcMar>
              <w:bottom w:w="28" w:type="dxa"/>
            </w:tcMar>
            <w:vAlign w:val="center"/>
          </w:tcPr>
          <w:p>
            <w:pPr>
              <w:pStyle w:val="TableContents"/>
              <w:bidi w:val="0"/>
              <w:spacing w:before="0" w:after="283"/>
              <w:jc w:val="left"/>
              <w:rPr/>
            </w:pPr>
            <w:r>
              <w:rPr/>
              <w:t>​</w:t>
            </w:r>
          </w:p>
        </w:tc>
        <w:tc>
          <w:tcPr>
            <w:tcW w:w="155" w:type="dxa"/>
            <w:tcBorders/>
            <w:shd w:fill="E5E5E5" w:val="clear"/>
            <w:vAlign w:val="center"/>
          </w:tcPr>
          <w:p>
            <w:pPr>
              <w:pStyle w:val="TableContents"/>
              <w:bidi w:val="0"/>
              <w:spacing w:before="0" w:after="283"/>
              <w:jc w:val="left"/>
              <w:rPr/>
            </w:pPr>
            <w:r>
              <w:rPr/>
              <w:t>​</w:t>
            </w:r>
          </w:p>
        </w:tc>
      </w:tr>
    </w:tbl>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/ 43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PN3R"/>
      <w:bookmarkEnd w:id="49"/>
      <w:r>
        <w:rPr>
          <w:rFonts w:ascii="calibri;arial;sans-serif" w:hAnsi="calibri;arial;sans-serif"/>
          <w:b w:val="false"/>
          <w:i w:val="false"/>
          <w:caps w:val="false"/>
          <w:smallCaps w:val="false"/>
          <w:color w:val="000000"/>
          <w:sz w:val="16"/>
        </w:rPr>
        <w:t>​</w:t>
      </w:r>
      <w:bookmarkStart w:id="50" w:name="tRWIR"/>
      <w:bookmarkEnd w:id="50"/>
      <w:r>
        <w:rPr>
          <w:rFonts w:ascii="calibri;arial;sans-serif" w:hAnsi="calibri;arial;sans-serif"/>
          <w:b w:val="false"/>
          <w:i w:val="false"/>
          <w:caps w:val="false"/>
          <w:smallCaps w:val="false"/>
          <w:color w:val="000000"/>
          <w:sz w:val="16"/>
        </w:rPr>
        <w:t xml:space="preserve">​ </w:t>
      </w:r>
    </w:p>
    <w:tbl>
      <w:tblPr>
        <w:tblW w:w="7709" w:type="dxa"/>
        <w:jc w:val="left"/>
        <w:tblInd w:w="0" w:type="dxa"/>
        <w:tblLayout w:type="fixed"/>
        <w:tblCellMar>
          <w:top w:w="0" w:type="dxa"/>
          <w:left w:w="0" w:type="dxa"/>
          <w:bottom w:w="0" w:type="dxa"/>
          <w:right w:w="0" w:type="dxa"/>
        </w:tblCellMar>
      </w:tblPr>
      <w:tblGrid>
        <w:gridCol w:w="124"/>
        <w:gridCol w:w="109"/>
        <w:gridCol w:w="109"/>
        <w:gridCol w:w="109"/>
        <w:gridCol w:w="6777"/>
        <w:gridCol w:w="109"/>
        <w:gridCol w:w="109"/>
        <w:gridCol w:w="109"/>
        <w:gridCol w:w="154"/>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77" w:type="dxa"/>
            <w:tcBorders/>
            <w:vAlign w:val="center"/>
          </w:tcPr>
          <w:p>
            <w:pPr>
              <w:pStyle w:val="TableContents"/>
              <w:bidi w:val="0"/>
              <w:spacing w:before="0" w:after="283"/>
              <w:jc w:val="left"/>
              <w:rPr/>
            </w:pPr>
            <w:r>
              <w:rPr>
                <w:spacing w:val="-1"/>
              </w:rPr>
              <w:t>Proposal No. 3</w:t>
            </w:r>
            <w:r>
              <w:rPr>
                <w:spacing w:val="-6"/>
              </w:rPr>
              <w:t> – </w:t>
            </w:r>
            <w:r>
              <w:rPr>
                <w:spacing w:val="-1"/>
              </w:rPr>
              <w:t xml:space="preserve">Ratification of the </w:t>
              <w:br/>
              <w:t>Appointment of KPMG LLP</w:t>
            </w:r>
            <w:r>
              <w:rPr/>
              <w:t xml:space="preserve">​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right"/>
              <w:rPr/>
            </w:pPr>
            <w:r>
              <w:rPr/>
              <w:t>​</w:t>
            </w:r>
          </w:p>
        </w:tc>
        <w:tc>
          <w:tcPr>
            <w:tcW w:w="154" w:type="dxa"/>
            <w:vMerge w:val="restart"/>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777" w:type="dxa"/>
            <w:tcBorders/>
            <w:vAlign w:val="center"/>
          </w:tcPr>
          <w:p>
            <w:pPr>
              <w:pStyle w:val="TableContents"/>
              <w:bidi w:val="0"/>
              <w:spacing w:lineRule="atLeast" w:line="300" w:before="0" w:after="0"/>
              <w:jc w:val="left"/>
              <w:rPr/>
            </w:pPr>
            <w:r>
              <w:rPr>
                <w:spacing w:val="-1"/>
              </w:rPr>
              <w:t xml:space="preserve">as the Company’s Independent Registered Public Accounting Firm for </w:t>
              <w:br/>
              <w:t>Fiscal 2026</w:t>
            </w:r>
            <w:r>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4" w:type="dxa"/>
            <w:vMerge w:val="continue"/>
            <w:tcBorders/>
            <w:vAlign w:val="center"/>
          </w:tcPr>
          <w:p>
            <w:pPr>
              <w:pStyle w:val="Normal"/>
              <w:bidi w:val="0"/>
              <w:jc w:val="left"/>
              <w:rPr/>
            </w:pPr>
            <w:r>
              <w:rPr/>
            </w:r>
          </w:p>
        </w:tc>
      </w:tr>
    </w:tbl>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419">
                <wp:simplePos x="0" y="0"/>
                <wp:positionH relativeFrom="column">
                  <wp:align>left</wp:align>
                </wp:positionH>
                <wp:positionV relativeFrom="line">
                  <wp:posOffset>635</wp:posOffset>
                </wp:positionV>
                <wp:extent cx="3054350" cy="1752600"/>
                <wp:effectExtent l="0" t="0" r="0" b="0"/>
                <wp:wrapSquare wrapText="right"/>
                <wp:docPr id="397" name="Frame295"/>
                <a:graphic xmlns:a="http://schemas.openxmlformats.org/drawingml/2006/main">
                  <a:graphicData uri="http://schemas.microsoft.com/office/word/2010/wordprocessingShape">
                    <wps:wsp>
                      <wps:cNvSpPr txBox="1"/>
                      <wps:spPr>
                        <a:xfrm>
                          <a:off x="0" y="0"/>
                          <a:ext cx="3054350" cy="1752600"/>
                        </a:xfrm>
                        <a:prstGeom prst="rect"/>
                        <a:solidFill>
                          <a:srgbClr val="FFFFFF"/>
                        </a:solidFill>
                      </wps:spPr>
                      <wps:txbx>
                        <w:txbxContent>
                          <w:p>
                            <w:pPr>
                              <w:pStyle w:val="TextBody"/>
                              <w:bidi w:val="0"/>
                              <w:spacing w:lineRule="atLeast" w:line="230" w:before="0" w:after="0"/>
                              <w:jc w:val="both"/>
                              <w:rPr>
                                <w:spacing w:val="-2"/>
                              </w:rPr>
                            </w:pPr>
                            <w:r>
                              <w:rPr>
                                <w:spacing w:val="-2"/>
                              </w:rPr>
                              <w:t xml:space="preserve">The Audit Committee has selected KPMG LLP (“KPMG”) as the Company’s independent registered public accounting firm for fiscal 2026. SEC regulations and the NYSE corporate governance standards require that the Company’s independent registered public accounting firm be engaged, retained and supervised by the Audit Committee. Although approval or ratification by stockholders of such engagement is not required, the Company is seeking the stockholders’ </w:t>
                            </w:r>
                          </w:p>
                        </w:txbxContent>
                      </wps:txbx>
                      <wps:bodyPr anchor="t" lIns="0" tIns="0" rIns="0" bIns="0">
                        <a:noAutofit/>
                      </wps:bodyPr>
                    </wps:wsp>
                  </a:graphicData>
                </a:graphic>
              </wp:anchor>
            </w:drawing>
          </mc:Choice>
          <mc:Fallback>
            <w:pict>
              <v:rect style="position:absolute;rotation:-0;width:240.5pt;height:138pt;mso-wrap-distance-left:45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lineRule="atLeast" w:line="230" w:before="0" w:after="0"/>
                        <w:jc w:val="both"/>
                        <w:rPr>
                          <w:spacing w:val="-2"/>
                        </w:rPr>
                      </w:pPr>
                      <w:r>
                        <w:rPr>
                          <w:spacing w:val="-2"/>
                        </w:rPr>
                        <w:t xml:space="preserve">The Audit Committee has selected KPMG LLP (“KPMG”) as the Company’s independent registered public accounting firm for fiscal 2026. SEC regulations and the NYSE corporate governance standards require that the Company’s independent registered public accounting firm be engaged, retained and supervised by the Audit Committee. Although approval or ratification by stockholders of such engagement is not required, the Company is seeking the stockholders’ </w:t>
                      </w:r>
                    </w:p>
                  </w:txbxContent>
                </v:textbox>
                <w10:wrap type="square" side="right"/>
              </v:rect>
            </w:pict>
          </mc:Fallback>
        </mc:AlternateContent>
      </w:r>
      <w:r>
        <mc:AlternateContent>
          <mc:Choice Requires="wps">
            <w:drawing>
              <wp:anchor behindDoc="0" distT="0" distB="0" distL="304800" distR="0" simplePos="0" locked="0" layoutInCell="1" allowOverlap="1" relativeHeight="420">
                <wp:simplePos x="0" y="0"/>
                <wp:positionH relativeFrom="column">
                  <wp:align>left</wp:align>
                </wp:positionH>
                <wp:positionV relativeFrom="line">
                  <wp:posOffset>635</wp:posOffset>
                </wp:positionV>
                <wp:extent cx="3054350" cy="1577340"/>
                <wp:effectExtent l="0" t="0" r="0" b="0"/>
                <wp:wrapSquare wrapText="right"/>
                <wp:docPr id="398" name="Frame296"/>
                <a:graphic xmlns:a="http://schemas.openxmlformats.org/drawingml/2006/main">
                  <a:graphicData uri="http://schemas.microsoft.com/office/word/2010/wordprocessingShape">
                    <wps:wsp>
                      <wps:cNvSpPr txBox="1"/>
                      <wps:spPr>
                        <a:xfrm>
                          <a:off x="0" y="0"/>
                          <a:ext cx="3054350" cy="1577340"/>
                        </a:xfrm>
                        <a:prstGeom prst="rect"/>
                        <a:solidFill>
                          <a:srgbClr val="FFFFFF"/>
                        </a:solidFill>
                      </wps:spPr>
                      <wps:txbx>
                        <w:txbxContent>
                          <w:p>
                            <w:pPr>
                              <w:pStyle w:val="TextBody"/>
                              <w:bidi w:val="0"/>
                              <w:spacing w:lineRule="atLeast" w:line="250" w:before="0" w:after="0"/>
                              <w:jc w:val="both"/>
                              <w:rPr/>
                            </w:pPr>
                            <w:r>
                              <w:rPr>
                                <w:spacing w:val="-2"/>
                              </w:rPr>
                              <w:t>ratification of the Audit Committee’s selection of KPMG because we believe that allowing stockholders to express their view on the matter is good corporate governance. Any failure of the stockholders to ratify the Audit Committee’s selection of KPMG as the Company’s independent registered public accounting firm would be considered by the Audit Committee in determining whether to engage KPMG.</w:t>
                            </w:r>
                            <w:r>
                              <w:rPr/>
                              <w:t xml:space="preserve"> </w:t>
                            </w:r>
                          </w:p>
                        </w:txbxContent>
                      </wps:txbx>
                      <wps:bodyPr anchor="t" lIns="0" tIns="0" rIns="0" bIns="0">
                        <a:noAutofit/>
                      </wps:bodyPr>
                    </wps:wsp>
                  </a:graphicData>
                </a:graphic>
              </wp:anchor>
            </w:drawing>
          </mc:Choice>
          <mc:Fallback>
            <w:pict>
              <v:rect style="position:absolute;rotation:-0;width:240.5pt;height:124.2pt;mso-wrap-distance-left:24pt;mso-wrap-distance-right:0pt;mso-wrap-distance-top:0pt;mso-wrap-distance-bottom:0pt;margin-top:0pt;mso-position-vertical:top;mso-position-vertical-relative:text;margin-left:288.5pt;mso-position-horizontal:left;mso-position-horizontal-relative:text">
                <v:textbox>
                  <w:txbxContent>
                    <w:p>
                      <w:pPr>
                        <w:pStyle w:val="TextBody"/>
                        <w:bidi w:val="0"/>
                        <w:spacing w:lineRule="atLeast" w:line="250" w:before="0" w:after="0"/>
                        <w:jc w:val="both"/>
                        <w:rPr/>
                      </w:pPr>
                      <w:r>
                        <w:rPr>
                          <w:spacing w:val="-2"/>
                        </w:rPr>
                        <w:t>ratification of the Audit Committee’s selection of KPMG because we believe that allowing stockholders to express their view on the matter is good corporate governance. Any failure of the stockholders to ratify the Audit Committee’s selection of KPMG as the Company’s independent registered public accounting firm would be considered by the Audit Committee in determining whether to engage KPMG.</w:t>
                      </w:r>
                      <w:r>
                        <w:rPr/>
                        <w:t xml:space="preserve"> </w:t>
                      </w:r>
                    </w:p>
                  </w:txbxContent>
                </v:textbox>
                <w10:wrap type="square" side="right"/>
              </v:rect>
            </w:pict>
          </mc:Fallback>
        </mc:AlternateContent>
      </w:r>
    </w:p>
    <w:tbl>
      <w:tblPr>
        <w:tblW w:w="9305" w:type="dxa"/>
        <w:jc w:val="left"/>
        <w:tblInd w:w="900" w:type="dxa"/>
        <w:tblLayout w:type="fixed"/>
        <w:tblCellMar>
          <w:top w:w="0" w:type="dxa"/>
          <w:left w:w="0" w:type="dxa"/>
          <w:bottom w:w="0" w:type="dxa"/>
          <w:right w:w="0" w:type="dxa"/>
        </w:tblCellMar>
      </w:tblPr>
      <w:tblGrid>
        <w:gridCol w:w="124"/>
        <w:gridCol w:w="109"/>
        <w:gridCol w:w="374"/>
        <w:gridCol w:w="109"/>
        <w:gridCol w:w="109"/>
        <w:gridCol w:w="8216"/>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16" w:space="0" w:color="BAD8EA"/>
            </w:tcBorders>
            <w:shd w:fill="E5E5E5" w:val="clear"/>
            <w:tcMar>
              <w:bottom w:w="28" w:type="dxa"/>
            </w:tcMar>
            <w:vAlign w:val="center"/>
          </w:tcPr>
          <w:p>
            <w:pPr>
              <w:pStyle w:val="TableContents"/>
              <w:bidi w:val="0"/>
              <w:spacing w:before="0" w:after="283"/>
              <w:jc w:val="left"/>
              <w:rPr/>
            </w:pPr>
            <w:r>
              <w:rPr/>
              <w:t>​</w:t>
            </w:r>
          </w:p>
        </w:tc>
        <w:tc>
          <w:tcPr>
            <w:tcW w:w="374" w:type="dxa"/>
            <w:tcBorders>
              <w:bottom w:val="single" w:sz="16" w:space="0" w:color="BAD8EA"/>
            </w:tcBorders>
            <w:shd w:fill="E5E5E5" w:val="clear"/>
            <w:tcMar>
              <w:bottom w:w="28" w:type="dxa"/>
            </w:tcMar>
            <w:vAlign w:val="center"/>
          </w:tcPr>
          <w:p>
            <w:pPr>
              <w:pStyle w:val="TableContents"/>
              <w:bidi w:val="0"/>
              <w:spacing w:lineRule="atLeast" w:line="318" w:before="0" w:after="0"/>
              <w:jc w:val="center"/>
              <w:rPr/>
            </w:pPr>
            <w:r>
              <w:rPr>
                <w:spacing w:val="-2"/>
              </w:rPr>
              <w:t>✓</w:t>
            </w:r>
            <w:r>
              <w:rPr/>
              <w:t xml:space="preserve">​ </w:t>
            </w:r>
          </w:p>
        </w:tc>
        <w:tc>
          <w:tcPr>
            <w:tcW w:w="109" w:type="dxa"/>
            <w:tcBorders>
              <w:bottom w:val="single" w:sz="16" w:space="0" w:color="BAD8EA"/>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16" w:space="0" w:color="BAD8EA"/>
            </w:tcBorders>
            <w:shd w:fill="E5E5E5" w:val="clear"/>
            <w:tcMar>
              <w:bottom w:w="28" w:type="dxa"/>
            </w:tcMar>
            <w:vAlign w:val="center"/>
          </w:tcPr>
          <w:p>
            <w:pPr>
              <w:pStyle w:val="TableContents"/>
              <w:bidi w:val="0"/>
              <w:spacing w:before="0" w:after="283"/>
              <w:jc w:val="left"/>
              <w:rPr/>
            </w:pPr>
            <w:r>
              <w:rPr/>
              <w:t>​</w:t>
            </w:r>
          </w:p>
        </w:tc>
        <w:tc>
          <w:tcPr>
            <w:tcW w:w="8216" w:type="dxa"/>
            <w:tcBorders>
              <w:bottom w:val="single" w:sz="16" w:space="0" w:color="BAD8EA"/>
            </w:tcBorders>
            <w:shd w:fill="E5E5E5" w:val="clear"/>
            <w:tcMar>
              <w:bottom w:w="123" w:type="dxa"/>
            </w:tcMar>
            <w:vAlign w:val="center"/>
          </w:tcPr>
          <w:p>
            <w:pPr>
              <w:pStyle w:val="TableContents"/>
              <w:bidi w:val="0"/>
              <w:spacing w:lineRule="atLeast" w:line="228" w:before="0" w:after="0"/>
              <w:jc w:val="left"/>
              <w:rPr/>
            </w:pPr>
            <w:r>
              <w:rPr>
                <w:spacing w:val="-1"/>
              </w:rPr>
              <w:t xml:space="preserve">The Board recommends a vote </w:t>
            </w:r>
            <w:r>
              <w:rPr>
                <w:b/>
                <w:color w:val="2E2925"/>
                <w:spacing w:val="-2"/>
              </w:rPr>
              <w:t>FOR</w:t>
            </w:r>
            <w:r>
              <w:rPr>
                <w:spacing w:val="-1"/>
              </w:rPr>
              <w:t xml:space="preserve"> the ratification of the appointment of KPMG LLP </w:t>
              <w:br/>
              <w:t>as the Company’s independent registered public accounting firm for fiscal 2026.</w:t>
            </w:r>
            <w:r>
              <w:rPr/>
              <w:t xml:space="preserve"> </w:t>
            </w:r>
          </w:p>
        </w:tc>
        <w:tc>
          <w:tcPr>
            <w:tcW w:w="109" w:type="dxa"/>
            <w:tcBorders>
              <w:bottom w:val="single" w:sz="16" w:space="0" w:color="BAD8EA"/>
            </w:tcBorders>
            <w:shd w:fill="E5E5E5" w:val="clear"/>
            <w:tcMar>
              <w:bottom w:w="28" w:type="dxa"/>
            </w:tcMar>
            <w:vAlign w:val="center"/>
          </w:tcPr>
          <w:p>
            <w:pPr>
              <w:pStyle w:val="TableContents"/>
              <w:bidi w:val="0"/>
              <w:spacing w:before="0" w:after="283"/>
              <w:jc w:val="left"/>
              <w:rPr/>
            </w:pPr>
            <w:r>
              <w:rPr/>
              <w:t>​</w:t>
            </w:r>
          </w:p>
        </w:tc>
        <w:tc>
          <w:tcPr>
            <w:tcW w:w="155" w:type="dxa"/>
            <w:tcBorders/>
            <w:shd w:fill="E5E5E5" w:val="clear"/>
            <w:vAlign w:val="center"/>
          </w:tcPr>
          <w:p>
            <w:pPr>
              <w:pStyle w:val="TableContents"/>
              <w:bidi w:val="0"/>
              <w:spacing w:before="0" w:after="283"/>
              <w:jc w:val="left"/>
              <w:rPr/>
            </w:pPr>
            <w:r>
              <w:rPr/>
              <w:t>​</w:t>
            </w:r>
          </w:p>
        </w:tc>
      </w:tr>
    </w:tbl>
    <w:p>
      <w:pPr>
        <w:pStyle w:val="TextBody"/>
        <w:bidi w:val="0"/>
        <w:spacing w:lineRule="atLeast" w:line="340" w:before="320" w:after="283"/>
        <w:ind w:left="900"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RELATIONSHIP WITH INDEPENDENT REGISTERED PUBLIC ACCOUNTING FIRM</w:t>
      </w:r>
      <w:r>
        <w:rPr>
          <w:rFonts w:ascii="Arial;Helvetica;sans-serif" w:hAnsi="Arial;Helvetica;sans-serif"/>
          <w:b/>
          <w:i w:val="false"/>
          <w:caps w:val="false"/>
          <w:smallCaps w:val="false"/>
          <w:color w:val="000000"/>
          <w:spacing w:val="6"/>
          <w:sz w:val="3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421">
                <wp:simplePos x="0" y="0"/>
                <wp:positionH relativeFrom="column">
                  <wp:align>left</wp:align>
                </wp:positionH>
                <wp:positionV relativeFrom="line">
                  <wp:posOffset>635</wp:posOffset>
                </wp:positionV>
                <wp:extent cx="3054350" cy="1226820"/>
                <wp:effectExtent l="0" t="0" r="0" b="0"/>
                <wp:wrapSquare wrapText="right"/>
                <wp:docPr id="399" name="Frame297"/>
                <a:graphic xmlns:a="http://schemas.openxmlformats.org/drawingml/2006/main">
                  <a:graphicData uri="http://schemas.microsoft.com/office/word/2010/wordprocessingShape">
                    <wps:wsp>
                      <wps:cNvSpPr txBox="1"/>
                      <wps:spPr>
                        <a:xfrm>
                          <a:off x="0" y="0"/>
                          <a:ext cx="3054350" cy="1226820"/>
                        </a:xfrm>
                        <a:prstGeom prst="rect"/>
                        <a:solidFill>
                          <a:srgbClr val="FFFFFF"/>
                        </a:solidFill>
                      </wps:spPr>
                      <wps:txbx>
                        <w:txbxContent>
                          <w:p>
                            <w:pPr>
                              <w:pStyle w:val="TextBody"/>
                              <w:bidi w:val="0"/>
                              <w:spacing w:lineRule="atLeast" w:line="240" w:before="0" w:after="0"/>
                              <w:jc w:val="both"/>
                              <w:rPr/>
                            </w:pPr>
                            <w:r>
                              <w:rPr>
                                <w:spacing w:val="-2"/>
                              </w:rPr>
                              <w:t>The Audit Committee is directly responsible for the appointment, compensation, retention and oversight of the Company’s independent registered public accounting firm. As described above, the Audit Committee has selected KPMG as the Company’s independent registered public accounting firm for fiscal 2026.</w:t>
                            </w:r>
                            <w:r>
                              <w:rPr>
                                <w:spacing w:val="4"/>
                              </w:rPr>
                              <w:t xml:space="preserve"> </w:t>
                            </w:r>
                          </w:p>
                        </w:txbxContent>
                      </wps:txbx>
                      <wps:bodyPr anchor="t" lIns="0" tIns="0" rIns="0" bIns="0">
                        <a:noAutofit/>
                      </wps:bodyPr>
                    </wps:wsp>
                  </a:graphicData>
                </a:graphic>
              </wp:anchor>
            </w:drawing>
          </mc:Choice>
          <mc:Fallback>
            <w:pict>
              <v:rect style="position:absolute;rotation:-0;width:240.5pt;height:96.6pt;mso-wrap-distance-left:45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lineRule="atLeast" w:line="240" w:before="0" w:after="0"/>
                        <w:jc w:val="both"/>
                        <w:rPr/>
                      </w:pPr>
                      <w:r>
                        <w:rPr>
                          <w:spacing w:val="-2"/>
                        </w:rPr>
                        <w:t>The Audit Committee is directly responsible for the appointment, compensation, retention and oversight of the Company’s independent registered public accounting firm. As described above, the Audit Committee has selected KPMG as the Company’s independent registered public accounting firm for fiscal 2026.</w:t>
                      </w:r>
                      <w:r>
                        <w:rPr>
                          <w:spacing w:val="4"/>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422">
                <wp:simplePos x="0" y="0"/>
                <wp:positionH relativeFrom="column">
                  <wp:align>left</wp:align>
                </wp:positionH>
                <wp:positionV relativeFrom="line">
                  <wp:posOffset>635</wp:posOffset>
                </wp:positionV>
                <wp:extent cx="3054350" cy="876300"/>
                <wp:effectExtent l="0" t="0" r="0" b="0"/>
                <wp:wrapSquare wrapText="right"/>
                <wp:docPr id="400" name="Frame298"/>
                <a:graphic xmlns:a="http://schemas.openxmlformats.org/drawingml/2006/main">
                  <a:graphicData uri="http://schemas.microsoft.com/office/word/2010/wordprocessingShape">
                    <wps:wsp>
                      <wps:cNvSpPr txBox="1"/>
                      <wps:spPr>
                        <a:xfrm>
                          <a:off x="0" y="0"/>
                          <a:ext cx="3054350" cy="876300"/>
                        </a:xfrm>
                        <a:prstGeom prst="rect"/>
                        <a:solidFill>
                          <a:srgbClr val="FFFFFF"/>
                        </a:solidFill>
                      </wps:spPr>
                      <wps:txbx>
                        <w:txbxContent>
                          <w:p>
                            <w:pPr>
                              <w:pStyle w:val="TextBody"/>
                              <w:bidi w:val="0"/>
                              <w:spacing w:lineRule="atLeast" w:line="240" w:before="0" w:after="0"/>
                              <w:jc w:val="both"/>
                              <w:rPr/>
                            </w:pPr>
                            <w:r>
                              <w:rPr>
                                <w:spacing w:val="-2"/>
                              </w:rPr>
                              <w:t>A representative of KPMG may be present at the Annual Meeting and, if present, will be given the opportunity to make a statement if they so desire and to respond to appropriate questions from stockholders.</w:t>
                            </w:r>
                            <w:r>
                              <w:rPr/>
                              <w:t xml:space="preserve"> </w:t>
                            </w:r>
                          </w:p>
                        </w:txbxContent>
                      </wps:txbx>
                      <wps:bodyPr anchor="t" lIns="0" tIns="0" rIns="0" bIns="0">
                        <a:noAutofit/>
                      </wps:bodyPr>
                    </wps:wsp>
                  </a:graphicData>
                </a:graphic>
              </wp:anchor>
            </w:drawing>
          </mc:Choice>
          <mc:Fallback>
            <w:pict>
              <v:rect style="position:absolute;rotation:-0;width:240.5pt;height:69pt;mso-wrap-distance-left:24pt;mso-wrap-distance-right:0pt;mso-wrap-distance-top:0pt;mso-wrap-distance-bottom:0pt;margin-top:0pt;mso-position-vertical:top;mso-position-vertical-relative:text;margin-left:288.5pt;mso-position-horizontal:left;mso-position-horizontal-relative:text">
                <v:textbox>
                  <w:txbxContent>
                    <w:p>
                      <w:pPr>
                        <w:pStyle w:val="TextBody"/>
                        <w:bidi w:val="0"/>
                        <w:spacing w:lineRule="atLeast" w:line="240" w:before="0" w:after="0"/>
                        <w:jc w:val="both"/>
                        <w:rPr/>
                      </w:pPr>
                      <w:r>
                        <w:rPr>
                          <w:spacing w:val="-2"/>
                        </w:rPr>
                        <w:t>A representative of KPMG may be present at the Annual Meeting and, if present, will be given the opportunity to make a statement if they so desire and to respond to appropriate questions from stockholders.</w:t>
                      </w:r>
                      <w:r>
                        <w:rPr/>
                        <w:t xml:space="preserve"> </w:t>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44 \ 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IRAF"/>
      <w:bookmarkEnd w:id="51"/>
      <w:r>
        <w:rPr>
          <w:rFonts w:ascii="calibri;arial;sans-serif" w:hAnsi="calibri;arial;sans-serif"/>
          <w:b w:val="false"/>
          <w:i w:val="false"/>
          <w:caps w:val="false"/>
          <w:smallCaps w:val="false"/>
          <w:color w:val="000000"/>
          <w:sz w:val="16"/>
        </w:rPr>
        <w:t>​</w:t>
      </w:r>
      <w:bookmarkStart w:id="52" w:name="tPPAP"/>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 xml:space="preserve">Proposal No. 3 – Ratification of the Appointment of KPMG LLP as the </w:t>
        <w:br/>
        <w:t>Company’s Independent Registered Public Accounting Firm for Fiscal 2026</w:t>
      </w:r>
      <w:r>
        <w:rPr>
          <w:rFonts w:ascii="Arial;Helvetica;sans-serif" w:hAnsi="Arial;Helvetica;sans-serif"/>
          <w:b/>
          <w:i w:val="false"/>
          <w:caps w:val="false"/>
          <w:smallCaps w:val="false"/>
          <w:color w:val="7F7F7F"/>
          <w:sz w:val="22"/>
        </w:rPr>
        <w:t>​</w:t>
      </w:r>
    </w:p>
    <w:p>
      <w:pPr>
        <w:pStyle w:val="TextBody"/>
        <w:bidi w:val="0"/>
        <w:spacing w:lineRule="atLeast" w:line="340" w:before="240" w:after="283"/>
        <w:ind w:left="901"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INDEPENDENT REGISTERED PUBLIC ACCOUNTING FIRM FEES</w:t>
      </w:r>
      <w:r>
        <w:rPr>
          <w:rFonts w:ascii="Arial;Helvetica;sans-serif" w:hAnsi="Arial;Helvetica;sans-serif"/>
          <w:b/>
          <w:i w:val="false"/>
          <w:caps w:val="false"/>
          <w:smallCaps w:val="false"/>
          <w:color w:val="000000"/>
          <w:spacing w:val="6"/>
          <w:sz w:val="3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423">
                <wp:simplePos x="0" y="0"/>
                <wp:positionH relativeFrom="column">
                  <wp:align>left</wp:align>
                </wp:positionH>
                <wp:positionV relativeFrom="line">
                  <wp:posOffset>635</wp:posOffset>
                </wp:positionV>
                <wp:extent cx="3055620" cy="701040"/>
                <wp:effectExtent l="0" t="0" r="0" b="0"/>
                <wp:wrapSquare wrapText="right"/>
                <wp:docPr id="401" name="Frame299"/>
                <a:graphic xmlns:a="http://schemas.openxmlformats.org/drawingml/2006/main">
                  <a:graphicData uri="http://schemas.microsoft.com/office/word/2010/wordprocessingShape">
                    <wps:wsp>
                      <wps:cNvSpPr txBox="1"/>
                      <wps:spPr>
                        <a:xfrm>
                          <a:off x="0" y="0"/>
                          <a:ext cx="3055620" cy="701040"/>
                        </a:xfrm>
                        <a:prstGeom prst="rect"/>
                        <a:solidFill>
                          <a:srgbClr val="FFFFFF"/>
                        </a:solidFill>
                      </wps:spPr>
                      <wps:txbx>
                        <w:txbxContent>
                          <w:p>
                            <w:pPr>
                              <w:pStyle w:val="TextBody"/>
                              <w:bidi w:val="0"/>
                              <w:spacing w:lineRule="atLeast" w:line="240" w:before="0" w:after="0"/>
                              <w:jc w:val="both"/>
                              <w:rPr>
                                <w:spacing w:val="-2"/>
                              </w:rPr>
                            </w:pPr>
                            <w:r>
                              <w:rPr>
                                <w:spacing w:val="-2"/>
                              </w:rPr>
                              <w:t xml:space="preserve">The following table presents fees incurred for professional services rendered by the Company’s independent registered public accounting firm for the </w:t>
                            </w:r>
                          </w:p>
                        </w:txbxContent>
                      </wps:txbx>
                      <wps:bodyPr anchor="t" lIns="0" tIns="0" rIns="0" bIns="0">
                        <a:noAutofit/>
                      </wps:bodyPr>
                    </wps:wsp>
                  </a:graphicData>
                </a:graphic>
              </wp:anchor>
            </w:drawing>
          </mc:Choice>
          <mc:Fallback>
            <w:pict>
              <v:rect style="position:absolute;rotation:-0;width:240.6pt;height:55.2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jc w:val="both"/>
                        <w:rPr>
                          <w:spacing w:val="-2"/>
                        </w:rPr>
                      </w:pPr>
                      <w:r>
                        <w:rPr>
                          <w:spacing w:val="-2"/>
                        </w:rPr>
                        <w:t xml:space="preserve">The following table presents fees incurred for professional services rendered by the Company’s independent registered public accounting firm for the </w:t>
                      </w:r>
                    </w:p>
                  </w:txbxContent>
                </v:textbox>
                <w10:wrap type="square" side="right"/>
              </v:rect>
            </w:pict>
          </mc:Fallback>
        </mc:AlternateContent>
      </w:r>
      <w:r>
        <mc:AlternateContent>
          <mc:Choice Requires="wps">
            <w:drawing>
              <wp:anchor behindDoc="0" distT="0" distB="0" distL="304800" distR="0" simplePos="0" locked="0" layoutInCell="1" allowOverlap="1" relativeHeight="424">
                <wp:simplePos x="0" y="0"/>
                <wp:positionH relativeFrom="column">
                  <wp:align>left</wp:align>
                </wp:positionH>
                <wp:positionV relativeFrom="line">
                  <wp:posOffset>635</wp:posOffset>
                </wp:positionV>
                <wp:extent cx="3055620" cy="350520"/>
                <wp:effectExtent l="0" t="0" r="0" b="0"/>
                <wp:wrapSquare wrapText="right"/>
                <wp:docPr id="402" name="Frame300"/>
                <a:graphic xmlns:a="http://schemas.openxmlformats.org/drawingml/2006/main">
                  <a:graphicData uri="http://schemas.microsoft.com/office/word/2010/wordprocessingShape">
                    <wps:wsp>
                      <wps:cNvSpPr txBox="1"/>
                      <wps:spPr>
                        <a:xfrm>
                          <a:off x="0" y="0"/>
                          <a:ext cx="3055620" cy="350520"/>
                        </a:xfrm>
                        <a:prstGeom prst="rect"/>
                        <a:solidFill>
                          <a:srgbClr val="FFFFFF"/>
                        </a:solidFill>
                      </wps:spPr>
                      <wps:txbx>
                        <w:txbxContent>
                          <w:p>
                            <w:pPr>
                              <w:pStyle w:val="TextBody"/>
                              <w:bidi w:val="0"/>
                              <w:spacing w:lineRule="atLeast" w:line="240" w:before="0" w:after="0"/>
                              <w:jc w:val="both"/>
                              <w:rPr/>
                            </w:pPr>
                            <w:r>
                              <w:rPr>
                                <w:spacing w:val="-2"/>
                              </w:rPr>
                              <w:t>fiscal years ended December 31, 2025 and December 31, 2024.</w:t>
                            </w:r>
                            <w:r>
                              <w:rPr/>
                              <w:t xml:space="preserve"> </w:t>
                            </w:r>
                          </w:p>
                        </w:txbxContent>
                      </wps:txbx>
                      <wps:bodyPr anchor="t" lIns="0" tIns="0" rIns="0" bIns="0">
                        <a:noAutofit/>
                      </wps:bodyPr>
                    </wps:wsp>
                  </a:graphicData>
                </a:graphic>
              </wp:anchor>
            </w:drawing>
          </mc:Choice>
          <mc:Fallback>
            <w:pict>
              <v:rect style="position:absolute;rotation:-0;width:240.6pt;height:27.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jc w:val="both"/>
                        <w:rPr/>
                      </w:pPr>
                      <w:r>
                        <w:rPr>
                          <w:spacing w:val="-2"/>
                        </w:rPr>
                        <w:t>fiscal years ended December 31, 2025 and December 31, 2024.</w:t>
                      </w:r>
                      <w:r>
                        <w:rPr/>
                        <w:t xml:space="preserve"> </w:t>
                      </w:r>
                    </w:p>
                  </w:txbxContent>
                </v:textbox>
                <w10:wrap type="square" side="right"/>
              </v:rect>
            </w:pict>
          </mc:Fallback>
        </mc:AlternateContent>
      </w:r>
    </w:p>
    <w:tbl>
      <w:tblPr>
        <w:tblW w:w="6029" w:type="dxa"/>
        <w:jc w:val="left"/>
        <w:tblInd w:w="901" w:type="dxa"/>
        <w:tblLayout w:type="fixed"/>
        <w:tblCellMar>
          <w:top w:w="0" w:type="dxa"/>
          <w:left w:w="0" w:type="dxa"/>
          <w:bottom w:w="28" w:type="dxa"/>
          <w:right w:w="0" w:type="dxa"/>
        </w:tblCellMar>
      </w:tblPr>
      <w:tblGrid>
        <w:gridCol w:w="124"/>
        <w:gridCol w:w="2295"/>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BAD8EA"/>
            </w:tcBorders>
            <w:shd w:fill="BAD8EA" w:val="clear"/>
            <w:vAlign w:val="center"/>
          </w:tcPr>
          <w:p>
            <w:pPr>
              <w:pStyle w:val="TableContents"/>
              <w:bidi w:val="0"/>
              <w:spacing w:before="0" w:after="283"/>
              <w:jc w:val="left"/>
              <w:rPr/>
            </w:pPr>
            <w:r>
              <w:rPr/>
              <w:t>​</w:t>
            </w:r>
          </w:p>
        </w:tc>
        <w:tc>
          <w:tcPr>
            <w:tcW w:w="2295" w:type="dxa"/>
            <w:tcBorders>
              <w:bottom w:val="single" w:sz="2" w:space="0" w:color="BAD8EA"/>
            </w:tcBorders>
            <w:shd w:fill="BAD8EA" w:val="clear"/>
            <w:vAlign w:val="center"/>
          </w:tcPr>
          <w:p>
            <w:pPr>
              <w:pStyle w:val="TableContents"/>
              <w:bidi w:val="0"/>
              <w:spacing w:before="0" w:after="283"/>
              <w:jc w:val="left"/>
              <w:rPr/>
            </w:pPr>
            <w:r>
              <w:rPr/>
              <w:t>​</w:t>
            </w:r>
          </w:p>
        </w:tc>
        <w:tc>
          <w:tcPr>
            <w:tcW w:w="109" w:type="dxa"/>
            <w:tcBorders>
              <w:bottom w:val="single" w:sz="2" w:space="0" w:color="BAD8EA"/>
            </w:tcBorders>
            <w:shd w:fill="BAD8EA" w:val="clear"/>
            <w:vAlign w:val="center"/>
          </w:tcPr>
          <w:p>
            <w:pPr>
              <w:pStyle w:val="TableContents"/>
              <w:bidi w:val="0"/>
              <w:spacing w:before="0" w:after="283"/>
              <w:jc w:val="left"/>
              <w:rPr/>
            </w:pPr>
            <w:r>
              <w:rPr/>
              <w:t>​</w:t>
            </w:r>
          </w:p>
        </w:tc>
        <w:tc>
          <w:tcPr>
            <w:tcW w:w="109" w:type="dxa"/>
            <w:tcBorders>
              <w:bottom w:val="single" w:sz="2" w:space="0" w:color="BAD8EA"/>
            </w:tcBorders>
            <w:shd w:fill="BAD8EA" w:val="clear"/>
            <w:vAlign w:val="center"/>
          </w:tcPr>
          <w:p>
            <w:pPr>
              <w:pStyle w:val="TableContents"/>
              <w:bidi w:val="0"/>
              <w:spacing w:before="0" w:after="283"/>
              <w:jc w:val="left"/>
              <w:rPr/>
            </w:pPr>
            <w:r>
              <w:rPr/>
              <w:t>​</w:t>
            </w:r>
          </w:p>
        </w:tc>
        <w:tc>
          <w:tcPr>
            <w:tcW w:w="3238" w:type="dxa"/>
            <w:gridSpan w:val="10"/>
            <w:tcBorders>
              <w:bottom w:val="single" w:sz="2" w:space="0" w:color="000000"/>
            </w:tcBorders>
            <w:shd w:fill="BAD8EA" w:val="clear"/>
            <w:tcMar>
              <w:bottom w:w="53" w:type="dxa"/>
            </w:tcMar>
            <w:vAlign w:val="center"/>
          </w:tcPr>
          <w:p>
            <w:pPr>
              <w:pStyle w:val="TableContents"/>
              <w:bidi w:val="0"/>
              <w:spacing w:before="0" w:after="0"/>
              <w:jc w:val="center"/>
              <w:rPr>
                <w:spacing w:val="0"/>
              </w:rPr>
            </w:pPr>
            <w:r>
              <w:rPr>
                <w:spacing w:val="0"/>
              </w:rPr>
              <w:t xml:space="preserve">December 31, </w:t>
            </w:r>
          </w:p>
        </w:tc>
        <w:tc>
          <w:tcPr>
            <w:tcW w:w="154" w:type="dxa"/>
            <w:tcBorders>
              <w:bottom w:val="single" w:sz="2" w:space="0" w:color="BAD8EA"/>
            </w:tcBorders>
            <w:shd w:fill="BAD8EA" w:val="clear"/>
            <w:vAlign w:val="center"/>
          </w:tcPr>
          <w:p>
            <w:pPr>
              <w:pStyle w:val="TableContents"/>
              <w:bidi w:val="0"/>
              <w:spacing w:before="0" w:after="283"/>
              <w:jc w:val="left"/>
              <w:rPr/>
            </w:pPr>
            <w:r>
              <w:rPr/>
              <w:t>​</w:t>
            </w:r>
          </w:p>
        </w:tc>
      </w:tr>
      <w:tr>
        <w:trPr/>
        <w:tc>
          <w:tcPr>
            <w:tcW w:w="124" w:type="dxa"/>
            <w:tcBorders/>
            <w:shd w:fill="BAD8EA" w:val="clear"/>
            <w:tcMar>
              <w:bottom w:w="0" w:type="dxa"/>
            </w:tcMar>
            <w:vAlign w:val="center"/>
          </w:tcPr>
          <w:p>
            <w:pPr>
              <w:pStyle w:val="TableContents"/>
              <w:bidi w:val="0"/>
              <w:spacing w:before="0" w:after="283"/>
              <w:jc w:val="left"/>
              <w:rPr/>
            </w:pPr>
            <w:r>
              <w:rPr/>
              <w:t>​</w:t>
            </w:r>
          </w:p>
        </w:tc>
        <w:tc>
          <w:tcPr>
            <w:tcW w:w="2295"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510" w:type="dxa"/>
            <w:gridSpan w:val="4"/>
            <w:tcBorders/>
            <w:shd w:fill="BAD8EA" w:val="clear"/>
            <w:tcMar>
              <w:bottom w:w="0" w:type="dxa"/>
            </w:tcMar>
            <w:vAlign w:val="center"/>
          </w:tcPr>
          <w:p>
            <w:pPr>
              <w:pStyle w:val="TableContents"/>
              <w:bidi w:val="0"/>
              <w:spacing w:before="0" w:after="0"/>
              <w:jc w:val="center"/>
              <w:rPr>
                <w:spacing w:val="-2"/>
              </w:rPr>
            </w:pPr>
            <w:r>
              <w:rPr>
                <w:spacing w:val="-2"/>
              </w:rPr>
              <w:t xml:space="preserve">2025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510" w:type="dxa"/>
            <w:gridSpan w:val="4"/>
            <w:tcBorders/>
            <w:shd w:fill="BAD8EA" w:val="clear"/>
            <w:tcMar>
              <w:bottom w:w="0" w:type="dxa"/>
            </w:tcMar>
            <w:vAlign w:val="center"/>
          </w:tcPr>
          <w:p>
            <w:pPr>
              <w:pStyle w:val="TableContents"/>
              <w:bidi w:val="0"/>
              <w:spacing w:before="0" w:after="0"/>
              <w:jc w:val="center"/>
              <w:rPr>
                <w:spacing w:val="-2"/>
              </w:rPr>
            </w:pPr>
            <w:r>
              <w:rPr>
                <w:spacing w:val="-2"/>
              </w:rPr>
              <w:t xml:space="preserve">2024 </w:t>
            </w:r>
          </w:p>
        </w:tc>
        <w:tc>
          <w:tcPr>
            <w:tcW w:w="154" w:type="dxa"/>
            <w:tcBorders/>
            <w:shd w:fill="BAD8EA"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2295" w:type="dxa"/>
            <w:tcBorders>
              <w:bottom w:val="single" w:sz="2" w:space="0" w:color="CBCAC8"/>
            </w:tcBorders>
            <w:tcMar>
              <w:bottom w:w="50" w:type="dxa"/>
            </w:tcMar>
            <w:vAlign w:val="center"/>
          </w:tcPr>
          <w:p>
            <w:pPr>
              <w:pStyle w:val="TableContents"/>
              <w:bidi w:val="0"/>
              <w:spacing w:lineRule="atLeast" w:line="142" w:before="0" w:after="283"/>
              <w:jc w:val="left"/>
              <w:rPr/>
            </w:pPr>
            <w:r>
              <w:rPr>
                <w:spacing w:val="-2"/>
              </w:rPr>
              <w:t>Audit Fees</w:t>
            </w:r>
            <w:r>
              <w:rPr>
                <w:spacing w:val="-1"/>
                <w:sz w:val="13"/>
              </w:rPr>
              <w:t>(1)</w:t>
            </w:r>
            <w:r>
              <w:rPr/>
              <w:t xml:space="preserve">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66" w:type="dxa"/>
            <w:tcBorders>
              <w:bottom w:val="single" w:sz="2" w:space="0" w:color="CBCAC8"/>
            </w:tcBorders>
            <w:tcMar>
              <w:bottom w:w="50" w:type="dxa"/>
            </w:tcMar>
            <w:vAlign w:val="center"/>
          </w:tcPr>
          <w:p>
            <w:pPr>
              <w:pStyle w:val="TableContents"/>
              <w:bidi w:val="0"/>
              <w:spacing w:before="0" w:after="283"/>
              <w:jc w:val="right"/>
              <w:rPr/>
            </w:pPr>
            <w:r>
              <w:rPr/>
              <w:t>2,639,259</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66" w:type="dxa"/>
            <w:tcBorders>
              <w:bottom w:val="single" w:sz="2" w:space="0" w:color="CBCAC8"/>
            </w:tcBorders>
            <w:tcMar>
              <w:bottom w:w="50" w:type="dxa"/>
            </w:tcMar>
            <w:vAlign w:val="center"/>
          </w:tcPr>
          <w:p>
            <w:pPr>
              <w:pStyle w:val="TableContents"/>
              <w:bidi w:val="0"/>
              <w:spacing w:before="0" w:after="283"/>
              <w:jc w:val="right"/>
              <w:rPr/>
            </w:pPr>
            <w:r>
              <w:rPr/>
              <w:t>2,652,794</w:t>
            </w:r>
          </w:p>
        </w:tc>
        <w:tc>
          <w:tcPr>
            <w:tcW w:w="109"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2295" w:type="dxa"/>
            <w:tcBorders>
              <w:bottom w:val="single" w:sz="2" w:space="0" w:color="CBCAC8"/>
            </w:tcBorders>
            <w:tcMar>
              <w:bottom w:w="50" w:type="dxa"/>
            </w:tcMar>
            <w:vAlign w:val="center"/>
          </w:tcPr>
          <w:p>
            <w:pPr>
              <w:pStyle w:val="TableContents"/>
              <w:bidi w:val="0"/>
              <w:spacing w:lineRule="atLeast" w:line="142" w:before="0" w:after="283"/>
              <w:jc w:val="left"/>
              <w:rPr/>
            </w:pPr>
            <w:r>
              <w:rPr>
                <w:spacing w:val="-2"/>
              </w:rPr>
              <w:t>Audit-Related Fees</w:t>
            </w:r>
            <w:r>
              <w:rPr>
                <w:spacing w:val="-1"/>
                <w:sz w:val="13"/>
              </w:rPr>
              <w:t>(2)(3)</w:t>
            </w:r>
            <w:r>
              <w:rPr/>
              <w:t xml:space="preserve">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66" w:type="dxa"/>
            <w:tcBorders>
              <w:bottom w:val="single" w:sz="2" w:space="0" w:color="CBCAC8"/>
            </w:tcBorders>
            <w:tcMar>
              <w:bottom w:w="50" w:type="dxa"/>
            </w:tcMar>
            <w:vAlign w:val="center"/>
          </w:tcPr>
          <w:p>
            <w:pPr>
              <w:pStyle w:val="TableContents"/>
              <w:bidi w:val="0"/>
              <w:spacing w:before="0" w:after="283"/>
              <w:jc w:val="right"/>
              <w:rPr/>
            </w:pPr>
            <w:r>
              <w:rPr/>
              <w:t>492,845</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66" w:type="dxa"/>
            <w:tcBorders>
              <w:bottom w:val="single" w:sz="2" w:space="0" w:color="CBCAC8"/>
            </w:tcBorders>
            <w:tcMar>
              <w:bottom w:w="50" w:type="dxa"/>
            </w:tcMar>
            <w:vAlign w:val="center"/>
          </w:tcPr>
          <w:p>
            <w:pPr>
              <w:pStyle w:val="TableContents"/>
              <w:bidi w:val="0"/>
              <w:spacing w:before="0" w:after="283"/>
              <w:jc w:val="right"/>
              <w:rPr/>
            </w:pPr>
            <w:r>
              <w:rPr/>
              <w:t>2,332,726</w:t>
            </w:r>
          </w:p>
        </w:tc>
        <w:tc>
          <w:tcPr>
            <w:tcW w:w="109"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7F7F7F"/>
            </w:tcBorders>
            <w:vAlign w:val="center"/>
          </w:tcPr>
          <w:p>
            <w:pPr>
              <w:pStyle w:val="TableContents"/>
              <w:bidi w:val="0"/>
              <w:spacing w:before="0" w:after="283"/>
              <w:jc w:val="left"/>
              <w:rPr/>
            </w:pPr>
            <w:r>
              <w:rPr/>
              <w:t>​</w:t>
            </w:r>
          </w:p>
        </w:tc>
        <w:tc>
          <w:tcPr>
            <w:tcW w:w="2295" w:type="dxa"/>
            <w:tcBorders>
              <w:bottom w:val="single" w:sz="2" w:space="0" w:color="7F7F7F"/>
            </w:tcBorders>
            <w:tcMar>
              <w:bottom w:w="50" w:type="dxa"/>
            </w:tcMar>
            <w:vAlign w:val="center"/>
          </w:tcPr>
          <w:p>
            <w:pPr>
              <w:pStyle w:val="TableContents"/>
              <w:bidi w:val="0"/>
              <w:spacing w:before="0" w:after="283"/>
              <w:jc w:val="left"/>
              <w:rPr>
                <w:spacing w:val="-2"/>
              </w:rPr>
            </w:pPr>
            <w:r>
              <w:rPr>
                <w:spacing w:val="-2"/>
              </w:rPr>
              <w:t xml:space="preserve">Tax Fees </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226" w:type="dxa"/>
            <w:tcBorders>
              <w:bottom w:val="single" w:sz="2" w:space="0" w:color="7F7F7F"/>
            </w:tcBorders>
            <w:tcMar>
              <w:bottom w:w="50" w:type="dxa"/>
            </w:tcMar>
            <w:vAlign w:val="center"/>
          </w:tcPr>
          <w:p>
            <w:pPr>
              <w:pStyle w:val="TableContents"/>
              <w:bidi w:val="0"/>
              <w:spacing w:before="0" w:after="283"/>
              <w:jc w:val="right"/>
              <w:rPr/>
            </w:pPr>
            <w:r>
              <w:rPr/>
              <w:t>​</w:t>
            </w:r>
          </w:p>
        </w:tc>
        <w:tc>
          <w:tcPr>
            <w:tcW w:w="1066" w:type="dxa"/>
            <w:tcBorders>
              <w:bottom w:val="single" w:sz="2" w:space="0" w:color="7F7F7F"/>
            </w:tcBorders>
            <w:tcMar>
              <w:bottom w:w="50" w:type="dxa"/>
            </w:tcMar>
            <w:vAlign w:val="center"/>
          </w:tcPr>
          <w:p>
            <w:pPr>
              <w:pStyle w:val="TableContents"/>
              <w:bidi w:val="0"/>
              <w:spacing w:before="0" w:after="283"/>
              <w:jc w:val="righ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226" w:type="dxa"/>
            <w:tcBorders>
              <w:bottom w:val="single" w:sz="2" w:space="0" w:color="7F7F7F"/>
            </w:tcBorders>
            <w:tcMar>
              <w:bottom w:w="50" w:type="dxa"/>
            </w:tcMar>
            <w:vAlign w:val="center"/>
          </w:tcPr>
          <w:p>
            <w:pPr>
              <w:pStyle w:val="TableContents"/>
              <w:bidi w:val="0"/>
              <w:spacing w:before="0" w:after="283"/>
              <w:jc w:val="right"/>
              <w:rPr/>
            </w:pPr>
            <w:r>
              <w:rPr/>
              <w:t>​</w:t>
            </w:r>
          </w:p>
        </w:tc>
        <w:tc>
          <w:tcPr>
            <w:tcW w:w="1066" w:type="dxa"/>
            <w:tcBorders>
              <w:bottom w:val="single" w:sz="2" w:space="0" w:color="7F7F7F"/>
            </w:tcBorders>
            <w:tcMar>
              <w:bottom w:w="50" w:type="dxa"/>
            </w:tcMar>
            <w:vAlign w:val="center"/>
          </w:tcPr>
          <w:p>
            <w:pPr>
              <w:pStyle w:val="TableContents"/>
              <w:bidi w:val="0"/>
              <w:spacing w:before="0" w:after="283"/>
              <w:jc w:val="right"/>
              <w:rPr/>
            </w:pPr>
            <w:r>
              <w:rPr/>
              <w:t>–</w:t>
            </w:r>
          </w:p>
        </w:tc>
        <w:tc>
          <w:tcPr>
            <w:tcW w:w="109" w:type="dxa"/>
            <w:tcBorders>
              <w:bottom w:val="single" w:sz="2" w:space="0" w:color="7F7F7F"/>
            </w:tcBorders>
            <w:vAlign w:val="center"/>
          </w:tcPr>
          <w:p>
            <w:pPr>
              <w:pStyle w:val="TableContents"/>
              <w:bidi w:val="0"/>
              <w:spacing w:before="0" w:after="283"/>
              <w:jc w:val="left"/>
              <w:rPr/>
            </w:pPr>
            <w:r>
              <w:rPr/>
              <w:t>​</w:t>
            </w:r>
          </w:p>
        </w:tc>
        <w:tc>
          <w:tcPr>
            <w:tcW w:w="154" w:type="dxa"/>
            <w:tcBorders>
              <w:bottom w:val="single" w:sz="2" w:space="0" w:color="7F7F7F"/>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2295"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All Other Fees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66" w:type="dxa"/>
            <w:tcBorders>
              <w:bottom w:val="single" w:sz="2" w:space="0" w:color="CBCAC8"/>
            </w:tcBorders>
            <w:tcMar>
              <w:bottom w:w="50" w:type="dxa"/>
            </w:tcMar>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66" w:type="dxa"/>
            <w:tcBorders>
              <w:bottom w:val="single" w:sz="2" w:space="0" w:color="CBCAC8"/>
            </w:tcBorders>
            <w:tcMar>
              <w:bottom w:w="50" w:type="dxa"/>
            </w:tcMar>
            <w:vAlign w:val="center"/>
          </w:tcPr>
          <w:p>
            <w:pPr>
              <w:pStyle w:val="TableContents"/>
              <w:bidi w:val="0"/>
              <w:spacing w:before="0" w:after="283"/>
              <w:jc w:val="right"/>
              <w:rPr/>
            </w:pPr>
            <w:r>
              <w:rPr/>
              <w:t>36,300</w:t>
            </w:r>
          </w:p>
        </w:tc>
        <w:tc>
          <w:tcPr>
            <w:tcW w:w="109"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8" w:space="0" w:color="7F7F7F"/>
            </w:tcBorders>
            <w:vAlign w:val="center"/>
          </w:tcPr>
          <w:p>
            <w:pPr>
              <w:pStyle w:val="TableContents"/>
              <w:bidi w:val="0"/>
              <w:spacing w:before="0" w:after="283"/>
              <w:jc w:val="left"/>
              <w:rPr/>
            </w:pPr>
            <w:r>
              <w:rPr/>
              <w:t>​</w:t>
            </w:r>
          </w:p>
        </w:tc>
        <w:tc>
          <w:tcPr>
            <w:tcW w:w="2295" w:type="dxa"/>
            <w:tcBorders>
              <w:bottom w:val="single" w:sz="8" w:space="0" w:color="7F7F7F"/>
            </w:tcBorders>
            <w:tcMar>
              <w:bottom w:w="50" w:type="dxa"/>
            </w:tcMar>
            <w:vAlign w:val="center"/>
          </w:tcPr>
          <w:p>
            <w:pPr>
              <w:pStyle w:val="TableContents"/>
              <w:bidi w:val="0"/>
              <w:spacing w:before="0" w:after="283"/>
              <w:jc w:val="left"/>
              <w:rPr>
                <w:spacing w:val="0"/>
              </w:rPr>
            </w:pPr>
            <w:r>
              <w:rPr>
                <w:spacing w:val="0"/>
              </w:rPr>
              <w:t xml:space="preserve">Total Fees </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226" w:type="dxa"/>
            <w:tcBorders>
              <w:bottom w:val="single" w:sz="8" w:space="0" w:color="7F7F7F"/>
            </w:tcBorders>
            <w:tcMar>
              <w:bottom w:w="50" w:type="dxa"/>
            </w:tcMar>
            <w:vAlign w:val="center"/>
          </w:tcPr>
          <w:p>
            <w:pPr>
              <w:pStyle w:val="TableContents"/>
              <w:bidi w:val="0"/>
              <w:spacing w:before="0" w:after="283"/>
              <w:jc w:val="right"/>
              <w:rPr/>
            </w:pPr>
            <w:r>
              <w:rPr/>
              <w:t>$</w:t>
            </w:r>
          </w:p>
        </w:tc>
        <w:tc>
          <w:tcPr>
            <w:tcW w:w="1066" w:type="dxa"/>
            <w:tcBorders>
              <w:bottom w:val="single" w:sz="8" w:space="0" w:color="7F7F7F"/>
            </w:tcBorders>
            <w:tcMar>
              <w:bottom w:w="50" w:type="dxa"/>
            </w:tcMar>
            <w:vAlign w:val="center"/>
          </w:tcPr>
          <w:p>
            <w:pPr>
              <w:pStyle w:val="TableContents"/>
              <w:bidi w:val="0"/>
              <w:spacing w:before="0" w:after="283"/>
              <w:jc w:val="right"/>
              <w:rPr/>
            </w:pPr>
            <w:r>
              <w:rPr/>
              <w:t>3,132,104</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226" w:type="dxa"/>
            <w:tcBorders>
              <w:bottom w:val="single" w:sz="8" w:space="0" w:color="7F7F7F"/>
            </w:tcBorders>
            <w:tcMar>
              <w:bottom w:w="50" w:type="dxa"/>
            </w:tcMar>
            <w:vAlign w:val="center"/>
          </w:tcPr>
          <w:p>
            <w:pPr>
              <w:pStyle w:val="TableContents"/>
              <w:bidi w:val="0"/>
              <w:spacing w:before="0" w:after="283"/>
              <w:jc w:val="right"/>
              <w:rPr/>
            </w:pPr>
            <w:r>
              <w:rPr/>
              <w:t>$</w:t>
            </w:r>
          </w:p>
        </w:tc>
        <w:tc>
          <w:tcPr>
            <w:tcW w:w="1066" w:type="dxa"/>
            <w:tcBorders>
              <w:bottom w:val="single" w:sz="8" w:space="0" w:color="7F7F7F"/>
            </w:tcBorders>
            <w:tcMar>
              <w:bottom w:w="50" w:type="dxa"/>
            </w:tcMar>
            <w:vAlign w:val="center"/>
          </w:tcPr>
          <w:p>
            <w:pPr>
              <w:pStyle w:val="TableContents"/>
              <w:bidi w:val="0"/>
              <w:spacing w:before="0" w:after="283"/>
              <w:jc w:val="right"/>
              <w:rPr/>
            </w:pPr>
            <w:r>
              <w:rPr/>
              <w:t>5,021,820</w:t>
            </w:r>
          </w:p>
        </w:tc>
        <w:tc>
          <w:tcPr>
            <w:tcW w:w="109" w:type="dxa"/>
            <w:tcBorders>
              <w:bottom w:val="single" w:sz="8" w:space="0" w:color="7F7F7F"/>
            </w:tcBorders>
            <w:vAlign w:val="center"/>
          </w:tcPr>
          <w:p>
            <w:pPr>
              <w:pStyle w:val="TableContents"/>
              <w:bidi w:val="0"/>
              <w:spacing w:before="0" w:after="283"/>
              <w:jc w:val="left"/>
              <w:rPr/>
            </w:pPr>
            <w:r>
              <w:rPr/>
              <w:t>​</w:t>
            </w:r>
          </w:p>
        </w:tc>
        <w:tc>
          <w:tcPr>
            <w:tcW w:w="154" w:type="dxa"/>
            <w:tcBorders>
              <w:bottom w:val="single" w:sz="8" w:space="0" w:color="7F7F7F"/>
            </w:tcBorders>
            <w:vAlign w:val="center"/>
          </w:tcPr>
          <w:p>
            <w:pPr>
              <w:pStyle w:val="TableContents"/>
              <w:bidi w:val="0"/>
              <w:spacing w:before="0" w:after="283"/>
              <w:jc w:val="left"/>
              <w:rPr/>
            </w:pPr>
            <w:r>
              <w:rPr/>
              <w:t>​</w:t>
            </w:r>
          </w:p>
        </w:tc>
      </w:tr>
    </w:tbl>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8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Includes fees and expenses primarily for the audit of the Company’s consolidated financial statements included in the Form 10-K, including the audit of the effectiveness of the Company’s internal control over financial reporting, and the reviews of the Company’s consolidated financial statements included in the Forms 10-Q, as well as comfort letters and consents.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14300" distB="0" distL="0" distR="0" simplePos="0" locked="0" layoutInCell="1" allowOverlap="1" relativeHeight="425">
                <wp:simplePos x="0" y="0"/>
                <wp:positionH relativeFrom="column">
                  <wp:align>left</wp:align>
                </wp:positionH>
                <wp:positionV relativeFrom="line">
                  <wp:align>top</wp:align>
                </wp:positionV>
                <wp:extent cx="254000" cy="279400"/>
                <wp:effectExtent l="0" t="0" r="0" b="0"/>
                <wp:wrapSquare wrapText="right"/>
                <wp:docPr id="403" name="Frame301"/>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(1)</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240" w:after="0"/>
        <w:ind w:left="1301"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Includes fees for the audits of certain joint ventures and wholly owned subsidiaries of the Company.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2400" distB="0" distL="0" distR="0" simplePos="0" locked="0" layoutInCell="1" allowOverlap="1" relativeHeight="426">
                <wp:simplePos x="0" y="0"/>
                <wp:positionH relativeFrom="column">
                  <wp:align>left</wp:align>
                </wp:positionH>
                <wp:positionV relativeFrom="line">
                  <wp:align>top</wp:align>
                </wp:positionV>
                <wp:extent cx="254000" cy="279400"/>
                <wp:effectExtent l="0" t="0" r="0" b="0"/>
                <wp:wrapSquare wrapText="right"/>
                <wp:docPr id="404" name="Frame302"/>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1"/>
                          <w:sz w:val="18"/>
                        </w:rPr>
                        <w:t>(2)</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240" w:after="0"/>
        <w:ind w:left="1301"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2024 audit-related fees include fees and expenses of KPMG for work related to the spinoff of SEG.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2400" distB="0" distL="0" distR="0" simplePos="0" locked="0" layoutInCell="1" allowOverlap="1" relativeHeight="427">
                <wp:simplePos x="0" y="0"/>
                <wp:positionH relativeFrom="column">
                  <wp:align>left</wp:align>
                </wp:positionH>
                <wp:positionV relativeFrom="line">
                  <wp:align>top</wp:align>
                </wp:positionV>
                <wp:extent cx="254000" cy="279400"/>
                <wp:effectExtent l="0" t="0" r="0" b="0"/>
                <wp:wrapSquare wrapText="right"/>
                <wp:docPr id="405" name="Frame303"/>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1"/>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1"/>
                          <w:sz w:val="18"/>
                        </w:rPr>
                        <w:t>(3)</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340" w:before="320" w:after="283"/>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PRE-APPROVAL POLICIES AND PROCEDURES</w:t>
      </w:r>
      <w:r>
        <w:rPr>
          <w:rFonts w:ascii="Arial;Helvetica;sans-serif" w:hAnsi="Arial;Helvetica;sans-serif"/>
          <w:b/>
          <w:i w:val="false"/>
          <w:caps w:val="false"/>
          <w:smallCaps w:val="false"/>
          <w:color w:val="000000"/>
          <w:spacing w:val="6"/>
          <w:sz w:val="3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428">
                <wp:simplePos x="0" y="0"/>
                <wp:positionH relativeFrom="column">
                  <wp:align>left</wp:align>
                </wp:positionH>
                <wp:positionV relativeFrom="line">
                  <wp:posOffset>635</wp:posOffset>
                </wp:positionV>
                <wp:extent cx="3055620" cy="1051560"/>
                <wp:effectExtent l="0" t="0" r="0" b="0"/>
                <wp:wrapSquare wrapText="right"/>
                <wp:docPr id="406" name="Frame304"/>
                <a:graphic xmlns:a="http://schemas.openxmlformats.org/drawingml/2006/main">
                  <a:graphicData uri="http://schemas.microsoft.com/office/word/2010/wordprocessingShape">
                    <wps:wsp>
                      <wps:cNvSpPr txBox="1"/>
                      <wps:spPr>
                        <a:xfrm>
                          <a:off x="0" y="0"/>
                          <a:ext cx="3055620" cy="1051560"/>
                        </a:xfrm>
                        <a:prstGeom prst="rect"/>
                        <a:solidFill>
                          <a:srgbClr val="FFFFFF"/>
                        </a:solidFill>
                      </wps:spPr>
                      <wps:txbx>
                        <w:txbxContent>
                          <w:p>
                            <w:pPr>
                              <w:pStyle w:val="TextBody"/>
                              <w:bidi w:val="0"/>
                              <w:spacing w:lineRule="atLeast" w:line="240" w:before="0" w:after="0"/>
                              <w:jc w:val="both"/>
                              <w:rPr>
                                <w:spacing w:val="-2"/>
                              </w:rPr>
                            </w:pPr>
                            <w:r>
                              <w:rPr>
                                <w:spacing w:val="-2"/>
                              </w:rPr>
                              <w:t xml:space="preserve">The Audit Committee’s policy is to require the pre-approval of all audit and non-audit services provided to the Company by its independent registered public accounting firm (except for items exempt from pre-approval requirements under applicable laws and </w:t>
                            </w:r>
                          </w:p>
                        </w:txbxContent>
                      </wps:txbx>
                      <wps:bodyPr anchor="t" lIns="0" tIns="0" rIns="0" bIns="0">
                        <a:noAutofit/>
                      </wps:bodyPr>
                    </wps:wsp>
                  </a:graphicData>
                </a:graphic>
              </wp:anchor>
            </w:drawing>
          </mc:Choice>
          <mc:Fallback>
            <w:pict>
              <v:rect style="position:absolute;rotation:-0;width:240.6pt;height:82.8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jc w:val="both"/>
                        <w:rPr>
                          <w:spacing w:val="-2"/>
                        </w:rPr>
                      </w:pPr>
                      <w:r>
                        <w:rPr>
                          <w:spacing w:val="-2"/>
                        </w:rPr>
                        <w:t xml:space="preserve">The Audit Committee’s policy is to require the pre-approval of all audit and non-audit services provided to the Company by its independent registered public accounting firm (except for items exempt from pre-approval requirements under applicable laws and </w:t>
                      </w:r>
                    </w:p>
                  </w:txbxContent>
                </v:textbox>
                <w10:wrap type="square" side="right"/>
              </v:rect>
            </w:pict>
          </mc:Fallback>
        </mc:AlternateContent>
      </w:r>
      <w:r>
        <mc:AlternateContent>
          <mc:Choice Requires="wps">
            <w:drawing>
              <wp:anchor behindDoc="0" distT="0" distB="0" distL="304800" distR="0" simplePos="0" locked="0" layoutInCell="1" allowOverlap="1" relativeHeight="429">
                <wp:simplePos x="0" y="0"/>
                <wp:positionH relativeFrom="column">
                  <wp:align>left</wp:align>
                </wp:positionH>
                <wp:positionV relativeFrom="line">
                  <wp:posOffset>635</wp:posOffset>
                </wp:positionV>
                <wp:extent cx="3055620" cy="876300"/>
                <wp:effectExtent l="0" t="0" r="0" b="0"/>
                <wp:wrapSquare wrapText="right"/>
                <wp:docPr id="407" name="Frame305"/>
                <a:graphic xmlns:a="http://schemas.openxmlformats.org/drawingml/2006/main">
                  <a:graphicData uri="http://schemas.microsoft.com/office/word/2010/wordprocessingShape">
                    <wps:wsp>
                      <wps:cNvSpPr txBox="1"/>
                      <wps:spPr>
                        <a:xfrm>
                          <a:off x="0" y="0"/>
                          <a:ext cx="3055620" cy="876300"/>
                        </a:xfrm>
                        <a:prstGeom prst="rect"/>
                        <a:solidFill>
                          <a:srgbClr val="FFFFFF"/>
                        </a:solidFill>
                      </wps:spPr>
                      <wps:txbx>
                        <w:txbxContent>
                          <w:p>
                            <w:pPr>
                              <w:pStyle w:val="TextBody"/>
                              <w:bidi w:val="0"/>
                              <w:spacing w:lineRule="atLeast" w:line="240" w:before="0" w:after="0"/>
                              <w:jc w:val="both"/>
                              <w:rPr/>
                            </w:pPr>
                            <w:r>
                              <w:rPr>
                                <w:spacing w:val="-2"/>
                              </w:rPr>
                              <w:t>rules) to assure that the provision of such services does not impair the firm’s independence. All audit and non-audit services were pre-approved by our Audit Committee in accordance with the pre-approval requirements set forth in its charter.</w:t>
                            </w:r>
                            <w:r>
                              <w:rPr/>
                              <w:t xml:space="preserve"> </w:t>
                            </w:r>
                          </w:p>
                        </w:txbxContent>
                      </wps:txbx>
                      <wps:bodyPr anchor="t" lIns="0" tIns="0" rIns="0" bIns="0">
                        <a:noAutofit/>
                      </wps:bodyPr>
                    </wps:wsp>
                  </a:graphicData>
                </a:graphic>
              </wp:anchor>
            </w:drawing>
          </mc:Choice>
          <mc:Fallback>
            <w:pict>
              <v:rect style="position:absolute;rotation:-0;width:240.6pt;height:69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jc w:val="both"/>
                        <w:rPr/>
                      </w:pPr>
                      <w:r>
                        <w:rPr>
                          <w:spacing w:val="-2"/>
                        </w:rPr>
                        <w:t>rules) to assure that the provision of such services does not impair the firm’s independence. All audit and non-audit services were pre-approved by our Audit Committee in accordance with the pre-approval requirements set forth in its charter.</w:t>
                      </w:r>
                      <w:r>
                        <w:rPr/>
                        <w:t xml:space="preserve"> </w:t>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/ 45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ACR"/>
      <w:bookmarkEnd w:id="53"/>
      <w:r>
        <w:rPr>
          <w:rFonts w:ascii="calibri;arial;sans-serif" w:hAnsi="calibri;arial;sans-serif"/>
          <w:b w:val="false"/>
          <w:i w:val="false"/>
          <w:caps w:val="false"/>
          <w:smallCaps w:val="false"/>
          <w:color w:val="000000"/>
          <w:sz w:val="16"/>
        </w:rPr>
        <w:t xml:space="preserve">​ </w:t>
      </w:r>
    </w:p>
    <w:tbl>
      <w:tblPr>
        <w:tblW w:w="3421" w:type="dxa"/>
        <w:jc w:val="left"/>
        <w:tblInd w:w="0" w:type="dxa"/>
        <w:tblLayout w:type="fixed"/>
        <w:tblCellMar>
          <w:top w:w="0" w:type="dxa"/>
          <w:left w:w="0" w:type="dxa"/>
          <w:bottom w:w="0" w:type="dxa"/>
          <w:right w:w="0" w:type="dxa"/>
        </w:tblCellMar>
      </w:tblPr>
      <w:tblGrid>
        <w:gridCol w:w="124"/>
        <w:gridCol w:w="109"/>
        <w:gridCol w:w="109"/>
        <w:gridCol w:w="109"/>
        <w:gridCol w:w="248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89" w:type="dxa"/>
            <w:tcBorders/>
            <w:vAlign w:val="center"/>
          </w:tcPr>
          <w:p>
            <w:pPr>
              <w:pStyle w:val="TableContents"/>
              <w:bidi w:val="0"/>
              <w:spacing w:before="0" w:after="0"/>
              <w:jc w:val="left"/>
              <w:rPr>
                <w:spacing w:val="-1"/>
              </w:rPr>
            </w:pPr>
            <w:r>
              <w:rPr>
                <w:spacing w:val="-1"/>
              </w:rPr>
              <w:t xml:space="preserve">Audit Committee Report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430">
                <wp:simplePos x="0" y="0"/>
                <wp:positionH relativeFrom="column">
                  <wp:align>left</wp:align>
                </wp:positionH>
                <wp:positionV relativeFrom="line">
                  <wp:posOffset>635</wp:posOffset>
                </wp:positionV>
                <wp:extent cx="3054350" cy="9972040"/>
                <wp:effectExtent l="0" t="0" r="0" b="0"/>
                <wp:wrapSquare wrapText="right"/>
                <wp:docPr id="408" name="Frame306"/>
                <a:graphic xmlns:a="http://schemas.openxmlformats.org/drawingml/2006/main">
                  <a:graphicData uri="http://schemas.microsoft.com/office/word/2010/wordprocessingShape">
                    <wps:wsp>
                      <wps:cNvSpPr txBox="1"/>
                      <wps:spPr>
                        <a:xfrm>
                          <a:off x="0" y="0"/>
                          <a:ext cx="3054350" cy="9972040"/>
                        </a:xfrm>
                        <a:prstGeom prst="rect"/>
                        <a:solidFill>
                          <a:srgbClr val="FFFFFF"/>
                        </a:solidFill>
                      </wps:spPr>
                      <wps:txbx>
                        <w:txbxContent>
                          <w:p>
                            <w:pPr>
                              <w:pStyle w:val="TextBody"/>
                              <w:bidi w:val="0"/>
                              <w:spacing w:lineRule="atLeast" w:line="230" w:before="0" w:after="0"/>
                              <w:jc w:val="both"/>
                              <w:rPr/>
                            </w:pPr>
                            <w:r>
                              <w:rPr>
                                <w:spacing w:val="-2"/>
                              </w:rPr>
                              <w:t xml:space="preserve">The Audit Committee is comprised entirely of independent directors (as defined for members of an audit committee in SEC rules and the NYSE listing standards) and assists the Board in a number of duties. These duties include oversight of the following matters: the integrity of the Company’s financial statements; compliance with certain legal and regulatory requirements; the performance of the internal audit function; and the financial reporting process. In addition, the Audit Committee is directly responsible for the appointment, compensation (including negotiation and approval of the audit fee), retention and oversight of the Company’s independent registered public accounting firm. The Audit Committee appointed KPMG LLP (“KPMG”) as its independent registered public accounting firm for fiscal 2026. The Audit Committee operates pursuant to a written charter adopted by the Board and reviewed annually by the Audit Committee. A copy of the charter is available on our website at </w:t>
                            </w:r>
                            <w:r>
                              <w:rPr>
                                <w:spacing w:val="-2"/>
                                <w:u w:val="single"/>
                              </w:rPr>
                              <w:t>www.howardhughes.com</w:t>
                            </w:r>
                            <w:r>
                              <w:rPr>
                                <w:spacing w:val="-2"/>
                              </w:rPr>
                              <w:t xml:space="preserve"> under the “Investors” tab. The Audit Committee has the resources and authority it deems appropriate to discharge its responsibilities.</w:t>
                            </w:r>
                            <w:r>
                              <w:rPr>
                                <w:spacing w:val="4"/>
                              </w:rPr>
                              <w:t xml:space="preserve"> </w:t>
                            </w:r>
                          </w:p>
                          <w:p>
                            <w:pPr>
                              <w:pStyle w:val="TextBody"/>
                              <w:bidi w:val="0"/>
                              <w:spacing w:lineRule="atLeast" w:line="230" w:before="160" w:after="283"/>
                              <w:jc w:val="both"/>
                              <w:rPr/>
                            </w:pPr>
                            <w:r>
                              <w:rPr>
                                <w:spacing w:val="-2"/>
                              </w:rPr>
                              <w:t>The Audit Committee has engaged KPMG to serve as the Company’s independent accounting firm since 2022. In accordance with SEC rules, the lead audit partner on the Company engagement serves no more than five consecutive years in that role. The current lead partner was appointed in 2022. The Audit Committee and management have direct input into the selection of the lead audit partner. The Audit Committee periodically considers whether the annual audit of the Company’s financial statements should be conducted by another firm.</w:t>
                            </w:r>
                            <w:r>
                              <w:rPr>
                                <w:spacing w:val="4"/>
                              </w:rPr>
                              <w:t xml:space="preserve"> </w:t>
                            </w:r>
                          </w:p>
                          <w:p>
                            <w:pPr>
                              <w:pStyle w:val="TextBody"/>
                              <w:bidi w:val="0"/>
                              <w:spacing w:lineRule="atLeast" w:line="230" w:before="160" w:after="283"/>
                              <w:jc w:val="both"/>
                              <w:rPr/>
                            </w:pPr>
                            <w:r>
                              <w:rPr>
                                <w:spacing w:val="-2"/>
                              </w:rPr>
                              <w:t>In determining whether to reappoint KPMG as the Company’s independent registered public accounting firm for 2026, subject to stockholder ratification, the Audit Committee took into consideration a number of factors. These factors included:</w:t>
                            </w:r>
                            <w:r>
                              <w:rPr>
                                <w:spacing w:val="4"/>
                              </w:rPr>
                              <w:t xml:space="preserve"> </w:t>
                            </w:r>
                          </w:p>
                          <w:p>
                            <w:pPr>
                              <w:pStyle w:val="TextBody"/>
                              <w:bidi w:val="0"/>
                              <w:spacing w:lineRule="atLeast" w:line="240" w:before="238" w:after="0"/>
                              <w:ind w:left="760" w:right="0" w:hanging="0"/>
                              <w:jc w:val="both"/>
                              <w:rPr/>
                            </w:pPr>
                            <w:r>
                              <w:rPr>
                                <w:spacing w:val="-2"/>
                              </w:rPr>
                              <w:t>the length of time the firm has been engaged by the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38" w:after="0"/>
                              <w:ind w:left="760" w:right="0" w:hanging="0"/>
                              <w:jc w:val="both"/>
                              <w:rPr/>
                            </w:pPr>
                            <w:r>
                              <w:rPr>
                                <w:spacing w:val="-2"/>
                              </w:rPr>
                              <w:t>KPMG’s familiarity with the Company’s operations and industry, accounting policies, financial reporting process, and internal control over financial reporting;</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38" w:after="0"/>
                              <w:ind w:left="760" w:right="0" w:hanging="0"/>
                              <w:jc w:val="left"/>
                              <w:rPr/>
                            </w:pPr>
                            <w:r>
                              <w:rPr>
                                <w:spacing w:val="-2"/>
                              </w:rPr>
                              <w:t>KPMG’s skills, expertise and independence;</w:t>
                            </w:r>
                            <w:r>
                              <w:rPr>
                                <w:spacing w:val="4"/>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40.5pt;height:785.2pt;mso-wrap-distance-left:45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lineRule="atLeast" w:line="230" w:before="0" w:after="0"/>
                        <w:jc w:val="both"/>
                        <w:rPr/>
                      </w:pPr>
                      <w:r>
                        <w:rPr>
                          <w:spacing w:val="-2"/>
                        </w:rPr>
                        <w:t xml:space="preserve">The Audit Committee is comprised entirely of independent directors (as defined for members of an audit committee in SEC rules and the NYSE listing standards) and assists the Board in a number of duties. These duties include oversight of the following matters: the integrity of the Company’s financial statements; compliance with certain legal and regulatory requirements; the performance of the internal audit function; and the financial reporting process. In addition, the Audit Committee is directly responsible for the appointment, compensation (including negotiation and approval of the audit fee), retention and oversight of the Company’s independent registered public accounting firm. The Audit Committee appointed KPMG LLP (“KPMG”) as its independent registered public accounting firm for fiscal 2026. The Audit Committee operates pursuant to a written charter adopted by the Board and reviewed annually by the Audit Committee. A copy of the charter is available on our website at </w:t>
                      </w:r>
                      <w:r>
                        <w:rPr>
                          <w:spacing w:val="-2"/>
                          <w:u w:val="single"/>
                        </w:rPr>
                        <w:t>www.howardhughes.com</w:t>
                      </w:r>
                      <w:r>
                        <w:rPr>
                          <w:spacing w:val="-2"/>
                        </w:rPr>
                        <w:t xml:space="preserve"> under the “Investors” tab. The Audit Committee has the resources and authority it deems appropriate to discharge its responsibilities.</w:t>
                      </w:r>
                      <w:r>
                        <w:rPr>
                          <w:spacing w:val="4"/>
                        </w:rPr>
                        <w:t xml:space="preserve"> </w:t>
                      </w:r>
                    </w:p>
                    <w:p>
                      <w:pPr>
                        <w:pStyle w:val="TextBody"/>
                        <w:bidi w:val="0"/>
                        <w:spacing w:lineRule="atLeast" w:line="230" w:before="160" w:after="283"/>
                        <w:jc w:val="both"/>
                        <w:rPr/>
                      </w:pPr>
                      <w:r>
                        <w:rPr>
                          <w:spacing w:val="-2"/>
                        </w:rPr>
                        <w:t>The Audit Committee has engaged KPMG to serve as the Company’s independent accounting firm since 2022. In accordance with SEC rules, the lead audit partner on the Company engagement serves no more than five consecutive years in that role. The current lead partner was appointed in 2022. The Audit Committee and management have direct input into the selection of the lead audit partner. The Audit Committee periodically considers whether the annual audit of the Company’s financial statements should be conducted by another firm.</w:t>
                      </w:r>
                      <w:r>
                        <w:rPr>
                          <w:spacing w:val="4"/>
                        </w:rPr>
                        <w:t xml:space="preserve"> </w:t>
                      </w:r>
                    </w:p>
                    <w:p>
                      <w:pPr>
                        <w:pStyle w:val="TextBody"/>
                        <w:bidi w:val="0"/>
                        <w:spacing w:lineRule="atLeast" w:line="230" w:before="160" w:after="283"/>
                        <w:jc w:val="both"/>
                        <w:rPr/>
                      </w:pPr>
                      <w:r>
                        <w:rPr>
                          <w:spacing w:val="-2"/>
                        </w:rPr>
                        <w:t>In determining whether to reappoint KPMG as the Company’s independent registered public accounting firm for 2026, subject to stockholder ratification, the Audit Committee took into consideration a number of factors. These factors included:</w:t>
                      </w:r>
                      <w:r>
                        <w:rPr>
                          <w:spacing w:val="4"/>
                        </w:rPr>
                        <w:t xml:space="preserve"> </w:t>
                      </w:r>
                    </w:p>
                    <w:p>
                      <w:pPr>
                        <w:pStyle w:val="TextBody"/>
                        <w:bidi w:val="0"/>
                        <w:spacing w:lineRule="atLeast" w:line="240" w:before="238" w:after="0"/>
                        <w:ind w:left="760" w:right="0" w:hanging="0"/>
                        <w:jc w:val="both"/>
                        <w:rPr/>
                      </w:pPr>
                      <w:r>
                        <w:rPr>
                          <w:spacing w:val="-2"/>
                        </w:rPr>
                        <w:t>the length of time the firm has been engaged by the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38" w:after="0"/>
                        <w:ind w:left="760" w:right="0" w:hanging="0"/>
                        <w:jc w:val="both"/>
                        <w:rPr/>
                      </w:pPr>
                      <w:r>
                        <w:rPr>
                          <w:spacing w:val="-2"/>
                        </w:rPr>
                        <w:t>KPMG’s familiarity with the Company’s operations and industry, accounting policies, financial reporting process, and internal control over financial reporting;</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38" w:after="0"/>
                        <w:ind w:left="760" w:right="0" w:hanging="0"/>
                        <w:jc w:val="left"/>
                        <w:rPr/>
                      </w:pPr>
                      <w:r>
                        <w:rPr>
                          <w:spacing w:val="-2"/>
                        </w:rPr>
                        <w:t>KPMG’s skills, expertise and independence;</w:t>
                      </w:r>
                      <w:r>
                        <w:rPr>
                          <w:spacing w:val="4"/>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304800" distR="0" simplePos="0" locked="0" layoutInCell="1" allowOverlap="1" relativeHeight="434">
                <wp:simplePos x="0" y="0"/>
                <wp:positionH relativeFrom="column">
                  <wp:align>left</wp:align>
                </wp:positionH>
                <wp:positionV relativeFrom="line">
                  <wp:posOffset>635</wp:posOffset>
                </wp:positionV>
                <wp:extent cx="3054350" cy="9972040"/>
                <wp:effectExtent l="0" t="0" r="0" b="0"/>
                <wp:wrapSquare wrapText="right"/>
                <wp:docPr id="409" name="Frame310"/>
                <a:graphic xmlns:a="http://schemas.openxmlformats.org/drawingml/2006/main">
                  <a:graphicData uri="http://schemas.microsoft.com/office/word/2010/wordprocessingShape">
                    <wps:wsp>
                      <wps:cNvSpPr txBox="1"/>
                      <wps:spPr>
                        <a:xfrm>
                          <a:off x="0" y="0"/>
                          <a:ext cx="3054350" cy="9972040"/>
                        </a:xfrm>
                        <a:prstGeom prst="rect"/>
                        <a:solidFill>
                          <a:srgbClr val="FFFFFF"/>
                        </a:solidFill>
                      </wps:spPr>
                      <wps:txbx>
                        <w:txbxContent>
                          <w:p>
                            <w:pPr>
                              <w:pStyle w:val="TextBody"/>
                              <w:bidi w:val="0"/>
                              <w:spacing w:lineRule="atLeast" w:line="240" w:before="0" w:after="0"/>
                              <w:ind w:left="760" w:right="0" w:hanging="0"/>
                              <w:jc w:val="both"/>
                              <w:rPr/>
                            </w:pPr>
                            <w:r>
                              <w:rPr>
                                <w:spacing w:val="-2"/>
                              </w:rPr>
                              <w:t>the quality of the Audit Committee’s ongoing discussions with KPMG;</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38" w:after="0"/>
                              <w:ind w:left="760" w:right="0" w:hanging="0"/>
                              <w:jc w:val="both"/>
                              <w:rPr/>
                            </w:pPr>
                            <w:r>
                              <w:rPr>
                                <w:spacing w:val="-2"/>
                              </w:rPr>
                              <w:t>a review of external data related to KPMG’s legal risks and proceedings, audit quality and recent public portions of Public Company Accounting Oversight Board (United States) (the “PCAOB”) reports;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38" w:after="0"/>
                              <w:ind w:left="760" w:right="0" w:hanging="0"/>
                              <w:jc w:val="both"/>
                              <w:rPr/>
                            </w:pPr>
                            <w:r>
                              <w:rPr>
                                <w:spacing w:val="-2"/>
                              </w:rPr>
                              <w:t>an assessment of the professional qualifications of KPMG, the performance of the lead audit partner and the other professionals on the Company account;</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pPr>
                            <w:r>
                              <w:rPr>
                                <w:spacing w:val="-2"/>
                              </w:rPr>
                              <w:t>the reasonableness of KPMG’s fees for the services provided to the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pPr>
                            <w:r>
                              <w:rPr>
                                <w:spacing w:val="-2"/>
                              </w:rPr>
                              <w:t>management’s relationship with KPMG and its assessment of KPMG’s performance; and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pPr>
                            <w:r>
                              <w:rPr>
                                <w:spacing w:val="-2"/>
                              </w:rPr>
                              <w:t>the impact of changing auditors, including the significant time requirement that could distract from management’s focus on reporting and internal controls.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2"/>
                              </w:rPr>
                              <w:t>Based on this evaluation, the Audit Committee believes that it is in the best interests of the Company and our stockholders to retain KPMG as our independent registered public accounting firm for fiscal 2026.</w:t>
                            </w:r>
                            <w:r>
                              <w:rPr>
                                <w:spacing w:val="4"/>
                              </w:rPr>
                              <w:t xml:space="preserve"> </w:t>
                            </w:r>
                          </w:p>
                          <w:p>
                            <w:pPr>
                              <w:pStyle w:val="TextBody"/>
                              <w:bidi w:val="0"/>
                              <w:spacing w:lineRule="atLeast" w:line="240" w:before="160" w:after="283"/>
                              <w:jc w:val="both"/>
                              <w:rPr/>
                            </w:pPr>
                            <w:r>
                              <w:rPr>
                                <w:spacing w:val="-2"/>
                              </w:rPr>
                              <w:t>Each member of the Audit Committee is considered financially literate, as defined by the NYSE, and is an independent director in accordance with applicable regulations of the SEC and NYSE. The Board has determined that Ms. Panuccio has the necessary experience to qualify as an “audit committee financial expert” under SEC rules. As determined by the SEC, a person designated as an audit committee financial expert will not be deemed an “expert” for purposes of the federal securities laws. In addition, this designation does not impose on a person any duties, obligations or liabilities that are greater than those otherwise imposed on the person as a member of the Audit Committee and the Board, and does not affect the duties, obligations or liabilities of the Board.</w:t>
                            </w:r>
                            <w:r>
                              <w:rPr>
                                <w:spacing w:val="4"/>
                              </w:rPr>
                              <w:t xml:space="preserve"> </w:t>
                            </w:r>
                          </w:p>
                          <w:p>
                            <w:pPr>
                              <w:pStyle w:val="TextBody"/>
                              <w:bidi w:val="0"/>
                              <w:spacing w:lineRule="atLeast" w:line="240" w:before="160" w:after="283"/>
                              <w:jc w:val="both"/>
                              <w:rPr>
                                <w:spacing w:val="-2"/>
                              </w:rPr>
                            </w:pPr>
                            <w:r>
                              <w:rPr>
                                <w:spacing w:val="-2"/>
                              </w:rPr>
                              <w:t xml:space="preserve">Management is responsible for the Company’s system of internal control over financial reporting and for preparing its consolidated financial statements. KPMG was responsible for performing independent audits of </w:t>
                            </w:r>
                          </w:p>
                        </w:txbxContent>
                      </wps:txbx>
                      <wps:bodyPr anchor="t" lIns="0" tIns="0" rIns="0" bIns="0">
                        <a:noAutofit/>
                      </wps:bodyPr>
                    </wps:wsp>
                  </a:graphicData>
                </a:graphic>
              </wp:anchor>
            </w:drawing>
          </mc:Choice>
          <mc:Fallback>
            <w:pict>
              <v:rect style="position:absolute;rotation:-0;width:240.5pt;height:785.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0"/>
                        <w:ind w:left="760" w:right="0" w:hanging="0"/>
                        <w:jc w:val="both"/>
                        <w:rPr/>
                      </w:pPr>
                      <w:r>
                        <w:rPr>
                          <w:spacing w:val="-2"/>
                        </w:rPr>
                        <w:t>the quality of the Audit Committee’s ongoing discussions with KPMG;</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38" w:after="0"/>
                        <w:ind w:left="760" w:right="0" w:hanging="0"/>
                        <w:jc w:val="both"/>
                        <w:rPr/>
                      </w:pPr>
                      <w:r>
                        <w:rPr>
                          <w:spacing w:val="-2"/>
                        </w:rPr>
                        <w:t>a review of external data related to KPMG’s legal risks and proceedings, audit quality and recent public portions of Public Company Accounting Oversight Board (United States) (the “PCAOB”) reports;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38" w:after="0"/>
                        <w:ind w:left="760" w:right="0" w:hanging="0"/>
                        <w:jc w:val="both"/>
                        <w:rPr/>
                      </w:pPr>
                      <w:r>
                        <w:rPr>
                          <w:spacing w:val="-2"/>
                        </w:rPr>
                        <w:t>an assessment of the professional qualifications of KPMG, the performance of the lead audit partner and the other professionals on the Company account;</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pPr>
                      <w:r>
                        <w:rPr>
                          <w:spacing w:val="-2"/>
                        </w:rPr>
                        <w:t>the reasonableness of KPMG’s fees for the services provided to the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pPr>
                      <w:r>
                        <w:rPr>
                          <w:spacing w:val="-2"/>
                        </w:rPr>
                        <w:t>management’s relationship with KPMG and its assessment of KPMG’s performance; and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240" w:after="0"/>
                        <w:ind w:left="760" w:right="0" w:hanging="0"/>
                        <w:jc w:val="both"/>
                        <w:rPr/>
                      </w:pPr>
                      <w:r>
                        <w:rPr>
                          <w:spacing w:val="-2"/>
                        </w:rPr>
                        <w:t>the impact of changing auditors, including the significant time requirement that could distract from management’s focus on reporting and internal controls.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2"/>
                        </w:rPr>
                        <w:t>Based on this evaluation, the Audit Committee believes that it is in the best interests of the Company and our stockholders to retain KPMG as our independent registered public accounting firm for fiscal 2026.</w:t>
                      </w:r>
                      <w:r>
                        <w:rPr>
                          <w:spacing w:val="4"/>
                        </w:rPr>
                        <w:t xml:space="preserve"> </w:t>
                      </w:r>
                    </w:p>
                    <w:p>
                      <w:pPr>
                        <w:pStyle w:val="TextBody"/>
                        <w:bidi w:val="0"/>
                        <w:spacing w:lineRule="atLeast" w:line="240" w:before="160" w:after="283"/>
                        <w:jc w:val="both"/>
                        <w:rPr/>
                      </w:pPr>
                      <w:r>
                        <w:rPr>
                          <w:spacing w:val="-2"/>
                        </w:rPr>
                        <w:t>Each member of the Audit Committee is considered financially literate, as defined by the NYSE, and is an independent director in accordance with applicable regulations of the SEC and NYSE. The Board has determined that Ms. Panuccio has the necessary experience to qualify as an “audit committee financial expert” under SEC rules. As determined by the SEC, a person designated as an audit committee financial expert will not be deemed an “expert” for purposes of the federal securities laws. In addition, this designation does not impose on a person any duties, obligations or liabilities that are greater than those otherwise imposed on the person as a member of the Audit Committee and the Board, and does not affect the duties, obligations or liabilities of the Board.</w:t>
                      </w:r>
                      <w:r>
                        <w:rPr>
                          <w:spacing w:val="4"/>
                        </w:rPr>
                        <w:t xml:space="preserve"> </w:t>
                      </w:r>
                    </w:p>
                    <w:p>
                      <w:pPr>
                        <w:pStyle w:val="TextBody"/>
                        <w:bidi w:val="0"/>
                        <w:spacing w:lineRule="atLeast" w:line="240" w:before="160" w:after="283"/>
                        <w:jc w:val="both"/>
                        <w:rPr>
                          <w:spacing w:val="-2"/>
                        </w:rPr>
                      </w:pPr>
                      <w:r>
                        <w:rPr>
                          <w:spacing w:val="-2"/>
                        </w:rPr>
                        <w:t xml:space="preserve">Management is responsible for the Company’s system of internal control over financial reporting and for preparing its consolidated financial statements. KPMG was responsible for performing independent audits of </w:t>
                      </w:r>
                    </w:p>
                  </w:txbxContent>
                </v:textbox>
                <w10:wrap type="square" side="right"/>
              </v:rect>
            </w:pict>
          </mc:Fallback>
        </mc:AlternateContent>
      </w:r>
      <w:r>
        <mc:AlternateContent>
          <mc:Choice Requires="wps">
            <w:drawing>
              <wp:anchor behindDoc="0" distT="151130" distB="0" distL="254000" distR="0" simplePos="0" locked="0" layoutInCell="1" allowOverlap="1" relativeHeight="431">
                <wp:simplePos x="0" y="0"/>
                <wp:positionH relativeFrom="column">
                  <wp:align>left</wp:align>
                </wp:positionH>
                <wp:positionV relativeFrom="line">
                  <wp:align>top</wp:align>
                </wp:positionV>
                <wp:extent cx="228600" cy="350520"/>
                <wp:effectExtent l="0" t="0" r="0" b="0"/>
                <wp:wrapSquare wrapText="right"/>
                <wp:docPr id="410" name="Frame30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1130" distB="0" distL="254000" distR="0" simplePos="0" locked="0" layoutInCell="1" allowOverlap="1" relativeHeight="432">
                <wp:simplePos x="0" y="0"/>
                <wp:positionH relativeFrom="column">
                  <wp:align>left</wp:align>
                </wp:positionH>
                <wp:positionV relativeFrom="line">
                  <wp:align>top</wp:align>
                </wp:positionV>
                <wp:extent cx="228600" cy="350520"/>
                <wp:effectExtent l="0" t="0" r="0" b="0"/>
                <wp:wrapSquare wrapText="right"/>
                <wp:docPr id="411" name="Frame30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1130" distB="0" distL="254000" distR="0" simplePos="0" locked="0" layoutInCell="1" allowOverlap="1" relativeHeight="433">
                <wp:simplePos x="0" y="0"/>
                <wp:positionH relativeFrom="column">
                  <wp:align>left</wp:align>
                </wp:positionH>
                <wp:positionV relativeFrom="line">
                  <wp:align>top</wp:align>
                </wp:positionV>
                <wp:extent cx="228600" cy="350520"/>
                <wp:effectExtent l="0" t="0" r="0" b="0"/>
                <wp:wrapSquare wrapText="right"/>
                <wp:docPr id="412" name="Frame30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435">
                <wp:simplePos x="0" y="0"/>
                <wp:positionH relativeFrom="column">
                  <wp:align>left</wp:align>
                </wp:positionH>
                <wp:positionV relativeFrom="line">
                  <wp:posOffset>635</wp:posOffset>
                </wp:positionV>
                <wp:extent cx="228600" cy="350520"/>
                <wp:effectExtent l="0" t="0" r="0" b="0"/>
                <wp:wrapSquare wrapText="right"/>
                <wp:docPr id="413" name="Frame31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1130" distB="0" distL="254000" distR="0" simplePos="0" locked="0" layoutInCell="1" allowOverlap="1" relativeHeight="436">
                <wp:simplePos x="0" y="0"/>
                <wp:positionH relativeFrom="column">
                  <wp:align>left</wp:align>
                </wp:positionH>
                <wp:positionV relativeFrom="line">
                  <wp:align>top</wp:align>
                </wp:positionV>
                <wp:extent cx="228600" cy="350520"/>
                <wp:effectExtent l="0" t="0" r="0" b="0"/>
                <wp:wrapSquare wrapText="right"/>
                <wp:docPr id="414" name="Frame31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1130" distB="0" distL="254000" distR="0" simplePos="0" locked="0" layoutInCell="1" allowOverlap="1" relativeHeight="437">
                <wp:simplePos x="0" y="0"/>
                <wp:positionH relativeFrom="column">
                  <wp:align>left</wp:align>
                </wp:positionH>
                <wp:positionV relativeFrom="line">
                  <wp:align>top</wp:align>
                </wp:positionV>
                <wp:extent cx="228600" cy="350520"/>
                <wp:effectExtent l="0" t="0" r="0" b="0"/>
                <wp:wrapSquare wrapText="right"/>
                <wp:docPr id="415" name="Frame31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2400" distB="0" distL="254000" distR="0" simplePos="0" locked="0" layoutInCell="1" allowOverlap="1" relativeHeight="438">
                <wp:simplePos x="0" y="0"/>
                <wp:positionH relativeFrom="column">
                  <wp:align>left</wp:align>
                </wp:positionH>
                <wp:positionV relativeFrom="line">
                  <wp:align>top</wp:align>
                </wp:positionV>
                <wp:extent cx="228600" cy="350520"/>
                <wp:effectExtent l="0" t="0" r="0" b="0"/>
                <wp:wrapSquare wrapText="right"/>
                <wp:docPr id="416" name="Frame31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2400" distB="0" distL="254000" distR="0" simplePos="0" locked="0" layoutInCell="1" allowOverlap="1" relativeHeight="439">
                <wp:simplePos x="0" y="0"/>
                <wp:positionH relativeFrom="column">
                  <wp:align>left</wp:align>
                </wp:positionH>
                <wp:positionV relativeFrom="line">
                  <wp:align>top</wp:align>
                </wp:positionV>
                <wp:extent cx="228600" cy="350520"/>
                <wp:effectExtent l="0" t="0" r="0" b="0"/>
                <wp:wrapSquare wrapText="right"/>
                <wp:docPr id="417" name="Frame31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r>
        <mc:AlternateContent>
          <mc:Choice Requires="wps">
            <w:drawing>
              <wp:anchor behindDoc="0" distT="152400" distB="0" distL="254000" distR="0" simplePos="0" locked="0" layoutInCell="1" allowOverlap="1" relativeHeight="440">
                <wp:simplePos x="0" y="0"/>
                <wp:positionH relativeFrom="column">
                  <wp:align>left</wp:align>
                </wp:positionH>
                <wp:positionV relativeFrom="line">
                  <wp:align>top</wp:align>
                </wp:positionV>
                <wp:extent cx="228600" cy="350520"/>
                <wp:effectExtent l="0" t="0" r="0" b="0"/>
                <wp:wrapSquare wrapText="right"/>
                <wp:docPr id="418" name="Frame31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46 \ 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Audit Committee Report</w:t>
      </w:r>
      <w:r>
        <w:rPr>
          <w:rFonts w:ascii="Arial;Helvetica;sans-serif" w:hAnsi="Arial;Helvetica;sans-serif"/>
          <w:b/>
          <w:i w:val="false"/>
          <w:caps w:val="false"/>
          <w:smallCaps w:val="false"/>
          <w:color w:val="7F7F7F"/>
          <w:sz w:val="22"/>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441">
                <wp:simplePos x="0" y="0"/>
                <wp:positionH relativeFrom="column">
                  <wp:align>left</wp:align>
                </wp:positionH>
                <wp:positionV relativeFrom="line">
                  <wp:posOffset>635</wp:posOffset>
                </wp:positionV>
                <wp:extent cx="3055620" cy="5008880"/>
                <wp:effectExtent l="0" t="0" r="0" b="0"/>
                <wp:wrapSquare wrapText="right"/>
                <wp:docPr id="419" name="Frame317"/>
                <a:graphic xmlns:a="http://schemas.openxmlformats.org/drawingml/2006/main">
                  <a:graphicData uri="http://schemas.microsoft.com/office/word/2010/wordprocessingShape">
                    <wps:wsp>
                      <wps:cNvSpPr txBox="1"/>
                      <wps:spPr>
                        <a:xfrm>
                          <a:off x="0" y="0"/>
                          <a:ext cx="3055620" cy="5008880"/>
                        </a:xfrm>
                        <a:prstGeom prst="rect"/>
                        <a:solidFill>
                          <a:srgbClr val="FFFFFF"/>
                        </a:solidFill>
                      </wps:spPr>
                      <wps:txbx>
                        <w:txbxContent>
                          <w:p>
                            <w:pPr>
                              <w:pStyle w:val="TextBody"/>
                              <w:bidi w:val="0"/>
                              <w:spacing w:lineRule="atLeast" w:line="240" w:before="0" w:after="0"/>
                              <w:jc w:val="both"/>
                              <w:rPr/>
                            </w:pPr>
                            <w:r>
                              <w:rPr>
                                <w:spacing w:val="-2"/>
                              </w:rPr>
                              <w:t>the Company’s internal control over financial reporting as of December 31, 2025 and its consolidated financial statements as of December 31, 2025 and for the year then ended, both in accordance with the standards of the PCAOB, and to issue reports thereon. The Audit Committee is responsible for overseeing management’s conduct of the financial reporting process and system of internal control.</w:t>
                            </w:r>
                            <w:r>
                              <w:rPr>
                                <w:spacing w:val="4"/>
                              </w:rPr>
                              <w:t xml:space="preserve"> </w:t>
                            </w:r>
                          </w:p>
                          <w:p>
                            <w:pPr>
                              <w:pStyle w:val="TextBody"/>
                              <w:bidi w:val="0"/>
                              <w:spacing w:lineRule="atLeast" w:line="240" w:before="160" w:after="283"/>
                              <w:jc w:val="both"/>
                              <w:rPr/>
                            </w:pPr>
                            <w:r>
                              <w:rPr>
                                <w:spacing w:val="-2"/>
                              </w:rPr>
                              <w:t xml:space="preserve">The Audit Committee reviewed and discussed with both management and KPMG the results of the independent audits of the Company’s internal control over financial reporting as of December 31, 2025 and its consolidated financial statements as of December 31, 2025 and for the year ended December 31, 2025, prior to their issuance. During 2025, management advised the Audit Committee that the set of financial statements had been prepared in accordance with accounting principles generally accepted in the United States of America, and reviewed significant accounting and disclosure matters with the Audit Committee. This included discussion with KPMG of matters required to be discussed by Statement on Auditing Standards No. 1301, as amended, as adopted by the PCAOB and SEC Regulation S-X Rule 2-07, </w:t>
                            </w:r>
                            <w:r>
                              <w:rPr>
                                <w:i/>
                              </w:rPr>
                              <w:t xml:space="preserve">Communication with Audit </w:t>
                            </w:r>
                          </w:p>
                        </w:txbxContent>
                      </wps:txbx>
                      <wps:bodyPr anchor="t" lIns="0" tIns="0" rIns="0" bIns="0">
                        <a:noAutofit/>
                      </wps:bodyPr>
                    </wps:wsp>
                  </a:graphicData>
                </a:graphic>
              </wp:anchor>
            </w:drawing>
          </mc:Choice>
          <mc:Fallback>
            <w:pict>
              <v:rect style="position:absolute;rotation:-0;width:240.6pt;height:394.4pt;mso-wrap-distance-left:45.05pt;mso-wrap-distance-right:0pt;mso-wrap-distance-top:0pt;mso-wrap-distance-bottom:0pt;margin-top:0pt;mso-position-vertical:top;mso-position-vertical-relative:text;margin-left:45.05pt;mso-position-horizontal:left;mso-position-horizontal-relative:text">
                <v:textbox>
                  <w:txbxContent>
                    <w:p>
                      <w:pPr>
                        <w:pStyle w:val="TextBody"/>
                        <w:bidi w:val="0"/>
                        <w:spacing w:lineRule="atLeast" w:line="240" w:before="0" w:after="0"/>
                        <w:jc w:val="both"/>
                        <w:rPr/>
                      </w:pPr>
                      <w:r>
                        <w:rPr>
                          <w:spacing w:val="-2"/>
                        </w:rPr>
                        <w:t>the Company’s internal control over financial reporting as of December 31, 2025 and its consolidated financial statements as of December 31, 2025 and for the year then ended, both in accordance with the standards of the PCAOB, and to issue reports thereon. The Audit Committee is responsible for overseeing management’s conduct of the financial reporting process and system of internal control.</w:t>
                      </w:r>
                      <w:r>
                        <w:rPr>
                          <w:spacing w:val="4"/>
                        </w:rPr>
                        <w:t xml:space="preserve"> </w:t>
                      </w:r>
                    </w:p>
                    <w:p>
                      <w:pPr>
                        <w:pStyle w:val="TextBody"/>
                        <w:bidi w:val="0"/>
                        <w:spacing w:lineRule="atLeast" w:line="240" w:before="160" w:after="283"/>
                        <w:jc w:val="both"/>
                        <w:rPr/>
                      </w:pPr>
                      <w:r>
                        <w:rPr>
                          <w:spacing w:val="-2"/>
                        </w:rPr>
                        <w:t xml:space="preserve">The Audit Committee reviewed and discussed with both management and KPMG the results of the independent audits of the Company’s internal control over financial reporting as of December 31, 2025 and its consolidated financial statements as of December 31, 2025 and for the year ended December 31, 2025, prior to their issuance. During 2025, management advised the Audit Committee that the set of financial statements had been prepared in accordance with accounting principles generally accepted in the United States of America, and reviewed significant accounting and disclosure matters with the Audit Committee. This included discussion with KPMG of matters required to be discussed by Statement on Auditing Standards No. 1301, as amended, as adopted by the PCAOB and SEC Regulation S-X Rule 2-07, </w:t>
                      </w:r>
                      <w:r>
                        <w:rPr>
                          <w:i/>
                        </w:rPr>
                        <w:t xml:space="preserve">Communication with Audit </w:t>
                      </w:r>
                    </w:p>
                  </w:txbxContent>
                </v:textbox>
                <w10:wrap type="square" side="right"/>
              </v:rect>
            </w:pict>
          </mc:Fallback>
        </mc:AlternateContent>
      </w:r>
      <w:r>
        <mc:AlternateContent>
          <mc:Choice Requires="wps">
            <w:drawing>
              <wp:anchor behindDoc="0" distT="0" distB="0" distL="304800" distR="0" simplePos="0" locked="0" layoutInCell="1" allowOverlap="1" relativeHeight="442">
                <wp:simplePos x="0" y="0"/>
                <wp:positionH relativeFrom="column">
                  <wp:align>left</wp:align>
                </wp:positionH>
                <wp:positionV relativeFrom="line">
                  <wp:posOffset>635</wp:posOffset>
                </wp:positionV>
                <wp:extent cx="3055620" cy="5253355"/>
                <wp:effectExtent l="0" t="0" r="0" b="0"/>
                <wp:wrapSquare wrapText="right"/>
                <wp:docPr id="420" name="Frame318"/>
                <a:graphic xmlns:a="http://schemas.openxmlformats.org/drawingml/2006/main">
                  <a:graphicData uri="http://schemas.microsoft.com/office/word/2010/wordprocessingShape">
                    <wps:wsp>
                      <wps:cNvSpPr txBox="1"/>
                      <wps:spPr>
                        <a:xfrm>
                          <a:off x="0" y="0"/>
                          <a:ext cx="3055620" cy="5253355"/>
                        </a:xfrm>
                        <a:prstGeom prst="rect"/>
                        <a:solidFill>
                          <a:srgbClr val="FFFFFF"/>
                        </a:solidFill>
                      </wps:spPr>
                      <wps:txbx>
                        <w:txbxContent>
                          <w:p>
                            <w:pPr>
                              <w:pStyle w:val="TextBody"/>
                              <w:bidi w:val="0"/>
                              <w:spacing w:lineRule="atLeast" w:line="240" w:before="0" w:after="0"/>
                              <w:jc w:val="both"/>
                              <w:rPr/>
                            </w:pPr>
                            <w:r>
                              <w:rPr>
                                <w:i/>
                              </w:rPr>
                              <w:t>Committees</w:t>
                            </w:r>
                            <w:r>
                              <w:rPr>
                                <w:spacing w:val="-2"/>
                              </w:rPr>
                              <w:t>, as currently in effect, including the quality of the Company’s accounting principles, the reasonableness of significant judgments and the clarity of disclosures in the financial statements.</w:t>
                            </w:r>
                            <w:r>
                              <w:rPr>
                                <w:spacing w:val="4"/>
                              </w:rPr>
                              <w:t xml:space="preserve"> </w:t>
                            </w:r>
                          </w:p>
                          <w:p>
                            <w:pPr>
                              <w:pStyle w:val="TextBody"/>
                              <w:bidi w:val="0"/>
                              <w:spacing w:lineRule="atLeast" w:line="240" w:before="160" w:after="283"/>
                              <w:jc w:val="both"/>
                              <w:rPr/>
                            </w:pPr>
                            <w:r>
                              <w:rPr>
                                <w:spacing w:val="-2"/>
                              </w:rPr>
                              <w:t>The Audit Committee also discussed with its independent registered public accounting firm matters relating to its independence and received the written disclosures and letter from KPMG required by the applicable requirements of the PCAOB regarding the independent accountant’s communications with the Audit Committee concerning independence.</w:t>
                            </w:r>
                            <w:r>
                              <w:rPr>
                                <w:spacing w:val="4"/>
                              </w:rPr>
                              <w:t xml:space="preserve"> </w:t>
                            </w:r>
                          </w:p>
                          <w:p>
                            <w:pPr>
                              <w:pStyle w:val="TextBody"/>
                              <w:bidi w:val="0"/>
                              <w:spacing w:lineRule="atLeast" w:line="240" w:before="160" w:after="283"/>
                              <w:jc w:val="both"/>
                              <w:rPr>
                                <w:spacing w:val="-2"/>
                              </w:rPr>
                            </w:pPr>
                            <w:r>
                              <w:rPr>
                                <w:spacing w:val="-2"/>
                              </w:rPr>
                              <w:t xml:space="preserve">Taking all of these reviews and discussions into account, all of the Audit Committee members listed below recommended to the Board that it approve the inclusion of the Company’s audited financial statements in the Company’s Annual Report on Form 10-K for the year ended December 31, 2025 for filing with the SEC. </w:t>
                            </w:r>
                          </w:p>
                          <w:p>
                            <w:pPr>
                              <w:pStyle w:val="TextBody"/>
                              <w:bidi w:val="0"/>
                              <w:spacing w:lineRule="atLeast" w:line="240" w:before="240" w:after="283"/>
                              <w:jc w:val="left"/>
                              <w:rPr>
                                <w:b/>
                              </w:rPr>
                            </w:pPr>
                            <w:r>
                              <w:rPr>
                                <w:b/>
                                <w:spacing w:val="0"/>
                              </w:rPr>
                              <w:t>Members of the Audit Committee</w:t>
                            </w:r>
                            <w:r>
                              <w:rPr>
                                <w:b/>
                                <w:spacing w:val="4"/>
                              </w:rPr>
                              <w:t xml:space="preserve"> </w:t>
                            </w:r>
                          </w:p>
                          <w:p>
                            <w:pPr>
                              <w:pStyle w:val="TextBody"/>
                              <w:bidi w:val="0"/>
                              <w:spacing w:lineRule="atLeast" w:line="240" w:before="240" w:after="283"/>
                              <w:jc w:val="left"/>
                              <w:rPr>
                                <w:spacing w:val="-2"/>
                              </w:rPr>
                            </w:pPr>
                            <w:r>
                              <w:rPr>
                                <w:spacing w:val="-2"/>
                              </w:rPr>
                              <w:t xml:space="preserve">Susan Panuccio, Chair </w:t>
                              <w:br/>
                              <w:t xml:space="preserve">David Eun </w:t>
                              <w:br/>
                              <w:t>Jean-Baptiste Wautier</w:t>
                            </w:r>
                          </w:p>
                        </w:txbxContent>
                      </wps:txbx>
                      <wps:bodyPr anchor="t" lIns="0" tIns="0" rIns="0" bIns="0">
                        <a:noAutofit/>
                      </wps:bodyPr>
                    </wps:wsp>
                  </a:graphicData>
                </a:graphic>
              </wp:anchor>
            </w:drawing>
          </mc:Choice>
          <mc:Fallback>
            <w:pict>
              <v:rect style="position:absolute;rotation:-0;width:240.6pt;height:413.65pt;mso-wrap-distance-left:24pt;mso-wrap-distance-right:0pt;mso-wrap-distance-top:0pt;mso-wrap-distance-bottom:0pt;margin-top:0pt;mso-position-vertical:top;mso-position-vertical-relative:text;margin-left:288.5pt;mso-position-horizontal:left;mso-position-horizontal-relative:text">
                <v:textbox>
                  <w:txbxContent>
                    <w:p>
                      <w:pPr>
                        <w:pStyle w:val="TextBody"/>
                        <w:bidi w:val="0"/>
                        <w:spacing w:lineRule="atLeast" w:line="240" w:before="0" w:after="0"/>
                        <w:jc w:val="both"/>
                        <w:rPr/>
                      </w:pPr>
                      <w:r>
                        <w:rPr>
                          <w:i/>
                        </w:rPr>
                        <w:t>Committees</w:t>
                      </w:r>
                      <w:r>
                        <w:rPr>
                          <w:spacing w:val="-2"/>
                        </w:rPr>
                        <w:t>, as currently in effect, including the quality of the Company’s accounting principles, the reasonableness of significant judgments and the clarity of disclosures in the financial statements.</w:t>
                      </w:r>
                      <w:r>
                        <w:rPr>
                          <w:spacing w:val="4"/>
                        </w:rPr>
                        <w:t xml:space="preserve"> </w:t>
                      </w:r>
                    </w:p>
                    <w:p>
                      <w:pPr>
                        <w:pStyle w:val="TextBody"/>
                        <w:bidi w:val="0"/>
                        <w:spacing w:lineRule="atLeast" w:line="240" w:before="160" w:after="283"/>
                        <w:jc w:val="both"/>
                        <w:rPr/>
                      </w:pPr>
                      <w:r>
                        <w:rPr>
                          <w:spacing w:val="-2"/>
                        </w:rPr>
                        <w:t>The Audit Committee also discussed with its independent registered public accounting firm matters relating to its independence and received the written disclosures and letter from KPMG required by the applicable requirements of the PCAOB regarding the independent accountant’s communications with the Audit Committee concerning independence.</w:t>
                      </w:r>
                      <w:r>
                        <w:rPr>
                          <w:spacing w:val="4"/>
                        </w:rPr>
                        <w:t xml:space="preserve"> </w:t>
                      </w:r>
                    </w:p>
                    <w:p>
                      <w:pPr>
                        <w:pStyle w:val="TextBody"/>
                        <w:bidi w:val="0"/>
                        <w:spacing w:lineRule="atLeast" w:line="240" w:before="160" w:after="283"/>
                        <w:jc w:val="both"/>
                        <w:rPr>
                          <w:spacing w:val="-2"/>
                        </w:rPr>
                      </w:pPr>
                      <w:r>
                        <w:rPr>
                          <w:spacing w:val="-2"/>
                        </w:rPr>
                        <w:t xml:space="preserve">Taking all of these reviews and discussions into account, all of the Audit Committee members listed below recommended to the Board that it approve the inclusion of the Company’s audited financial statements in the Company’s Annual Report on Form 10-K for the year ended December 31, 2025 for filing with the SEC. </w:t>
                      </w:r>
                    </w:p>
                    <w:p>
                      <w:pPr>
                        <w:pStyle w:val="TextBody"/>
                        <w:bidi w:val="0"/>
                        <w:spacing w:lineRule="atLeast" w:line="240" w:before="240" w:after="283"/>
                        <w:jc w:val="left"/>
                        <w:rPr>
                          <w:b/>
                        </w:rPr>
                      </w:pPr>
                      <w:r>
                        <w:rPr>
                          <w:b/>
                          <w:spacing w:val="0"/>
                        </w:rPr>
                        <w:t>Members of the Audit Committee</w:t>
                      </w:r>
                      <w:r>
                        <w:rPr>
                          <w:b/>
                          <w:spacing w:val="4"/>
                        </w:rPr>
                        <w:t xml:space="preserve"> </w:t>
                      </w:r>
                    </w:p>
                    <w:p>
                      <w:pPr>
                        <w:pStyle w:val="TextBody"/>
                        <w:bidi w:val="0"/>
                        <w:spacing w:lineRule="atLeast" w:line="240" w:before="240" w:after="283"/>
                        <w:jc w:val="left"/>
                        <w:rPr>
                          <w:spacing w:val="-2"/>
                        </w:rPr>
                      </w:pPr>
                      <w:r>
                        <w:rPr>
                          <w:spacing w:val="-2"/>
                        </w:rPr>
                        <w:t xml:space="preserve">Susan Panuccio, Chair </w:t>
                        <w:br/>
                        <w:t xml:space="preserve">David Eun </w:t>
                        <w:br/>
                        <w:t>Jean-Baptiste Wautier</w:t>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/ 47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EXOF"/>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480" w:before="200" w:after="580"/>
        <w:ind w:left="800" w:right="0" w:hanging="0"/>
        <w:jc w:val="left"/>
        <w:rPr>
          <w:caps w:val="false"/>
          <w:smallCaps w:val="false"/>
          <w:color w:val="000000"/>
        </w:rPr>
      </w:pPr>
      <w:r>
        <w:rPr>
          <w:caps w:val="false"/>
          <w:smallCaps w:val="false"/>
          <w:color w:val="000000"/>
          <w:spacing w:val="-6"/>
        </w:rPr>
        <w:t> </w:t>
      </w:r>
      <w:r>
        <w:rPr>
          <w:caps w:val="false"/>
          <w:smallCaps w:val="false"/>
          <w:color w:val="000000"/>
        </w:rPr>
        <w:t xml:space="preserve"> </w:t>
      </w:r>
    </w:p>
    <w:p>
      <w:pPr>
        <w:pStyle w:val="TextBody"/>
        <w:bidi w:val="0"/>
        <w:spacing w:lineRule="atLeast" w:line="480" w:before="674" w:after="283"/>
        <w:ind w:left="800" w:right="0" w:hanging="0"/>
        <w:jc w:val="left"/>
        <w:rPr>
          <w:rFonts w:ascii="Arial;Helvetica;sans-serif" w:hAnsi="Arial;Helvetica;sans-serif"/>
          <w:b/>
          <w:i w:val="false"/>
          <w:caps w:val="false"/>
          <w:smallCaps w:val="false"/>
          <w:color w:val="000000"/>
          <w:spacing w:val="-1"/>
          <w:sz w:val="44"/>
        </w:rPr>
      </w:pPr>
      <w:r>
        <w:rPr>
          <w:rFonts w:ascii="Arial;Helvetica;sans-serif" w:hAnsi="Arial;Helvetica;sans-serif"/>
          <w:b/>
          <w:i w:val="false"/>
          <w:caps w:val="false"/>
          <w:smallCaps w:val="false"/>
          <w:color w:val="000000"/>
          <w:spacing w:val="-1"/>
          <w:sz w:val="44"/>
        </w:rPr>
        <w:t xml:space="preserve">Executive Officers </w:t>
      </w:r>
    </w:p>
    <w:p>
      <w:pPr>
        <w:pStyle w:val="TextBody"/>
        <w:bidi w:val="0"/>
        <w:spacing w:lineRule="atLeast" w:line="240" w:before="160" w:after="283"/>
        <w:ind w:left="90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certain information with respect to the Company’s current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61">
                <wp:simplePos x="0" y="0"/>
                <wp:positionH relativeFrom="column">
                  <wp:align>left</wp:align>
                </wp:positionH>
                <wp:positionV relativeFrom="line">
                  <wp:posOffset>635</wp:posOffset>
                </wp:positionV>
                <wp:extent cx="3054350" cy="6550025"/>
                <wp:effectExtent l="0" t="0" r="0" b="0"/>
                <wp:wrapSquare wrapText="right"/>
                <wp:docPr id="421" name="Frame319"/>
                <a:graphic xmlns:a="http://schemas.openxmlformats.org/drawingml/2006/main">
                  <a:graphicData uri="http://schemas.microsoft.com/office/word/2010/wordprocessingShape">
                    <wps:wsp>
                      <wps:cNvSpPr txBox="1"/>
                      <wps:spPr>
                        <a:xfrm>
                          <a:off x="0" y="0"/>
                          <a:ext cx="3054350" cy="6550025"/>
                        </a:xfrm>
                        <a:prstGeom prst="rect"/>
                        <a:solidFill>
                          <a:srgbClr val="FFFFFF"/>
                        </a:solidFill>
                      </wps:spPr>
                      <wps:txbx>
                        <w:txbxContent>
                          <w:tbl>
                            <w:tblPr>
                              <w:tblW w:w="5173" w:type="dxa"/>
                              <w:jc w:val="left"/>
                              <w:tblInd w:w="0" w:type="dxa"/>
                              <w:tblLayout w:type="fixed"/>
                              <w:tblCellMar>
                                <w:top w:w="0" w:type="dxa"/>
                                <w:left w:w="0" w:type="dxa"/>
                                <w:bottom w:w="0" w:type="dxa"/>
                                <w:right w:w="0" w:type="dxa"/>
                              </w:tblCellMar>
                            </w:tblPr>
                            <w:tblGrid>
                              <w:gridCol w:w="124"/>
                              <w:gridCol w:w="1751"/>
                              <w:gridCol w:w="109"/>
                              <w:gridCol w:w="109"/>
                              <w:gridCol w:w="2926"/>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42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90" descr=""/>
                                                <pic:cNvPicPr>
                                                  <a:picLocks noChangeAspect="1" noChangeArrowheads="1"/>
                                                </pic:cNvPicPr>
                                              </pic:nvPicPr>
                                              <pic:blipFill>
                                                <a:blip r:embed="rId104"/>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926" w:type="dxa"/>
                                  <w:tcBorders/>
                                  <w:shd w:fill="E5E5E5" w:val="clear"/>
                                  <w:vAlign w:val="center"/>
                                </w:tcPr>
                                <w:p>
                                  <w:pPr>
                                    <w:pStyle w:val="TableContents"/>
                                    <w:bidi w:val="0"/>
                                    <w:spacing w:lineRule="atLeast" w:line="216" w:before="0" w:after="0"/>
                                    <w:jc w:val="left"/>
                                    <w:rPr>
                                      <w:b/>
                                    </w:rPr>
                                  </w:pPr>
                                  <w:r>
                                    <w:rPr>
                                      <w:b/>
                                      <w:spacing w:val="-2"/>
                                    </w:rPr>
                                    <w:t>WILLIAM ACKMAN</w:t>
                                  </w:r>
                                  <w:r>
                                    <w:rPr>
                                      <w:b/>
                                    </w:rPr>
                                    <w:t xml:space="preserve"> </w:t>
                                  </w:r>
                                </w:p>
                                <w:p>
                                  <w:pPr>
                                    <w:pStyle w:val="TableContents"/>
                                    <w:bidi w:val="0"/>
                                    <w:spacing w:lineRule="atLeast" w:line="216" w:before="120" w:after="283"/>
                                    <w:jc w:val="left"/>
                                    <w:rPr/>
                                  </w:pPr>
                                  <w:r>
                                    <w:rPr>
                                      <w:spacing w:val="-1"/>
                                    </w:rPr>
                                    <w:t>EXECUTIVE CHAIRMAN</w:t>
                                  </w:r>
                                  <w:r>
                                    <w:rPr/>
                                    <w:t xml:space="preserve"> </w:t>
                                  </w:r>
                                </w:p>
                                <w:p>
                                  <w:pPr>
                                    <w:pStyle w:val="TableContents"/>
                                    <w:bidi w:val="0"/>
                                    <w:spacing w:lineRule="atLeast" w:line="216" w:before="120" w:after="283"/>
                                    <w:jc w:val="left"/>
                                    <w:rPr/>
                                  </w:pPr>
                                  <w:r>
                                    <w:rPr>
                                      <w:spacing w:val="-1"/>
                                    </w:rPr>
                                    <w:t>Age 60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jc w:val="left"/>
                              <w:rPr>
                                <w:b/>
                              </w:rPr>
                            </w:pPr>
                            <w:r>
                              <w:rPr>
                                <w:b/>
                                <w:spacing w:val="0"/>
                              </w:rPr>
                              <w:t>Background</w:t>
                            </w:r>
                            <w:r>
                              <w:rPr>
                                <w:b/>
                                <w:spacing w:val="4"/>
                              </w:rPr>
                              <w:t xml:space="preserve"> </w:t>
                            </w:r>
                          </w:p>
                          <w:p>
                            <w:pPr>
                              <w:pStyle w:val="TextBody"/>
                              <w:bidi w:val="0"/>
                              <w:spacing w:lineRule="atLeast" w:line="240" w:before="240" w:after="283"/>
                              <w:jc w:val="both"/>
                              <w:rPr/>
                            </w:pPr>
                            <w:r>
                              <w:rPr>
                                <w:b/>
                                <w:spacing w:val="0"/>
                              </w:rPr>
                              <w:t>Bill Ackman</w:t>
                            </w:r>
                            <w:r>
                              <w:rPr>
                                <w:spacing w:val="-2"/>
                              </w:rPr>
                              <w:t xml:space="preserve"> has served as Executive Chairman of the Board since May 2025, and previously served as Chairman of the Board from November 2010 to May 2024. Mr. Ackman has served as the Founder and Chief Executive Officer of PSCM since its founding in 2003, and as Chairman of the board of directors of PS  Inc. since June 2024. Prior to founding PSCM, Mr. Ackman co-founded and co-managed Gotham Partners Management Co., LLC, an investment adviser that managed public and private equity hedge fund portfolios, until 2003. Mr. Ackman is Chairman and Chief Executive Officer of Pershing Square SPARC Holdings, Ltd. In addition, Mr. Ackman serves on the board of The Pershing Square Foundation, which he founded in 2006. Mr. Ackman previously served as Chief Executive Officer and Chairman of Pershing Square Tontine Holdings, Ltd., as a member of the Federal Reserve Bank of New York’s Investment Advisory Committee on Financial Markets and as a director of Universal Music Group N.V.</w:t>
                            </w:r>
                            <w:r>
                              <w:rPr>
                                <w:spacing w:val="4"/>
                              </w:rPr>
                              <w:t xml:space="preserve"> </w:t>
                            </w:r>
                          </w:p>
                          <w:p>
                            <w:pPr>
                              <w:pStyle w:val="TextBody"/>
                              <w:bidi w:val="0"/>
                              <w:spacing w:lineRule="atLeast" w:line="240" w:before="160" w:after="283"/>
                              <w:jc w:val="both"/>
                              <w:rPr>
                                <w:spacing w:val="-2"/>
                              </w:rPr>
                            </w:pPr>
                            <w:r>
                              <w:rPr>
                                <w:spacing w:val="-2"/>
                              </w:rPr>
                              <w:t xml:space="preserve">Mr. Ackman received a Masters in Business Administration from the Harvard Business School and a Bachelor of Arts magna cum laude from Harvard College. </w:t>
                            </w:r>
                          </w:p>
                        </w:txbxContent>
                      </wps:txbx>
                      <wps:bodyPr anchor="t" lIns="0" tIns="0" rIns="0" bIns="0">
                        <a:noAutofit/>
                      </wps:bodyPr>
                    </wps:wsp>
                  </a:graphicData>
                </a:graphic>
              </wp:anchor>
            </w:drawing>
          </mc:Choice>
          <mc:Fallback>
            <w:pict>
              <v:rect style="position:absolute;rotation:-0;width:240.5pt;height:515.75pt;mso-wrap-distance-left:45pt;mso-wrap-distance-right:0pt;mso-wrap-distance-top:0pt;mso-wrap-distance-bottom:0pt;margin-top:0pt;mso-position-vertical:top;mso-position-vertical-relative:text;margin-left:45pt;mso-position-horizontal:left;mso-position-horizontal-relative:text">
                <v:textbox>
                  <w:txbxContent>
                    <w:tbl>
                      <w:tblPr>
                        <w:tblW w:w="5173" w:type="dxa"/>
                        <w:jc w:val="left"/>
                        <w:tblInd w:w="0" w:type="dxa"/>
                        <w:tblLayout w:type="fixed"/>
                        <w:tblCellMar>
                          <w:top w:w="0" w:type="dxa"/>
                          <w:left w:w="0" w:type="dxa"/>
                          <w:bottom w:w="0" w:type="dxa"/>
                          <w:right w:w="0" w:type="dxa"/>
                        </w:tblCellMar>
                      </w:tblPr>
                      <w:tblGrid>
                        <w:gridCol w:w="124"/>
                        <w:gridCol w:w="1751"/>
                        <w:gridCol w:w="109"/>
                        <w:gridCol w:w="109"/>
                        <w:gridCol w:w="2926"/>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42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90" descr=""/>
                                          <pic:cNvPicPr>
                                            <a:picLocks noChangeAspect="1" noChangeArrowheads="1"/>
                                          </pic:cNvPicPr>
                                        </pic:nvPicPr>
                                        <pic:blipFill>
                                          <a:blip r:embed="rId105"/>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926" w:type="dxa"/>
                            <w:tcBorders/>
                            <w:shd w:fill="E5E5E5" w:val="clear"/>
                            <w:vAlign w:val="center"/>
                          </w:tcPr>
                          <w:p>
                            <w:pPr>
                              <w:pStyle w:val="TableContents"/>
                              <w:bidi w:val="0"/>
                              <w:spacing w:lineRule="atLeast" w:line="216" w:before="0" w:after="0"/>
                              <w:jc w:val="left"/>
                              <w:rPr>
                                <w:b/>
                              </w:rPr>
                            </w:pPr>
                            <w:r>
                              <w:rPr>
                                <w:b/>
                                <w:spacing w:val="-2"/>
                              </w:rPr>
                              <w:t>WILLIAM ACKMAN</w:t>
                            </w:r>
                            <w:r>
                              <w:rPr>
                                <w:b/>
                              </w:rPr>
                              <w:t xml:space="preserve"> </w:t>
                            </w:r>
                          </w:p>
                          <w:p>
                            <w:pPr>
                              <w:pStyle w:val="TableContents"/>
                              <w:bidi w:val="0"/>
                              <w:spacing w:lineRule="atLeast" w:line="216" w:before="120" w:after="283"/>
                              <w:jc w:val="left"/>
                              <w:rPr/>
                            </w:pPr>
                            <w:r>
                              <w:rPr>
                                <w:spacing w:val="-1"/>
                              </w:rPr>
                              <w:t>EXECUTIVE CHAIRMAN</w:t>
                            </w:r>
                            <w:r>
                              <w:rPr/>
                              <w:t xml:space="preserve"> </w:t>
                            </w:r>
                          </w:p>
                          <w:p>
                            <w:pPr>
                              <w:pStyle w:val="TableContents"/>
                              <w:bidi w:val="0"/>
                              <w:spacing w:lineRule="atLeast" w:line="216" w:before="120" w:after="283"/>
                              <w:jc w:val="left"/>
                              <w:rPr/>
                            </w:pPr>
                            <w:r>
                              <w:rPr>
                                <w:spacing w:val="-1"/>
                              </w:rPr>
                              <w:t>Age 60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jc w:val="left"/>
                        <w:rPr>
                          <w:b/>
                        </w:rPr>
                      </w:pPr>
                      <w:r>
                        <w:rPr>
                          <w:b/>
                          <w:spacing w:val="0"/>
                        </w:rPr>
                        <w:t>Background</w:t>
                      </w:r>
                      <w:r>
                        <w:rPr>
                          <w:b/>
                          <w:spacing w:val="4"/>
                        </w:rPr>
                        <w:t xml:space="preserve"> </w:t>
                      </w:r>
                    </w:p>
                    <w:p>
                      <w:pPr>
                        <w:pStyle w:val="TextBody"/>
                        <w:bidi w:val="0"/>
                        <w:spacing w:lineRule="atLeast" w:line="240" w:before="240" w:after="283"/>
                        <w:jc w:val="both"/>
                        <w:rPr/>
                      </w:pPr>
                      <w:r>
                        <w:rPr>
                          <w:b/>
                          <w:spacing w:val="0"/>
                        </w:rPr>
                        <w:t>Bill Ackman</w:t>
                      </w:r>
                      <w:r>
                        <w:rPr>
                          <w:spacing w:val="-2"/>
                        </w:rPr>
                        <w:t xml:space="preserve"> has served as Executive Chairman of the Board since May 2025, and previously served as Chairman of the Board from November 2010 to May 2024. Mr. Ackman has served as the Founder and Chief Executive Officer of PSCM since its founding in 2003, and as Chairman of the board of directors of PS  Inc. since June 2024. Prior to founding PSCM, Mr. Ackman co-founded and co-managed Gotham Partners Management Co., LLC, an investment adviser that managed public and private equity hedge fund portfolios, until 2003. Mr. Ackman is Chairman and Chief Executive Officer of Pershing Square SPARC Holdings, Ltd. In addition, Mr. Ackman serves on the board of The Pershing Square Foundation, which he founded in 2006. Mr. Ackman previously served as Chief Executive Officer and Chairman of Pershing Square Tontine Holdings, Ltd., as a member of the Federal Reserve Bank of New York’s Investment Advisory Committee on Financial Markets and as a director of Universal Music Group N.V.</w:t>
                      </w:r>
                      <w:r>
                        <w:rPr>
                          <w:spacing w:val="4"/>
                        </w:rPr>
                        <w:t xml:space="preserve"> </w:t>
                      </w:r>
                    </w:p>
                    <w:p>
                      <w:pPr>
                        <w:pStyle w:val="TextBody"/>
                        <w:bidi w:val="0"/>
                        <w:spacing w:lineRule="atLeast" w:line="240" w:before="160" w:after="283"/>
                        <w:jc w:val="both"/>
                        <w:rPr>
                          <w:spacing w:val="-2"/>
                        </w:rPr>
                      </w:pPr>
                      <w:r>
                        <w:rPr>
                          <w:spacing w:val="-2"/>
                        </w:rPr>
                        <w:t xml:space="preserve">Mr. Ackman received a Masters in Business Administration from the Harvard Business School and a Bachelor of Arts magna cum laude from Harvard College. </w:t>
                      </w:r>
                    </w:p>
                  </w:txbxContent>
                </v:textbox>
                <w10:wrap type="square" side="right"/>
              </v:rect>
            </w:pict>
          </mc:Fallback>
        </mc:AlternateContent>
      </w:r>
      <w:r>
        <mc:AlternateContent>
          <mc:Choice Requires="wps">
            <w:drawing>
              <wp:anchor behindDoc="0" distT="0" distB="0" distL="304800" distR="0" simplePos="0" locked="0" layoutInCell="1" allowOverlap="1" relativeHeight="63">
                <wp:simplePos x="0" y="0"/>
                <wp:positionH relativeFrom="column">
                  <wp:align>left</wp:align>
                </wp:positionH>
                <wp:positionV relativeFrom="line">
                  <wp:posOffset>635</wp:posOffset>
                </wp:positionV>
                <wp:extent cx="3054350" cy="9972040"/>
                <wp:effectExtent l="0" t="0" r="0" b="0"/>
                <wp:wrapSquare wrapText="right"/>
                <wp:docPr id="424" name="Frame320"/>
                <a:graphic xmlns:a="http://schemas.openxmlformats.org/drawingml/2006/main">
                  <a:graphicData uri="http://schemas.microsoft.com/office/word/2010/wordprocessingShape">
                    <wps:wsp>
                      <wps:cNvSpPr txBox="1"/>
                      <wps:spPr>
                        <a:xfrm>
                          <a:off x="0" y="0"/>
                          <a:ext cx="3054350" cy="9972040"/>
                        </a:xfrm>
                        <a:prstGeom prst="rect"/>
                        <a:solidFill>
                          <a:srgbClr val="FFFFFF"/>
                        </a:solidFill>
                      </wps:spPr>
                      <wps:txbx>
                        <w:txbxContent>
                          <w:tbl>
                            <w:tblPr>
                              <w:tblW w:w="5605" w:type="dxa"/>
                              <w:jc w:val="left"/>
                              <w:tblInd w:w="0" w:type="dxa"/>
                              <w:tblLayout w:type="fixed"/>
                              <w:tblCellMar>
                                <w:top w:w="0" w:type="dxa"/>
                                <w:left w:w="0" w:type="dxa"/>
                                <w:bottom w:w="0" w:type="dxa"/>
                                <w:right w:w="0" w:type="dxa"/>
                              </w:tblCellMar>
                            </w:tblPr>
                            <w:tblGrid>
                              <w:gridCol w:w="124"/>
                              <w:gridCol w:w="1751"/>
                              <w:gridCol w:w="109"/>
                              <w:gridCol w:w="109"/>
                              <w:gridCol w:w="3358"/>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42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91" descr=""/>
                                                <pic:cNvPicPr>
                                                  <a:picLocks noChangeAspect="1" noChangeArrowheads="1"/>
                                                </pic:cNvPicPr>
                                              </pic:nvPicPr>
                                              <pic:blipFill>
                                                <a:blip r:embed="rId106"/>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358" w:type="dxa"/>
                                  <w:tcBorders/>
                                  <w:shd w:fill="E5E5E5" w:val="clear"/>
                                  <w:vAlign w:val="center"/>
                                </w:tcPr>
                                <w:p>
                                  <w:pPr>
                                    <w:pStyle w:val="TableContents"/>
                                    <w:bidi w:val="0"/>
                                    <w:spacing w:lineRule="atLeast" w:line="216" w:before="0" w:after="0"/>
                                    <w:jc w:val="left"/>
                                    <w:rPr>
                                      <w:b/>
                                    </w:rPr>
                                  </w:pPr>
                                  <w:r>
                                    <w:rPr>
                                      <w:b/>
                                      <w:spacing w:val="-2"/>
                                    </w:rPr>
                                    <w:t>DAVID O’REILLY</w:t>
                                  </w:r>
                                  <w:r>
                                    <w:rPr>
                                      <w:b/>
                                    </w:rPr>
                                    <w:t xml:space="preserve"> </w:t>
                                  </w:r>
                                </w:p>
                                <w:p>
                                  <w:pPr>
                                    <w:pStyle w:val="TableContents"/>
                                    <w:bidi w:val="0"/>
                                    <w:spacing w:lineRule="atLeast" w:line="216" w:before="120" w:after="283"/>
                                    <w:jc w:val="left"/>
                                    <w:rPr/>
                                  </w:pPr>
                                  <w:r>
                                    <w:rPr>
                                      <w:spacing w:val="-1"/>
                                    </w:rPr>
                                    <w:t xml:space="preserve">CHIEF EXECUTIVE OFFICER </w:t>
                                    <w:br/>
                                    <w:t>AND DIRECTOR</w:t>
                                  </w:r>
                                  <w:r>
                                    <w:rPr/>
                                    <w:t xml:space="preserve"> </w:t>
                                  </w:r>
                                </w:p>
                                <w:p>
                                  <w:pPr>
                                    <w:pStyle w:val="TableContents"/>
                                    <w:bidi w:val="0"/>
                                    <w:spacing w:lineRule="atLeast" w:line="216" w:before="120" w:after="283"/>
                                    <w:jc w:val="left"/>
                                    <w:rPr/>
                                  </w:pPr>
                                  <w:r>
                                    <w:rPr>
                                      <w:spacing w:val="-1"/>
                                    </w:rPr>
                                    <w:t>Age 52</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6" w:after="283"/>
                              <w:jc w:val="left"/>
                              <w:rPr>
                                <w:b/>
                              </w:rPr>
                            </w:pPr>
                            <w:r>
                              <w:rPr>
                                <w:b/>
                                <w:spacing w:val="0"/>
                              </w:rPr>
                              <w:t>Background</w:t>
                            </w:r>
                            <w:r>
                              <w:rPr>
                                <w:b/>
                                <w:spacing w:val="4"/>
                              </w:rPr>
                              <w:t xml:space="preserve"> </w:t>
                            </w:r>
                          </w:p>
                          <w:p>
                            <w:pPr>
                              <w:pStyle w:val="TextBody"/>
                              <w:bidi w:val="0"/>
                              <w:spacing w:lineRule="atLeast" w:line="210" w:before="240" w:after="283"/>
                              <w:jc w:val="both"/>
                              <w:rPr/>
                            </w:pPr>
                            <w:r>
                              <w:rPr>
                                <w:b/>
                                <w:spacing w:val="0"/>
                              </w:rPr>
                              <w:t>David O’Reilly</w:t>
                            </w:r>
                            <w:r>
                              <w:rPr>
                                <w:spacing w:val="-2"/>
                              </w:rPr>
                              <w:t xml:space="preserve"> has served as Chief Executive Officer of the Company since December 2020 and as a member of the Board of Directors since that time. In this role, he leads the Company’s strategy and operations, overseeing one of the nation’s leading platforms for the development of master planned communities and mixed-use real estate, with a focus on long-term value creation and disciplined capital allocation. In his role as Chief Executive Officer, Mr. O’Reilly is leading the execution of the Company’s evolution into a diversified holding company, with a focus on integrating and scaling new operating platforms to drive long-term value creation. Mr. O’Reilly previously served as the Company’s Chief Financial Officer from October 2016 to April 2021 and as its President from June 2020 to November 2020. He was appointed Interim Chief Executive Officer in September 2020 prior to being named Chief Executive Officer and elected to the Board in December 2020. Prior to joining the Company, Mr. O’Reilly served as Executive Vice President and Chief Investment Officer of Parkway Properties, Inc., a NYSE-listed real estate investment trust focused on office properties, from November 2011 to October 2014, and as its Chief Financial Officer from August 2012 to October 2016, including a period as Interim Chief Financial Officer. Earlier in his career, Mr. O’Reilly held senior roles in real estate investment and capital markets, including positions with Banyan Street Capital, Eola Capital LLC, Barclays Capital Inc., and Lehman Brothers. Across these roles, he was involved in a wide range of financial advisory and merger and acquisition activities, including leveraged buyouts, initial public offerings, and commercial mortgage-backed securities transactions. Mr. O’Reilly has served as an independent trustee of Kite Realty Group Trust, a publicly traded REIT, since 2013, and is a member of its Audit Committee and Compensation Committee.</w:t>
                            </w:r>
                            <w:r>
                              <w:rPr>
                                <w:spacing w:val="4"/>
                              </w:rPr>
                              <w:t xml:space="preserve"> </w:t>
                            </w:r>
                          </w:p>
                          <w:p>
                            <w:pPr>
                              <w:pStyle w:val="TextBody"/>
                              <w:bidi w:val="0"/>
                              <w:spacing w:lineRule="atLeast" w:line="230" w:before="80" w:after="283"/>
                              <w:jc w:val="both"/>
                              <w:rPr>
                                <w:spacing w:val="-2"/>
                              </w:rPr>
                            </w:pPr>
                            <w:r>
                              <w:rPr>
                                <w:spacing w:val="-2"/>
                              </w:rPr>
                              <w:t xml:space="preserve">Mr. O’Reilly earned a B.S. in Civil Engineering from Tufts University and an M.B.A. from Columbia University. </w:t>
                            </w:r>
                          </w:p>
                        </w:txbxContent>
                      </wps:txbx>
                      <wps:bodyPr anchor="t" lIns="0" tIns="0" rIns="0" bIns="0">
                        <a:noAutofit/>
                      </wps:bodyPr>
                    </wps:wsp>
                  </a:graphicData>
                </a:graphic>
              </wp:anchor>
            </w:drawing>
          </mc:Choice>
          <mc:Fallback>
            <w:pict>
              <v:rect style="position:absolute;rotation:-0;width:240.5pt;height:785.2pt;mso-wrap-distance-left:24pt;mso-wrap-distance-right:0pt;mso-wrap-distance-top:0pt;mso-wrap-distance-bottom:0pt;margin-top:0pt;mso-position-vertical:top;mso-position-vertical-relative:text;margin-left:24pt;mso-position-horizontal:left;mso-position-horizontal-relative:text">
                <v:textbox>
                  <w:txbxContent>
                    <w:tbl>
                      <w:tblPr>
                        <w:tblW w:w="5605" w:type="dxa"/>
                        <w:jc w:val="left"/>
                        <w:tblInd w:w="0" w:type="dxa"/>
                        <w:tblLayout w:type="fixed"/>
                        <w:tblCellMar>
                          <w:top w:w="0" w:type="dxa"/>
                          <w:left w:w="0" w:type="dxa"/>
                          <w:bottom w:w="0" w:type="dxa"/>
                          <w:right w:w="0" w:type="dxa"/>
                        </w:tblCellMar>
                      </w:tblPr>
                      <w:tblGrid>
                        <w:gridCol w:w="124"/>
                        <w:gridCol w:w="1751"/>
                        <w:gridCol w:w="109"/>
                        <w:gridCol w:w="109"/>
                        <w:gridCol w:w="3358"/>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426"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91" descr=""/>
                                          <pic:cNvPicPr>
                                            <a:picLocks noChangeAspect="1" noChangeArrowheads="1"/>
                                          </pic:cNvPicPr>
                                        </pic:nvPicPr>
                                        <pic:blipFill>
                                          <a:blip r:embed="rId107"/>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358" w:type="dxa"/>
                            <w:tcBorders/>
                            <w:shd w:fill="E5E5E5" w:val="clear"/>
                            <w:vAlign w:val="center"/>
                          </w:tcPr>
                          <w:p>
                            <w:pPr>
                              <w:pStyle w:val="TableContents"/>
                              <w:bidi w:val="0"/>
                              <w:spacing w:lineRule="atLeast" w:line="216" w:before="0" w:after="0"/>
                              <w:jc w:val="left"/>
                              <w:rPr>
                                <w:b/>
                              </w:rPr>
                            </w:pPr>
                            <w:r>
                              <w:rPr>
                                <w:b/>
                                <w:spacing w:val="-2"/>
                              </w:rPr>
                              <w:t>DAVID O’REILLY</w:t>
                            </w:r>
                            <w:r>
                              <w:rPr>
                                <w:b/>
                              </w:rPr>
                              <w:t xml:space="preserve"> </w:t>
                            </w:r>
                          </w:p>
                          <w:p>
                            <w:pPr>
                              <w:pStyle w:val="TableContents"/>
                              <w:bidi w:val="0"/>
                              <w:spacing w:lineRule="atLeast" w:line="216" w:before="120" w:after="283"/>
                              <w:jc w:val="left"/>
                              <w:rPr/>
                            </w:pPr>
                            <w:r>
                              <w:rPr>
                                <w:spacing w:val="-1"/>
                              </w:rPr>
                              <w:t xml:space="preserve">CHIEF EXECUTIVE OFFICER </w:t>
                              <w:br/>
                              <w:t>AND DIRECTOR</w:t>
                            </w:r>
                            <w:r>
                              <w:rPr/>
                              <w:t xml:space="preserve"> </w:t>
                            </w:r>
                          </w:p>
                          <w:p>
                            <w:pPr>
                              <w:pStyle w:val="TableContents"/>
                              <w:bidi w:val="0"/>
                              <w:spacing w:lineRule="atLeast" w:line="216" w:before="120" w:after="283"/>
                              <w:jc w:val="left"/>
                              <w:rPr/>
                            </w:pPr>
                            <w:r>
                              <w:rPr>
                                <w:spacing w:val="-1"/>
                              </w:rPr>
                              <w:t>Age 52</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6" w:after="283"/>
                        <w:jc w:val="left"/>
                        <w:rPr>
                          <w:b/>
                        </w:rPr>
                      </w:pPr>
                      <w:r>
                        <w:rPr>
                          <w:b/>
                          <w:spacing w:val="0"/>
                        </w:rPr>
                        <w:t>Background</w:t>
                      </w:r>
                      <w:r>
                        <w:rPr>
                          <w:b/>
                          <w:spacing w:val="4"/>
                        </w:rPr>
                        <w:t xml:space="preserve"> </w:t>
                      </w:r>
                    </w:p>
                    <w:p>
                      <w:pPr>
                        <w:pStyle w:val="TextBody"/>
                        <w:bidi w:val="0"/>
                        <w:spacing w:lineRule="atLeast" w:line="210" w:before="240" w:after="283"/>
                        <w:jc w:val="both"/>
                        <w:rPr/>
                      </w:pPr>
                      <w:r>
                        <w:rPr>
                          <w:b/>
                          <w:spacing w:val="0"/>
                        </w:rPr>
                        <w:t>David O’Reilly</w:t>
                      </w:r>
                      <w:r>
                        <w:rPr>
                          <w:spacing w:val="-2"/>
                        </w:rPr>
                        <w:t xml:space="preserve"> has served as Chief Executive Officer of the Company since December 2020 and as a member of the Board of Directors since that time. In this role, he leads the Company’s strategy and operations, overseeing one of the nation’s leading platforms for the development of master planned communities and mixed-use real estate, with a focus on long-term value creation and disciplined capital allocation. In his role as Chief Executive Officer, Mr. O’Reilly is leading the execution of the Company’s evolution into a diversified holding company, with a focus on integrating and scaling new operating platforms to drive long-term value creation. Mr. O’Reilly previously served as the Company’s Chief Financial Officer from October 2016 to April 2021 and as its President from June 2020 to November 2020. He was appointed Interim Chief Executive Officer in September 2020 prior to being named Chief Executive Officer and elected to the Board in December 2020. Prior to joining the Company, Mr. O’Reilly served as Executive Vice President and Chief Investment Officer of Parkway Properties, Inc., a NYSE-listed real estate investment trust focused on office properties, from November 2011 to October 2014, and as its Chief Financial Officer from August 2012 to October 2016, including a period as Interim Chief Financial Officer. Earlier in his career, Mr. O’Reilly held senior roles in real estate investment and capital markets, including positions with Banyan Street Capital, Eola Capital LLC, Barclays Capital Inc., and Lehman Brothers. Across these roles, he was involved in a wide range of financial advisory and merger and acquisition activities, including leveraged buyouts, initial public offerings, and commercial mortgage-backed securities transactions. Mr. O’Reilly has served as an independent trustee of Kite Realty Group Trust, a publicly traded REIT, since 2013, and is a member of its Audit Committee and Compensation Committee.</w:t>
                      </w:r>
                      <w:r>
                        <w:rPr>
                          <w:spacing w:val="4"/>
                        </w:rPr>
                        <w:t xml:space="preserve"> </w:t>
                      </w:r>
                    </w:p>
                    <w:p>
                      <w:pPr>
                        <w:pStyle w:val="TextBody"/>
                        <w:bidi w:val="0"/>
                        <w:spacing w:lineRule="atLeast" w:line="230" w:before="80" w:after="283"/>
                        <w:jc w:val="both"/>
                        <w:rPr>
                          <w:spacing w:val="-2"/>
                        </w:rPr>
                      </w:pPr>
                      <w:r>
                        <w:rPr>
                          <w:spacing w:val="-2"/>
                        </w:rPr>
                        <w:t xml:space="preserve">Mr. O’Reilly earned a B.S. in Civil Engineering from Tufts University and an M.B.A. from Columbia University. </w:t>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48 \ 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Executive Officers</w:t>
      </w:r>
      <w:r>
        <w:rPr>
          <w:rFonts w:ascii="Arial;Helvetica;sans-serif" w:hAnsi="Arial;Helvetica;sans-serif"/>
          <w:b/>
          <w:i w:val="false"/>
          <w:caps w:val="false"/>
          <w:smallCaps w:val="false"/>
          <w:color w:val="7F7F7F"/>
          <w:sz w:val="22"/>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65">
                <wp:simplePos x="0" y="0"/>
                <wp:positionH relativeFrom="column">
                  <wp:align>left</wp:align>
                </wp:positionH>
                <wp:positionV relativeFrom="line">
                  <wp:posOffset>635</wp:posOffset>
                </wp:positionV>
                <wp:extent cx="3055620" cy="4958080"/>
                <wp:effectExtent l="0" t="0" r="0" b="0"/>
                <wp:wrapSquare wrapText="right"/>
                <wp:docPr id="427" name="Frame321"/>
                <a:graphic xmlns:a="http://schemas.openxmlformats.org/drawingml/2006/main">
                  <a:graphicData uri="http://schemas.microsoft.com/office/word/2010/wordprocessingShape">
                    <wps:wsp>
                      <wps:cNvSpPr txBox="1"/>
                      <wps:spPr>
                        <a:xfrm>
                          <a:off x="0" y="0"/>
                          <a:ext cx="3055620" cy="4958080"/>
                        </a:xfrm>
                        <a:prstGeom prst="rect"/>
                        <a:solidFill>
                          <a:srgbClr val="FFFFFF"/>
                        </a:solidFill>
                      </wps:spPr>
                      <wps:txbx>
                        <w:txbxContent>
                          <w:tbl>
                            <w:tblPr>
                              <w:tblW w:w="5784" w:type="dxa"/>
                              <w:jc w:val="left"/>
                              <w:tblInd w:w="0" w:type="dxa"/>
                              <w:tblLayout w:type="fixed"/>
                              <w:tblCellMar>
                                <w:top w:w="0" w:type="dxa"/>
                                <w:left w:w="0" w:type="dxa"/>
                                <w:bottom w:w="0" w:type="dxa"/>
                                <w:right w:w="0" w:type="dxa"/>
                              </w:tblCellMar>
                            </w:tblPr>
                            <w:tblGrid>
                              <w:gridCol w:w="124"/>
                              <w:gridCol w:w="1751"/>
                              <w:gridCol w:w="109"/>
                              <w:gridCol w:w="109"/>
                              <w:gridCol w:w="3537"/>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428"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92" descr=""/>
                                                <pic:cNvPicPr>
                                                  <a:picLocks noChangeAspect="1" noChangeArrowheads="1"/>
                                                </pic:cNvPicPr>
                                              </pic:nvPicPr>
                                              <pic:blipFill>
                                                <a:blip r:embed="rId108"/>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537" w:type="dxa"/>
                                  <w:tcBorders/>
                                  <w:shd w:fill="E5E5E5" w:val="clear"/>
                                  <w:vAlign w:val="center"/>
                                </w:tcPr>
                                <w:p>
                                  <w:pPr>
                                    <w:pStyle w:val="TableContents"/>
                                    <w:bidi w:val="0"/>
                                    <w:spacing w:lineRule="atLeast" w:line="216" w:before="0" w:after="0"/>
                                    <w:jc w:val="left"/>
                                    <w:rPr>
                                      <w:b/>
                                    </w:rPr>
                                  </w:pPr>
                                  <w:r>
                                    <w:rPr>
                                      <w:b/>
                                      <w:spacing w:val="-2"/>
                                    </w:rPr>
                                    <w:t>RYAN ISRAEL</w:t>
                                  </w:r>
                                  <w:r>
                                    <w:rPr>
                                      <w:b/>
                                    </w:rPr>
                                    <w:t xml:space="preserve"> </w:t>
                                  </w:r>
                                </w:p>
                                <w:p>
                                  <w:pPr>
                                    <w:pStyle w:val="TableContents"/>
                                    <w:bidi w:val="0"/>
                                    <w:spacing w:lineRule="atLeast" w:line="216" w:before="120" w:after="283"/>
                                    <w:jc w:val="left"/>
                                    <w:rPr/>
                                  </w:pPr>
                                  <w:r>
                                    <w:rPr>
                                      <w:spacing w:val="-1"/>
                                    </w:rPr>
                                    <w:t xml:space="preserve">CHIEF INVESTMENT OFFICER </w:t>
                                    <w:br/>
                                    <w:t>AND DIRECTOR</w:t>
                                  </w:r>
                                  <w:r>
                                    <w:rPr/>
                                    <w:t xml:space="preserve"> </w:t>
                                  </w:r>
                                </w:p>
                                <w:p>
                                  <w:pPr>
                                    <w:pStyle w:val="TableContents"/>
                                    <w:bidi w:val="0"/>
                                    <w:spacing w:lineRule="atLeast" w:line="216" w:before="120" w:after="283"/>
                                    <w:jc w:val="left"/>
                                    <w:rPr/>
                                  </w:pPr>
                                  <w:r>
                                    <w:rPr>
                                      <w:spacing w:val="-1"/>
                                    </w:rPr>
                                    <w:t>Age 41</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jc w:val="left"/>
                              <w:rPr>
                                <w:b/>
                              </w:rPr>
                            </w:pPr>
                            <w:r>
                              <w:rPr>
                                <w:b/>
                                <w:spacing w:val="0"/>
                              </w:rPr>
                              <w:t>Background</w:t>
                            </w:r>
                            <w:r>
                              <w:rPr>
                                <w:b/>
                                <w:spacing w:val="4"/>
                              </w:rPr>
                              <w:t xml:space="preserve"> </w:t>
                            </w:r>
                          </w:p>
                          <w:p>
                            <w:pPr>
                              <w:pStyle w:val="TextBody"/>
                              <w:bidi w:val="0"/>
                              <w:spacing w:lineRule="atLeast" w:line="240" w:before="240" w:after="283"/>
                              <w:jc w:val="both"/>
                              <w:rPr/>
                            </w:pPr>
                            <w:r>
                              <w:rPr>
                                <w:b/>
                                <w:spacing w:val="0"/>
                              </w:rPr>
                              <w:t>Ryan Israel</w:t>
                            </w:r>
                            <w:r>
                              <w:rPr>
                                <w:spacing w:val="-2"/>
                              </w:rPr>
                              <w:t xml:space="preserve"> has served as a member of our Board and as Chief Investment Officer since May 2025. Mr. Israel joined the Pershing Square investment team in 2009 and has served as Chief Investment Officer of Pershing Square since August 2022. He has also served as a member of the board of directors of PS Inc. since June 2024. Mr. Israel was previously an analyst at The Goldman Sachs Group, Inc. in the Technology, Media and Telecom group. Mr. Israel served as a director of Element Solutions Inc. from October 2013 through January 2019.</w:t>
                            </w:r>
                            <w:r>
                              <w:rPr>
                                <w:spacing w:val="4"/>
                              </w:rPr>
                              <w:t xml:space="preserve"> </w:t>
                            </w:r>
                          </w:p>
                          <w:p>
                            <w:pPr>
                              <w:pStyle w:val="TextBody"/>
                              <w:bidi w:val="0"/>
                              <w:spacing w:lineRule="atLeast" w:line="240" w:before="160" w:after="283"/>
                              <w:jc w:val="both"/>
                              <w:rPr>
                                <w:spacing w:val="-2"/>
                              </w:rPr>
                            </w:pPr>
                            <w:r>
                              <w:rPr>
                                <w:spacing w:val="-2"/>
                              </w:rPr>
                              <w:t xml:space="preserve">Mr. Israel received his Bachelor of Science from the Wharton School at the University of Pennsylvania, where he graduated summa cum laude and beta gamma sigma in 2007. </w:t>
                            </w:r>
                          </w:p>
                        </w:txbxContent>
                      </wps:txbx>
                      <wps:bodyPr anchor="t" lIns="0" tIns="0" rIns="0" bIns="0">
                        <a:noAutofit/>
                      </wps:bodyPr>
                    </wps:wsp>
                  </a:graphicData>
                </a:graphic>
              </wp:anchor>
            </w:drawing>
          </mc:Choice>
          <mc:Fallback>
            <w:pict>
              <v:rect style="position:absolute;rotation:-0;width:240.6pt;height:390.4pt;mso-wrap-distance-left:45.05pt;mso-wrap-distance-right:0pt;mso-wrap-distance-top:0pt;mso-wrap-distance-bottom:0pt;margin-top:0pt;mso-position-vertical:top;mso-position-vertical-relative:text;margin-left:45.05pt;mso-position-horizontal:left;mso-position-horizontal-relative:text">
                <v:textbox>
                  <w:txbxContent>
                    <w:tbl>
                      <w:tblPr>
                        <w:tblW w:w="5784" w:type="dxa"/>
                        <w:jc w:val="left"/>
                        <w:tblInd w:w="0" w:type="dxa"/>
                        <w:tblLayout w:type="fixed"/>
                        <w:tblCellMar>
                          <w:top w:w="0" w:type="dxa"/>
                          <w:left w:w="0" w:type="dxa"/>
                          <w:bottom w:w="0" w:type="dxa"/>
                          <w:right w:w="0" w:type="dxa"/>
                        </w:tblCellMar>
                      </w:tblPr>
                      <w:tblGrid>
                        <w:gridCol w:w="124"/>
                        <w:gridCol w:w="1751"/>
                        <w:gridCol w:w="109"/>
                        <w:gridCol w:w="109"/>
                        <w:gridCol w:w="3537"/>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429"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92" descr=""/>
                                          <pic:cNvPicPr>
                                            <a:picLocks noChangeAspect="1" noChangeArrowheads="1"/>
                                          </pic:cNvPicPr>
                                        </pic:nvPicPr>
                                        <pic:blipFill>
                                          <a:blip r:embed="rId109"/>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537" w:type="dxa"/>
                            <w:tcBorders/>
                            <w:shd w:fill="E5E5E5" w:val="clear"/>
                            <w:vAlign w:val="center"/>
                          </w:tcPr>
                          <w:p>
                            <w:pPr>
                              <w:pStyle w:val="TableContents"/>
                              <w:bidi w:val="0"/>
                              <w:spacing w:lineRule="atLeast" w:line="216" w:before="0" w:after="0"/>
                              <w:jc w:val="left"/>
                              <w:rPr>
                                <w:b/>
                              </w:rPr>
                            </w:pPr>
                            <w:r>
                              <w:rPr>
                                <w:b/>
                                <w:spacing w:val="-2"/>
                              </w:rPr>
                              <w:t>RYAN ISRAEL</w:t>
                            </w:r>
                            <w:r>
                              <w:rPr>
                                <w:b/>
                              </w:rPr>
                              <w:t xml:space="preserve"> </w:t>
                            </w:r>
                          </w:p>
                          <w:p>
                            <w:pPr>
                              <w:pStyle w:val="TableContents"/>
                              <w:bidi w:val="0"/>
                              <w:spacing w:lineRule="atLeast" w:line="216" w:before="120" w:after="283"/>
                              <w:jc w:val="left"/>
                              <w:rPr/>
                            </w:pPr>
                            <w:r>
                              <w:rPr>
                                <w:spacing w:val="-1"/>
                              </w:rPr>
                              <w:t xml:space="preserve">CHIEF INVESTMENT OFFICER </w:t>
                              <w:br/>
                              <w:t>AND DIRECTOR</w:t>
                            </w:r>
                            <w:r>
                              <w:rPr/>
                              <w:t xml:space="preserve"> </w:t>
                            </w:r>
                          </w:p>
                          <w:p>
                            <w:pPr>
                              <w:pStyle w:val="TableContents"/>
                              <w:bidi w:val="0"/>
                              <w:spacing w:lineRule="atLeast" w:line="216" w:before="120" w:after="283"/>
                              <w:jc w:val="left"/>
                              <w:rPr/>
                            </w:pPr>
                            <w:r>
                              <w:rPr>
                                <w:spacing w:val="-1"/>
                              </w:rPr>
                              <w:t>Age 41</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jc w:val="left"/>
                        <w:rPr>
                          <w:b/>
                        </w:rPr>
                      </w:pPr>
                      <w:r>
                        <w:rPr>
                          <w:b/>
                          <w:spacing w:val="0"/>
                        </w:rPr>
                        <w:t>Background</w:t>
                      </w:r>
                      <w:r>
                        <w:rPr>
                          <w:b/>
                          <w:spacing w:val="4"/>
                        </w:rPr>
                        <w:t xml:space="preserve"> </w:t>
                      </w:r>
                    </w:p>
                    <w:p>
                      <w:pPr>
                        <w:pStyle w:val="TextBody"/>
                        <w:bidi w:val="0"/>
                        <w:spacing w:lineRule="atLeast" w:line="240" w:before="240" w:after="283"/>
                        <w:jc w:val="both"/>
                        <w:rPr/>
                      </w:pPr>
                      <w:r>
                        <w:rPr>
                          <w:b/>
                          <w:spacing w:val="0"/>
                        </w:rPr>
                        <w:t>Ryan Israel</w:t>
                      </w:r>
                      <w:r>
                        <w:rPr>
                          <w:spacing w:val="-2"/>
                        </w:rPr>
                        <w:t xml:space="preserve"> has served as a member of our Board and as Chief Investment Officer since May 2025. Mr. Israel joined the Pershing Square investment team in 2009 and has served as Chief Investment Officer of Pershing Square since August 2022. He has also served as a member of the board of directors of PS Inc. since June 2024. Mr. Israel was previously an analyst at The Goldman Sachs Group, Inc. in the Technology, Media and Telecom group. Mr. Israel served as a director of Element Solutions Inc. from October 2013 through January 2019.</w:t>
                      </w:r>
                      <w:r>
                        <w:rPr>
                          <w:spacing w:val="4"/>
                        </w:rPr>
                        <w:t xml:space="preserve"> </w:t>
                      </w:r>
                    </w:p>
                    <w:p>
                      <w:pPr>
                        <w:pStyle w:val="TextBody"/>
                        <w:bidi w:val="0"/>
                        <w:spacing w:lineRule="atLeast" w:line="240" w:before="160" w:after="283"/>
                        <w:jc w:val="both"/>
                        <w:rPr>
                          <w:spacing w:val="-2"/>
                        </w:rPr>
                      </w:pPr>
                      <w:r>
                        <w:rPr>
                          <w:spacing w:val="-2"/>
                        </w:rPr>
                        <w:t xml:space="preserve">Mr. Israel received his Bachelor of Science from the Wharton School at the University of Pennsylvania, where he graduated summa cum laude and beta gamma sigma in 2007. </w:t>
                      </w:r>
                    </w:p>
                  </w:txbxContent>
                </v:textbox>
                <w10:wrap type="square" side="right"/>
              </v:rect>
            </w:pict>
          </mc:Fallback>
        </mc:AlternateContent>
      </w:r>
      <w:r>
        <mc:AlternateContent>
          <mc:Choice Requires="wps">
            <w:drawing>
              <wp:anchor behindDoc="0" distT="0" distB="0" distL="304800" distR="0" simplePos="0" locked="0" layoutInCell="1" allowOverlap="1" relativeHeight="67">
                <wp:simplePos x="0" y="0"/>
                <wp:positionH relativeFrom="column">
                  <wp:align>left</wp:align>
                </wp:positionH>
                <wp:positionV relativeFrom="line">
                  <wp:posOffset>635</wp:posOffset>
                </wp:positionV>
                <wp:extent cx="3055620" cy="6840855"/>
                <wp:effectExtent l="0" t="0" r="0" b="0"/>
                <wp:wrapSquare wrapText="right"/>
                <wp:docPr id="430" name="Frame322"/>
                <a:graphic xmlns:a="http://schemas.openxmlformats.org/drawingml/2006/main">
                  <a:graphicData uri="http://schemas.microsoft.com/office/word/2010/wordprocessingShape">
                    <wps:wsp>
                      <wps:cNvSpPr txBox="1"/>
                      <wps:spPr>
                        <a:xfrm>
                          <a:off x="0" y="0"/>
                          <a:ext cx="3055620" cy="6840855"/>
                        </a:xfrm>
                        <a:prstGeom prst="rect"/>
                        <a:solidFill>
                          <a:srgbClr val="FFFFFF"/>
                        </a:solidFill>
                      </wps:spPr>
                      <wps:txbx>
                        <w:txbxContent>
                          <w:tbl>
                            <w:tblPr>
                              <w:tblW w:w="5560" w:type="dxa"/>
                              <w:jc w:val="left"/>
                              <w:tblInd w:w="0" w:type="dxa"/>
                              <w:tblLayout w:type="fixed"/>
                              <w:tblCellMar>
                                <w:top w:w="0" w:type="dxa"/>
                                <w:left w:w="0" w:type="dxa"/>
                                <w:bottom w:w="0" w:type="dxa"/>
                                <w:right w:w="0" w:type="dxa"/>
                              </w:tblCellMar>
                            </w:tblPr>
                            <w:tblGrid>
                              <w:gridCol w:w="124"/>
                              <w:gridCol w:w="1766"/>
                              <w:gridCol w:w="109"/>
                              <w:gridCol w:w="109"/>
                              <w:gridCol w:w="3298"/>
                              <w:gridCol w:w="154"/>
                            </w:tblGrid>
                            <w:tr>
                              <w:trPr/>
                              <w:tc>
                                <w:tcPr>
                                  <w:tcW w:w="124" w:type="dxa"/>
                                  <w:tcBorders/>
                                  <w:vAlign w:val="center"/>
                                </w:tcPr>
                                <w:p>
                                  <w:pPr>
                                    <w:pStyle w:val="TableContents"/>
                                    <w:bidi w:val="0"/>
                                    <w:spacing w:before="0" w:after="283"/>
                                    <w:jc w:val="left"/>
                                    <w:rPr/>
                                  </w:pPr>
                                  <w:r>
                                    <w:rPr/>
                                    <w:t>​</w:t>
                                  </w:r>
                                </w:p>
                              </w:tc>
                              <w:tc>
                                <w:tcPr>
                                  <w:tcW w:w="1766" w:type="dxa"/>
                                  <w:tcBorders/>
                                  <w:vAlign w:val="center"/>
                                </w:tcPr>
                                <w:p>
                                  <w:pPr>
                                    <w:pStyle w:val="TableContents"/>
                                    <w:bidi w:val="0"/>
                                    <w:spacing w:before="0" w:after="0"/>
                                    <w:jc w:val="left"/>
                                    <w:rPr/>
                                  </w:pPr>
                                  <w:r>
                                    <w:rPr/>
                                    <w:drawing>
                                      <wp:inline distT="0" distB="0" distL="0" distR="0">
                                        <wp:extent cx="1028700" cy="1028700"/>
                                        <wp:effectExtent l="0" t="0" r="0" b="0"/>
                                        <wp:docPr id="431"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93" descr=""/>
                                                <pic:cNvPicPr>
                                                  <a:picLocks noChangeAspect="1" noChangeArrowheads="1"/>
                                                </pic:cNvPicPr>
                                              </pic:nvPicPr>
                                              <pic:blipFill>
                                                <a:blip r:embed="rId110"/>
                                                <a:stretch>
                                                  <a:fillRect/>
                                                </a:stretch>
                                              </pic:blipFill>
                                              <pic:spPr bwMode="auto">
                                                <a:xfrm>
                                                  <a:off x="0" y="0"/>
                                                  <a:ext cx="1028700" cy="10287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298" w:type="dxa"/>
                                  <w:tcBorders/>
                                  <w:shd w:fill="E5E5E5" w:val="clear"/>
                                  <w:vAlign w:val="center"/>
                                </w:tcPr>
                                <w:p>
                                  <w:pPr>
                                    <w:pStyle w:val="TableContents"/>
                                    <w:bidi w:val="0"/>
                                    <w:spacing w:lineRule="atLeast" w:line="216" w:before="0" w:after="0"/>
                                    <w:jc w:val="left"/>
                                    <w:rPr>
                                      <w:b/>
                                    </w:rPr>
                                  </w:pPr>
                                  <w:r>
                                    <w:rPr>
                                      <w:b/>
                                      <w:spacing w:val="-2"/>
                                    </w:rPr>
                                    <w:t>CARLOS OLEA</w:t>
                                  </w:r>
                                  <w:r>
                                    <w:rPr>
                                      <w:b/>
                                    </w:rPr>
                                    <w:t xml:space="preserve"> </w:t>
                                  </w:r>
                                </w:p>
                                <w:p>
                                  <w:pPr>
                                    <w:pStyle w:val="TableContents"/>
                                    <w:bidi w:val="0"/>
                                    <w:spacing w:lineRule="atLeast" w:line="216" w:before="120" w:after="283"/>
                                    <w:jc w:val="left"/>
                                    <w:rPr/>
                                  </w:pPr>
                                  <w:r>
                                    <w:rPr>
                                      <w:spacing w:val="-1"/>
                                    </w:rPr>
                                    <w:t>CHIEF FINANCIAL OFFICER</w:t>
                                  </w:r>
                                  <w:r>
                                    <w:rPr/>
                                    <w:t xml:space="preserve"> </w:t>
                                  </w:r>
                                </w:p>
                                <w:p>
                                  <w:pPr>
                                    <w:pStyle w:val="TableContents"/>
                                    <w:bidi w:val="0"/>
                                    <w:spacing w:lineRule="atLeast" w:line="216" w:before="120" w:after="283"/>
                                    <w:jc w:val="left"/>
                                    <w:rPr/>
                                  </w:pPr>
                                  <w:r>
                                    <w:rPr>
                                      <w:spacing w:val="-1"/>
                                    </w:rPr>
                                    <w:t>Age 48</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jc w:val="left"/>
                              <w:rPr>
                                <w:b/>
                              </w:rPr>
                            </w:pPr>
                            <w:r>
                              <w:rPr>
                                <w:b/>
                                <w:spacing w:val="0"/>
                              </w:rPr>
                              <w:t>Background</w:t>
                            </w:r>
                            <w:r>
                              <w:rPr>
                                <w:b/>
                                <w:spacing w:val="4"/>
                              </w:rPr>
                              <w:t xml:space="preserve"> </w:t>
                            </w:r>
                          </w:p>
                          <w:p>
                            <w:pPr>
                              <w:pStyle w:val="TextBody"/>
                              <w:bidi w:val="0"/>
                              <w:spacing w:lineRule="atLeast" w:line="240" w:before="240" w:after="283"/>
                              <w:jc w:val="both"/>
                              <w:rPr/>
                            </w:pPr>
                            <w:r>
                              <w:rPr>
                                <w:b/>
                                <w:spacing w:val="0"/>
                              </w:rPr>
                              <w:t>Carlos Olea</w:t>
                            </w:r>
                            <w:r>
                              <w:rPr>
                                <w:spacing w:val="-2"/>
                              </w:rPr>
                              <w:t xml:space="preserve"> is the Chief Financial Officer of the Company. He is responsible for overseeing the Company’s investment, accounting and financial strategy, and working with the executive team to unlock meaningful long-term value across the Company’s portfolio.</w:t>
                            </w:r>
                            <w:r>
                              <w:rPr>
                                <w:spacing w:val="4"/>
                              </w:rPr>
                              <w:t xml:space="preserve"> </w:t>
                            </w:r>
                          </w:p>
                          <w:p>
                            <w:pPr>
                              <w:pStyle w:val="TextBody"/>
                              <w:bidi w:val="0"/>
                              <w:spacing w:lineRule="atLeast" w:line="240" w:before="160" w:after="283"/>
                              <w:jc w:val="both"/>
                              <w:rPr/>
                            </w:pPr>
                            <w:r>
                              <w:rPr>
                                <w:spacing w:val="-2"/>
                              </w:rPr>
                              <w:t>Mr. Olea has served in his current role since January 2022. He has been with the Company since 2017 and served as the company’s Chief Accounting Officer from 2019 until 2022, overseeing the financial accounting strategy for the nation’s largest portfolio of master planned communities (“MPCs”) during a time of outstanding growth. Prior to joining the Company, Mr. Olea served as Chief Accounting Officer at Carr Properties, a Washington, D.C.-based owner-operator and developer. Previously, he was a Senior Manager with the Advisory Services practice of Ernst and Young and a Director of Technical Accounting and Financial Reporting with AvalonBay Communities in Arlington, Virginia.</w:t>
                            </w:r>
                            <w:r>
                              <w:rPr>
                                <w:spacing w:val="4"/>
                              </w:rPr>
                              <w:t xml:space="preserve"> </w:t>
                            </w:r>
                          </w:p>
                          <w:p>
                            <w:pPr>
                              <w:pStyle w:val="TextBody"/>
                              <w:bidi w:val="0"/>
                              <w:spacing w:lineRule="atLeast" w:line="240" w:before="160" w:after="283"/>
                              <w:jc w:val="both"/>
                              <w:rPr>
                                <w:spacing w:val="-2"/>
                              </w:rPr>
                            </w:pPr>
                            <w:r>
                              <w:rPr>
                                <w:spacing w:val="-2"/>
                              </w:rPr>
                              <w:t xml:space="preserve">Mr. Olea has a Master’s in Real Estate degree with a concentration in finance from Georgetown University, and a B.S. in Accounting and Finance from ITESM, in Mexico. </w:t>
                            </w:r>
                          </w:p>
                        </w:txbxContent>
                      </wps:txbx>
                      <wps:bodyPr anchor="t" lIns="0" tIns="0" rIns="0" bIns="0">
                        <a:noAutofit/>
                      </wps:bodyPr>
                    </wps:wsp>
                  </a:graphicData>
                </a:graphic>
              </wp:anchor>
            </w:drawing>
          </mc:Choice>
          <mc:Fallback>
            <w:pict>
              <v:rect style="position:absolute;rotation:-0;width:240.6pt;height:538.65pt;mso-wrap-distance-left:24pt;mso-wrap-distance-right:0pt;mso-wrap-distance-top:0pt;mso-wrap-distance-bottom:0pt;margin-top:0pt;mso-position-vertical:top;mso-position-vertical-relative:text;margin-left:288.5pt;mso-position-horizontal:left;mso-position-horizontal-relative:text">
                <v:textbox>
                  <w:txbxContent>
                    <w:tbl>
                      <w:tblPr>
                        <w:tblW w:w="5560" w:type="dxa"/>
                        <w:jc w:val="left"/>
                        <w:tblInd w:w="0" w:type="dxa"/>
                        <w:tblLayout w:type="fixed"/>
                        <w:tblCellMar>
                          <w:top w:w="0" w:type="dxa"/>
                          <w:left w:w="0" w:type="dxa"/>
                          <w:bottom w:w="0" w:type="dxa"/>
                          <w:right w:w="0" w:type="dxa"/>
                        </w:tblCellMar>
                      </w:tblPr>
                      <w:tblGrid>
                        <w:gridCol w:w="124"/>
                        <w:gridCol w:w="1766"/>
                        <w:gridCol w:w="109"/>
                        <w:gridCol w:w="109"/>
                        <w:gridCol w:w="3298"/>
                        <w:gridCol w:w="154"/>
                      </w:tblGrid>
                      <w:tr>
                        <w:trPr/>
                        <w:tc>
                          <w:tcPr>
                            <w:tcW w:w="124" w:type="dxa"/>
                            <w:tcBorders/>
                            <w:vAlign w:val="center"/>
                          </w:tcPr>
                          <w:p>
                            <w:pPr>
                              <w:pStyle w:val="TableContents"/>
                              <w:bidi w:val="0"/>
                              <w:spacing w:before="0" w:after="283"/>
                              <w:jc w:val="left"/>
                              <w:rPr/>
                            </w:pPr>
                            <w:r>
                              <w:rPr/>
                              <w:t>​</w:t>
                            </w:r>
                          </w:p>
                        </w:tc>
                        <w:tc>
                          <w:tcPr>
                            <w:tcW w:w="1766" w:type="dxa"/>
                            <w:tcBorders/>
                            <w:vAlign w:val="center"/>
                          </w:tcPr>
                          <w:p>
                            <w:pPr>
                              <w:pStyle w:val="TableContents"/>
                              <w:bidi w:val="0"/>
                              <w:spacing w:before="0" w:after="0"/>
                              <w:jc w:val="left"/>
                              <w:rPr/>
                            </w:pPr>
                            <w:r>
                              <w:rPr/>
                              <w:drawing>
                                <wp:inline distT="0" distB="0" distL="0" distR="0">
                                  <wp:extent cx="1028700" cy="1028700"/>
                                  <wp:effectExtent l="0" t="0" r="0" b="0"/>
                                  <wp:docPr id="432"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93" descr=""/>
                                          <pic:cNvPicPr>
                                            <a:picLocks noChangeAspect="1" noChangeArrowheads="1"/>
                                          </pic:cNvPicPr>
                                        </pic:nvPicPr>
                                        <pic:blipFill>
                                          <a:blip r:embed="rId111"/>
                                          <a:stretch>
                                            <a:fillRect/>
                                          </a:stretch>
                                        </pic:blipFill>
                                        <pic:spPr bwMode="auto">
                                          <a:xfrm>
                                            <a:off x="0" y="0"/>
                                            <a:ext cx="1028700" cy="10287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298" w:type="dxa"/>
                            <w:tcBorders/>
                            <w:shd w:fill="E5E5E5" w:val="clear"/>
                            <w:vAlign w:val="center"/>
                          </w:tcPr>
                          <w:p>
                            <w:pPr>
                              <w:pStyle w:val="TableContents"/>
                              <w:bidi w:val="0"/>
                              <w:spacing w:lineRule="atLeast" w:line="216" w:before="0" w:after="0"/>
                              <w:jc w:val="left"/>
                              <w:rPr>
                                <w:b/>
                              </w:rPr>
                            </w:pPr>
                            <w:r>
                              <w:rPr>
                                <w:b/>
                                <w:spacing w:val="-2"/>
                              </w:rPr>
                              <w:t>CARLOS OLEA</w:t>
                            </w:r>
                            <w:r>
                              <w:rPr>
                                <w:b/>
                              </w:rPr>
                              <w:t xml:space="preserve"> </w:t>
                            </w:r>
                          </w:p>
                          <w:p>
                            <w:pPr>
                              <w:pStyle w:val="TableContents"/>
                              <w:bidi w:val="0"/>
                              <w:spacing w:lineRule="atLeast" w:line="216" w:before="120" w:after="283"/>
                              <w:jc w:val="left"/>
                              <w:rPr/>
                            </w:pPr>
                            <w:r>
                              <w:rPr>
                                <w:spacing w:val="-1"/>
                              </w:rPr>
                              <w:t>CHIEF FINANCIAL OFFICER</w:t>
                            </w:r>
                            <w:r>
                              <w:rPr/>
                              <w:t xml:space="preserve"> </w:t>
                            </w:r>
                          </w:p>
                          <w:p>
                            <w:pPr>
                              <w:pStyle w:val="TableContents"/>
                              <w:bidi w:val="0"/>
                              <w:spacing w:lineRule="atLeast" w:line="216" w:before="120" w:after="283"/>
                              <w:jc w:val="left"/>
                              <w:rPr/>
                            </w:pPr>
                            <w:r>
                              <w:rPr>
                                <w:spacing w:val="-1"/>
                              </w:rPr>
                              <w:t>Age 48</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jc w:val="left"/>
                        <w:rPr>
                          <w:b/>
                        </w:rPr>
                      </w:pPr>
                      <w:r>
                        <w:rPr>
                          <w:b/>
                          <w:spacing w:val="0"/>
                        </w:rPr>
                        <w:t>Background</w:t>
                      </w:r>
                      <w:r>
                        <w:rPr>
                          <w:b/>
                          <w:spacing w:val="4"/>
                        </w:rPr>
                        <w:t xml:space="preserve"> </w:t>
                      </w:r>
                    </w:p>
                    <w:p>
                      <w:pPr>
                        <w:pStyle w:val="TextBody"/>
                        <w:bidi w:val="0"/>
                        <w:spacing w:lineRule="atLeast" w:line="240" w:before="240" w:after="283"/>
                        <w:jc w:val="both"/>
                        <w:rPr/>
                      </w:pPr>
                      <w:r>
                        <w:rPr>
                          <w:b/>
                          <w:spacing w:val="0"/>
                        </w:rPr>
                        <w:t>Carlos Olea</w:t>
                      </w:r>
                      <w:r>
                        <w:rPr>
                          <w:spacing w:val="-2"/>
                        </w:rPr>
                        <w:t xml:space="preserve"> is the Chief Financial Officer of the Company. He is responsible for overseeing the Company’s investment, accounting and financial strategy, and working with the executive team to unlock meaningful long-term value across the Company’s portfolio.</w:t>
                      </w:r>
                      <w:r>
                        <w:rPr>
                          <w:spacing w:val="4"/>
                        </w:rPr>
                        <w:t xml:space="preserve"> </w:t>
                      </w:r>
                    </w:p>
                    <w:p>
                      <w:pPr>
                        <w:pStyle w:val="TextBody"/>
                        <w:bidi w:val="0"/>
                        <w:spacing w:lineRule="atLeast" w:line="240" w:before="160" w:after="283"/>
                        <w:jc w:val="both"/>
                        <w:rPr/>
                      </w:pPr>
                      <w:r>
                        <w:rPr>
                          <w:spacing w:val="-2"/>
                        </w:rPr>
                        <w:t>Mr. Olea has served in his current role since January 2022. He has been with the Company since 2017 and served as the company’s Chief Accounting Officer from 2019 until 2022, overseeing the financial accounting strategy for the nation’s largest portfolio of master planned communities (“MPCs”) during a time of outstanding growth. Prior to joining the Company, Mr. Olea served as Chief Accounting Officer at Carr Properties, a Washington, D.C.-based owner-operator and developer. Previously, he was a Senior Manager with the Advisory Services practice of Ernst and Young and a Director of Technical Accounting and Financial Reporting with AvalonBay Communities in Arlington, Virginia.</w:t>
                      </w:r>
                      <w:r>
                        <w:rPr>
                          <w:spacing w:val="4"/>
                        </w:rPr>
                        <w:t xml:space="preserve"> </w:t>
                      </w:r>
                    </w:p>
                    <w:p>
                      <w:pPr>
                        <w:pStyle w:val="TextBody"/>
                        <w:bidi w:val="0"/>
                        <w:spacing w:lineRule="atLeast" w:line="240" w:before="160" w:after="283"/>
                        <w:jc w:val="both"/>
                        <w:rPr>
                          <w:spacing w:val="-2"/>
                        </w:rPr>
                      </w:pPr>
                      <w:r>
                        <w:rPr>
                          <w:spacing w:val="-2"/>
                        </w:rPr>
                        <w:t xml:space="preserve">Mr. Olea has a Master’s in Real Estate degree with a concentration in finance from Georgetown University, and a B.S. in Accounting and Finance from ITESM, in Mexico. </w:t>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/ 49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Executive Officers</w:t>
      </w:r>
      <w:r>
        <w:rPr>
          <w:rFonts w:ascii="Arial;Helvetica;sans-serif" w:hAnsi="Arial;Helvetica;sans-serif"/>
          <w:b/>
          <w:i w:val="false"/>
          <w:caps w:val="false"/>
          <w:smallCaps w:val="false"/>
          <w:color w:val="7F7F7F"/>
          <w:spacing w:val="-3"/>
          <w:sz w:val="22"/>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2135" distR="0" simplePos="0" locked="0" layoutInCell="1" allowOverlap="1" relativeHeight="69">
                <wp:simplePos x="0" y="0"/>
                <wp:positionH relativeFrom="column">
                  <wp:align>left</wp:align>
                </wp:positionH>
                <wp:positionV relativeFrom="line">
                  <wp:posOffset>635</wp:posOffset>
                </wp:positionV>
                <wp:extent cx="3055620" cy="7251065"/>
                <wp:effectExtent l="0" t="0" r="0" b="0"/>
                <wp:wrapSquare wrapText="right"/>
                <wp:docPr id="433" name="Frame323"/>
                <a:graphic xmlns:a="http://schemas.openxmlformats.org/drawingml/2006/main">
                  <a:graphicData uri="http://schemas.microsoft.com/office/word/2010/wordprocessingShape">
                    <wps:wsp>
                      <wps:cNvSpPr txBox="1"/>
                      <wps:spPr>
                        <a:xfrm>
                          <a:off x="0" y="0"/>
                          <a:ext cx="3055620" cy="7251065"/>
                        </a:xfrm>
                        <a:prstGeom prst="rect"/>
                        <a:solidFill>
                          <a:srgbClr val="FFFFFF"/>
                        </a:solidFill>
                      </wps:spPr>
                      <wps:txbx>
                        <w:txbxContent>
                          <w:tbl>
                            <w:tblPr>
                              <w:tblW w:w="6769" w:type="dxa"/>
                              <w:jc w:val="left"/>
                              <w:tblInd w:w="0" w:type="dxa"/>
                              <w:tblLayout w:type="fixed"/>
                              <w:tblCellMar>
                                <w:top w:w="0" w:type="dxa"/>
                                <w:left w:w="0" w:type="dxa"/>
                                <w:bottom w:w="0" w:type="dxa"/>
                                <w:right w:w="0" w:type="dxa"/>
                              </w:tblCellMar>
                            </w:tblPr>
                            <w:tblGrid>
                              <w:gridCol w:w="124"/>
                              <w:gridCol w:w="1751"/>
                              <w:gridCol w:w="109"/>
                              <w:gridCol w:w="109"/>
                              <w:gridCol w:w="4522"/>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43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94" descr=""/>
                                                <pic:cNvPicPr>
                                                  <a:picLocks noChangeAspect="1" noChangeArrowheads="1"/>
                                                </pic:cNvPicPr>
                                              </pic:nvPicPr>
                                              <pic:blipFill>
                                                <a:blip r:embed="rId112"/>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4522" w:type="dxa"/>
                                  <w:tcBorders/>
                                  <w:shd w:fill="E5E5E5" w:val="clear"/>
                                  <w:vAlign w:val="center"/>
                                </w:tcPr>
                                <w:p>
                                  <w:pPr>
                                    <w:pStyle w:val="TableContents"/>
                                    <w:bidi w:val="0"/>
                                    <w:spacing w:lineRule="atLeast" w:line="216" w:before="0" w:after="0"/>
                                    <w:jc w:val="left"/>
                                    <w:rPr>
                                      <w:b/>
                                    </w:rPr>
                                  </w:pPr>
                                  <w:r>
                                    <w:rPr>
                                      <w:b/>
                                      <w:spacing w:val="-2"/>
                                    </w:rPr>
                                    <w:t>JOE VALANE</w:t>
                                  </w:r>
                                  <w:r>
                                    <w:rPr>
                                      <w:b/>
                                    </w:rPr>
                                    <w:t xml:space="preserve"> </w:t>
                                  </w:r>
                                </w:p>
                                <w:p>
                                  <w:pPr>
                                    <w:pStyle w:val="TableContents"/>
                                    <w:bidi w:val="0"/>
                                    <w:spacing w:lineRule="atLeast" w:line="216" w:before="120" w:after="283"/>
                                    <w:jc w:val="left"/>
                                    <w:rPr/>
                                  </w:pPr>
                                  <w:r>
                                    <w:rPr>
                                      <w:spacing w:val="-1"/>
                                    </w:rPr>
                                    <w:t>CHIEF LEGAL OFFICER &amp; SECRETARY</w:t>
                                  </w:r>
                                  <w:r>
                                    <w:rPr/>
                                    <w:t xml:space="preserve"> </w:t>
                                  </w:r>
                                </w:p>
                                <w:p>
                                  <w:pPr>
                                    <w:pStyle w:val="TableContents"/>
                                    <w:bidi w:val="0"/>
                                    <w:spacing w:lineRule="atLeast" w:line="216" w:before="120" w:after="283"/>
                                    <w:jc w:val="left"/>
                                    <w:rPr/>
                                  </w:pPr>
                                  <w:r>
                                    <w:rPr>
                                      <w:spacing w:val="-1"/>
                                    </w:rPr>
                                    <w:t>Age 40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jc w:val="left"/>
                              <w:rPr>
                                <w:b/>
                              </w:rPr>
                            </w:pPr>
                            <w:r>
                              <w:rPr>
                                <w:b/>
                                <w:spacing w:val="0"/>
                              </w:rPr>
                              <w:t>Background</w:t>
                            </w:r>
                            <w:r>
                              <w:rPr>
                                <w:b/>
                                <w:spacing w:val="4"/>
                              </w:rPr>
                              <w:t xml:space="preserve"> </w:t>
                            </w:r>
                          </w:p>
                          <w:p>
                            <w:pPr>
                              <w:pStyle w:val="TextBody"/>
                              <w:bidi w:val="0"/>
                              <w:spacing w:lineRule="atLeast" w:line="240" w:before="240" w:after="283"/>
                              <w:jc w:val="both"/>
                              <w:rPr/>
                            </w:pPr>
                            <w:r>
                              <w:rPr>
                                <w:b/>
                                <w:spacing w:val="0"/>
                              </w:rPr>
                              <w:t>Joe Valane</w:t>
                            </w:r>
                            <w:r>
                              <w:rPr>
                                <w:spacing w:val="-2"/>
                              </w:rPr>
                              <w:t xml:space="preserve"> joined the Company in March 2024. Mr. Valane initially served as our General Counsel and Secretary, and has served as Chief Legal Officer and Secretary since June 2026. Mr. Valane is responsible for overseeing all legal matters for HHH. Since Q3 2025, Mr. Valane also leads the Culture &amp; People (HR) and governmental affairs functions. Prior to joining the Company, Mr. Valane was General Counsel of Revantage and Shopcore, two Blackstone portfolio companies. In that role, Mr. Valane oversaw large teams responsible for providing legal support as a shared service across Blackstone’s U.S. real estate portfolio, including retail, multifamily, office, logistics, and hospitality asset classes. Previously, Mr. Valane was a Partner at Kleinbard LLC, where he advised a diverse portfolio of corporate clients in equity finance and investment structuring, mergers and acquisitions, and general corporate counseling. Prior to that, Mr. Valane served as a corporate associate at two large law firms. Mr. Valane brings expertise in navigating complex legal and business challenges, building and managing high-performing teams, and implementing legal technology.</w:t>
                            </w:r>
                            <w:r>
                              <w:rPr>
                                <w:spacing w:val="4"/>
                              </w:rPr>
                              <w:t xml:space="preserve"> </w:t>
                            </w:r>
                          </w:p>
                          <w:p>
                            <w:pPr>
                              <w:pStyle w:val="TextBody"/>
                              <w:bidi w:val="0"/>
                              <w:spacing w:lineRule="atLeast" w:line="240" w:before="160" w:after="283"/>
                              <w:jc w:val="both"/>
                              <w:rPr>
                                <w:spacing w:val="-2"/>
                              </w:rPr>
                            </w:pPr>
                            <w:r>
                              <w:rPr>
                                <w:spacing w:val="-2"/>
                              </w:rPr>
                              <w:t xml:space="preserve">Mr. Valane received his J.D. from New York University School of Law, and his B.A. in International Affairs from George Washington University, where he graduated summa cum laude and was elected Phi Beta Kappa. </w:t>
                            </w:r>
                          </w:p>
                        </w:txbxContent>
                      </wps:txbx>
                      <wps:bodyPr anchor="t" lIns="0" tIns="0" rIns="0" bIns="0">
                        <a:noAutofit/>
                      </wps:bodyPr>
                    </wps:wsp>
                  </a:graphicData>
                </a:graphic>
              </wp:anchor>
            </w:drawing>
          </mc:Choice>
          <mc:Fallback>
            <w:pict>
              <v:rect style="position:absolute;rotation:-0;width:240.6pt;height:570.95pt;mso-wrap-distance-left:45.05pt;mso-wrap-distance-right:0pt;mso-wrap-distance-top:0pt;mso-wrap-distance-bottom:0pt;margin-top:0pt;mso-position-vertical:top;mso-position-vertical-relative:text;margin-left:45.05pt;mso-position-horizontal:left;mso-position-horizontal-relative:text">
                <v:textbox>
                  <w:txbxContent>
                    <w:tbl>
                      <w:tblPr>
                        <w:tblW w:w="6769" w:type="dxa"/>
                        <w:jc w:val="left"/>
                        <w:tblInd w:w="0" w:type="dxa"/>
                        <w:tblLayout w:type="fixed"/>
                        <w:tblCellMar>
                          <w:top w:w="0" w:type="dxa"/>
                          <w:left w:w="0" w:type="dxa"/>
                          <w:bottom w:w="0" w:type="dxa"/>
                          <w:right w:w="0" w:type="dxa"/>
                        </w:tblCellMar>
                      </w:tblPr>
                      <w:tblGrid>
                        <w:gridCol w:w="124"/>
                        <w:gridCol w:w="1751"/>
                        <w:gridCol w:w="109"/>
                        <w:gridCol w:w="109"/>
                        <w:gridCol w:w="4522"/>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43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94" descr=""/>
                                          <pic:cNvPicPr>
                                            <a:picLocks noChangeAspect="1" noChangeArrowheads="1"/>
                                          </pic:cNvPicPr>
                                        </pic:nvPicPr>
                                        <pic:blipFill>
                                          <a:blip r:embed="rId113"/>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4522" w:type="dxa"/>
                            <w:tcBorders/>
                            <w:shd w:fill="E5E5E5" w:val="clear"/>
                            <w:vAlign w:val="center"/>
                          </w:tcPr>
                          <w:p>
                            <w:pPr>
                              <w:pStyle w:val="TableContents"/>
                              <w:bidi w:val="0"/>
                              <w:spacing w:lineRule="atLeast" w:line="216" w:before="0" w:after="0"/>
                              <w:jc w:val="left"/>
                              <w:rPr>
                                <w:b/>
                              </w:rPr>
                            </w:pPr>
                            <w:r>
                              <w:rPr>
                                <w:b/>
                                <w:spacing w:val="-2"/>
                              </w:rPr>
                              <w:t>JOE VALANE</w:t>
                            </w:r>
                            <w:r>
                              <w:rPr>
                                <w:b/>
                              </w:rPr>
                              <w:t xml:space="preserve"> </w:t>
                            </w:r>
                          </w:p>
                          <w:p>
                            <w:pPr>
                              <w:pStyle w:val="TableContents"/>
                              <w:bidi w:val="0"/>
                              <w:spacing w:lineRule="atLeast" w:line="216" w:before="120" w:after="283"/>
                              <w:jc w:val="left"/>
                              <w:rPr/>
                            </w:pPr>
                            <w:r>
                              <w:rPr>
                                <w:spacing w:val="-1"/>
                              </w:rPr>
                              <w:t>CHIEF LEGAL OFFICER &amp; SECRETARY</w:t>
                            </w:r>
                            <w:r>
                              <w:rPr/>
                              <w:t xml:space="preserve"> </w:t>
                            </w:r>
                          </w:p>
                          <w:p>
                            <w:pPr>
                              <w:pStyle w:val="TableContents"/>
                              <w:bidi w:val="0"/>
                              <w:spacing w:lineRule="atLeast" w:line="216" w:before="120" w:after="283"/>
                              <w:jc w:val="left"/>
                              <w:rPr/>
                            </w:pPr>
                            <w:r>
                              <w:rPr>
                                <w:spacing w:val="-1"/>
                              </w:rPr>
                              <w:t>Age 40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jc w:val="left"/>
                        <w:rPr>
                          <w:b/>
                        </w:rPr>
                      </w:pPr>
                      <w:r>
                        <w:rPr>
                          <w:b/>
                          <w:spacing w:val="0"/>
                        </w:rPr>
                        <w:t>Background</w:t>
                      </w:r>
                      <w:r>
                        <w:rPr>
                          <w:b/>
                          <w:spacing w:val="4"/>
                        </w:rPr>
                        <w:t xml:space="preserve"> </w:t>
                      </w:r>
                    </w:p>
                    <w:p>
                      <w:pPr>
                        <w:pStyle w:val="TextBody"/>
                        <w:bidi w:val="0"/>
                        <w:spacing w:lineRule="atLeast" w:line="240" w:before="240" w:after="283"/>
                        <w:jc w:val="both"/>
                        <w:rPr/>
                      </w:pPr>
                      <w:r>
                        <w:rPr>
                          <w:b/>
                          <w:spacing w:val="0"/>
                        </w:rPr>
                        <w:t>Joe Valane</w:t>
                      </w:r>
                      <w:r>
                        <w:rPr>
                          <w:spacing w:val="-2"/>
                        </w:rPr>
                        <w:t xml:space="preserve"> joined the Company in March 2024. Mr. Valane initially served as our General Counsel and Secretary, and has served as Chief Legal Officer and Secretary since June 2026. Mr. Valane is responsible for overseeing all legal matters for HHH. Since Q3 2025, Mr. Valane also leads the Culture &amp; People (HR) and governmental affairs functions. Prior to joining the Company, Mr. Valane was General Counsel of Revantage and Shopcore, two Blackstone portfolio companies. In that role, Mr. Valane oversaw large teams responsible for providing legal support as a shared service across Blackstone’s U.S. real estate portfolio, including retail, multifamily, office, logistics, and hospitality asset classes. Previously, Mr. Valane was a Partner at Kleinbard LLC, where he advised a diverse portfolio of corporate clients in equity finance and investment structuring, mergers and acquisitions, and general corporate counseling. Prior to that, Mr. Valane served as a corporate associate at two large law firms. Mr. Valane brings expertise in navigating complex legal and business challenges, building and managing high-performing teams, and implementing legal technology.</w:t>
                      </w:r>
                      <w:r>
                        <w:rPr>
                          <w:spacing w:val="4"/>
                        </w:rPr>
                        <w:t xml:space="preserve"> </w:t>
                      </w:r>
                    </w:p>
                    <w:p>
                      <w:pPr>
                        <w:pStyle w:val="TextBody"/>
                        <w:bidi w:val="0"/>
                        <w:spacing w:lineRule="atLeast" w:line="240" w:before="160" w:after="283"/>
                        <w:jc w:val="both"/>
                        <w:rPr>
                          <w:spacing w:val="-2"/>
                        </w:rPr>
                      </w:pPr>
                      <w:r>
                        <w:rPr>
                          <w:spacing w:val="-2"/>
                        </w:rPr>
                        <w:t xml:space="preserve">Mr. Valane received his J.D. from New York University School of Law, and his B.A. in International Affairs from George Washington University, where he graduated summa cum laude and was elected Phi Beta Kappa. </w:t>
                      </w:r>
                    </w:p>
                  </w:txbxContent>
                </v:textbox>
                <w10:wrap type="square" side="right"/>
              </v:rect>
            </w:pict>
          </mc:Fallback>
        </mc:AlternateContent>
      </w:r>
      <w:r>
        <mc:AlternateContent>
          <mc:Choice Requires="wps">
            <w:drawing>
              <wp:anchor behindDoc="0" distT="0" distB="0" distL="304800" distR="0" simplePos="0" locked="0" layoutInCell="1" allowOverlap="1" relativeHeight="71">
                <wp:simplePos x="0" y="0"/>
                <wp:positionH relativeFrom="column">
                  <wp:align>left</wp:align>
                </wp:positionH>
                <wp:positionV relativeFrom="line">
                  <wp:posOffset>635</wp:posOffset>
                </wp:positionV>
                <wp:extent cx="3055620" cy="5177790"/>
                <wp:effectExtent l="0" t="0" r="0" b="0"/>
                <wp:wrapSquare wrapText="right"/>
                <wp:docPr id="436" name="Frame324"/>
                <a:graphic xmlns:a="http://schemas.openxmlformats.org/drawingml/2006/main">
                  <a:graphicData uri="http://schemas.microsoft.com/office/word/2010/wordprocessingShape">
                    <wps:wsp>
                      <wps:cNvSpPr txBox="1"/>
                      <wps:spPr>
                        <a:xfrm>
                          <a:off x="0" y="0"/>
                          <a:ext cx="3055620" cy="5177790"/>
                        </a:xfrm>
                        <a:prstGeom prst="rect"/>
                        <a:solidFill>
                          <a:srgbClr val="FFFFFF"/>
                        </a:solidFill>
                      </wps:spPr>
                      <wps:txbx>
                        <w:txbxContent>
                          <w:tbl>
                            <w:tblPr>
                              <w:tblW w:w="5859" w:type="dxa"/>
                              <w:jc w:val="left"/>
                              <w:tblInd w:w="0" w:type="dxa"/>
                              <w:tblLayout w:type="fixed"/>
                              <w:tblCellMar>
                                <w:top w:w="0" w:type="dxa"/>
                                <w:left w:w="0" w:type="dxa"/>
                                <w:bottom w:w="0" w:type="dxa"/>
                                <w:right w:w="0" w:type="dxa"/>
                              </w:tblCellMar>
                            </w:tblPr>
                            <w:tblGrid>
                              <w:gridCol w:w="124"/>
                              <w:gridCol w:w="1751"/>
                              <w:gridCol w:w="109"/>
                              <w:gridCol w:w="109"/>
                              <w:gridCol w:w="3612"/>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43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95" descr=""/>
                                                <pic:cNvPicPr>
                                                  <a:picLocks noChangeAspect="1" noChangeArrowheads="1"/>
                                                </pic:cNvPicPr>
                                              </pic:nvPicPr>
                                              <pic:blipFill>
                                                <a:blip r:embed="rId114"/>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612" w:type="dxa"/>
                                  <w:tcBorders/>
                                  <w:shd w:fill="E5E5E5" w:val="clear"/>
                                  <w:vAlign w:val="center"/>
                                </w:tcPr>
                                <w:p>
                                  <w:pPr>
                                    <w:pStyle w:val="TableContents"/>
                                    <w:bidi w:val="0"/>
                                    <w:spacing w:lineRule="atLeast" w:line="216" w:before="0" w:after="0"/>
                                    <w:jc w:val="left"/>
                                    <w:rPr>
                                      <w:b/>
                                    </w:rPr>
                                  </w:pPr>
                                  <w:r>
                                    <w:rPr>
                                      <w:b/>
                                      <w:spacing w:val="-2"/>
                                    </w:rPr>
                                    <w:t>ELENA VERBINSKAYA</w:t>
                                  </w:r>
                                  <w:r>
                                    <w:rPr>
                                      <w:b/>
                                    </w:rPr>
                                    <w:t xml:space="preserve"> </w:t>
                                  </w:r>
                                </w:p>
                                <w:p>
                                  <w:pPr>
                                    <w:pStyle w:val="TableContents"/>
                                    <w:bidi w:val="0"/>
                                    <w:spacing w:lineRule="atLeast" w:line="216" w:before="120" w:after="283"/>
                                    <w:jc w:val="left"/>
                                    <w:rPr/>
                                  </w:pPr>
                                  <w:r>
                                    <w:rPr>
                                      <w:spacing w:val="-1"/>
                                    </w:rPr>
                                    <w:t>CHIEF ACCOUNTING OFFICER</w:t>
                                  </w:r>
                                  <w:r>
                                    <w:rPr/>
                                    <w:t xml:space="preserve"> </w:t>
                                  </w:r>
                                </w:p>
                                <w:p>
                                  <w:pPr>
                                    <w:pStyle w:val="TableContents"/>
                                    <w:bidi w:val="0"/>
                                    <w:spacing w:lineRule="atLeast" w:line="216" w:before="120" w:after="283"/>
                                    <w:jc w:val="left"/>
                                    <w:rPr/>
                                  </w:pPr>
                                  <w:r>
                                    <w:rPr>
                                      <w:spacing w:val="-1"/>
                                    </w:rPr>
                                    <w:t>Age 47</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jc w:val="left"/>
                              <w:rPr>
                                <w:b/>
                              </w:rPr>
                            </w:pPr>
                            <w:r>
                              <w:rPr>
                                <w:b/>
                                <w:spacing w:val="0"/>
                              </w:rPr>
                              <w:t>Background</w:t>
                            </w:r>
                            <w:r>
                              <w:rPr>
                                <w:b/>
                                <w:spacing w:val="4"/>
                              </w:rPr>
                              <w:t xml:space="preserve"> </w:t>
                            </w:r>
                          </w:p>
                          <w:p>
                            <w:pPr>
                              <w:pStyle w:val="TextBody"/>
                              <w:bidi w:val="0"/>
                              <w:spacing w:lineRule="atLeast" w:line="240" w:before="240" w:after="283"/>
                              <w:jc w:val="both"/>
                              <w:rPr>
                                <w:sz w:val="20"/>
                              </w:rPr>
                            </w:pPr>
                            <w:r>
                              <w:rPr>
                                <w:b/>
                                <w:spacing w:val="0"/>
                                <w:sz w:val="20"/>
                              </w:rPr>
                              <w:t>Elena Verbinskaya</w:t>
                            </w:r>
                            <w:r>
                              <w:rPr>
                                <w:spacing w:val="-1"/>
                                <w:sz w:val="20"/>
                              </w:rPr>
                              <w:t xml:space="preserve"> </w:t>
                            </w:r>
                            <w:r>
                              <w:rPr>
                                <w:spacing w:val="-1"/>
                                <w:sz w:val="20"/>
                              </w:rPr>
                              <w:t>is Chief Accounting Officer for Howard Hughes, responsible for overseeing accounting, financial reporting, treasury, and tax.</w:t>
                            </w:r>
                            <w:r>
                              <w:rPr>
                                <w:sz w:val="20"/>
                              </w:rPr>
                              <w:t>​</w:t>
                            </w:r>
                            <w:r>
                              <w:rPr>
                                <w:spacing w:val="4"/>
                                <w:sz w:val="20"/>
                              </w:rPr>
                              <w:t xml:space="preserve"> </w:t>
                            </w:r>
                          </w:p>
                          <w:p>
                            <w:pPr>
                              <w:pStyle w:val="TextBody"/>
                              <w:bidi w:val="0"/>
                              <w:spacing w:lineRule="atLeast" w:line="240" w:before="160" w:after="283"/>
                              <w:jc w:val="both"/>
                              <w:rPr>
                                <w:sz w:val="20"/>
                              </w:rPr>
                            </w:pPr>
                            <w:r>
                              <w:rPr>
                                <w:spacing w:val="-1"/>
                                <w:sz w:val="20"/>
                              </w:rPr>
                              <w:t>Prior to joining the Company in 2023, Ms. Verbinskaya served as Vice President of Financial Reporting and Accounting Integration at IPSCO Tubulars Inc., a North American division of TMK Group. She also held the position of Chief Accounting Officer at TMK Group, one of the world’s leading producers and suppliers of steel pipe for the oil and gas industry. Ms. Verbinskaya joined Howard Hughes with more than 20 years of accounting experience.</w:t>
                            </w:r>
                            <w:r>
                              <w:rPr>
                                <w:sz w:val="20"/>
                              </w:rPr>
                              <w:t>​</w:t>
                            </w:r>
                            <w:r>
                              <w:rPr>
                                <w:spacing w:val="4"/>
                                <w:sz w:val="20"/>
                              </w:rPr>
                              <w:t xml:space="preserve"> </w:t>
                            </w:r>
                          </w:p>
                          <w:p>
                            <w:pPr>
                              <w:pStyle w:val="TextBody"/>
                              <w:bidi w:val="0"/>
                              <w:spacing w:lineRule="atLeast" w:line="240" w:before="160" w:after="283"/>
                              <w:jc w:val="both"/>
                              <w:rPr>
                                <w:spacing w:val="-2"/>
                              </w:rPr>
                            </w:pPr>
                            <w:r>
                              <w:rPr>
                                <w:spacing w:val="-2"/>
                              </w:rPr>
                              <w:t xml:space="preserve">Ms. Verbinskaya holds a master’s degree in accounting, analysis and audit from Far Eastern State University. She is also a CPA (Certified Public Accountant, United States of America) and FCCA (Fellow Member of the Association of Chartered Certified Accountants, United Kingdom). </w:t>
                            </w:r>
                          </w:p>
                        </w:txbxContent>
                      </wps:txbx>
                      <wps:bodyPr anchor="t" lIns="0" tIns="0" rIns="0" bIns="0">
                        <a:noAutofit/>
                      </wps:bodyPr>
                    </wps:wsp>
                  </a:graphicData>
                </a:graphic>
              </wp:anchor>
            </w:drawing>
          </mc:Choice>
          <mc:Fallback>
            <w:pict>
              <v:rect style="position:absolute;rotation:-0;width:240.6pt;height:407.7pt;mso-wrap-distance-left:24pt;mso-wrap-distance-right:0pt;mso-wrap-distance-top:0pt;mso-wrap-distance-bottom:0pt;margin-top:0pt;mso-position-vertical:top;mso-position-vertical-relative:text;margin-left:24pt;mso-position-horizontal:left;mso-position-horizontal-relative:text">
                <v:textbox>
                  <w:txbxContent>
                    <w:tbl>
                      <w:tblPr>
                        <w:tblW w:w="5859" w:type="dxa"/>
                        <w:jc w:val="left"/>
                        <w:tblInd w:w="0" w:type="dxa"/>
                        <w:tblLayout w:type="fixed"/>
                        <w:tblCellMar>
                          <w:top w:w="0" w:type="dxa"/>
                          <w:left w:w="0" w:type="dxa"/>
                          <w:bottom w:w="0" w:type="dxa"/>
                          <w:right w:w="0" w:type="dxa"/>
                        </w:tblCellMar>
                      </w:tblPr>
                      <w:tblGrid>
                        <w:gridCol w:w="124"/>
                        <w:gridCol w:w="1751"/>
                        <w:gridCol w:w="109"/>
                        <w:gridCol w:w="109"/>
                        <w:gridCol w:w="3612"/>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43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95" descr=""/>
                                          <pic:cNvPicPr>
                                            <a:picLocks noChangeAspect="1" noChangeArrowheads="1"/>
                                          </pic:cNvPicPr>
                                        </pic:nvPicPr>
                                        <pic:blipFill>
                                          <a:blip r:embed="rId115"/>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612" w:type="dxa"/>
                            <w:tcBorders/>
                            <w:shd w:fill="E5E5E5" w:val="clear"/>
                            <w:vAlign w:val="center"/>
                          </w:tcPr>
                          <w:p>
                            <w:pPr>
                              <w:pStyle w:val="TableContents"/>
                              <w:bidi w:val="0"/>
                              <w:spacing w:lineRule="atLeast" w:line="216" w:before="0" w:after="0"/>
                              <w:jc w:val="left"/>
                              <w:rPr>
                                <w:b/>
                              </w:rPr>
                            </w:pPr>
                            <w:r>
                              <w:rPr>
                                <w:b/>
                                <w:spacing w:val="-2"/>
                              </w:rPr>
                              <w:t>ELENA VERBINSKAYA</w:t>
                            </w:r>
                            <w:r>
                              <w:rPr>
                                <w:b/>
                              </w:rPr>
                              <w:t xml:space="preserve"> </w:t>
                            </w:r>
                          </w:p>
                          <w:p>
                            <w:pPr>
                              <w:pStyle w:val="TableContents"/>
                              <w:bidi w:val="0"/>
                              <w:spacing w:lineRule="atLeast" w:line="216" w:before="120" w:after="283"/>
                              <w:jc w:val="left"/>
                              <w:rPr/>
                            </w:pPr>
                            <w:r>
                              <w:rPr>
                                <w:spacing w:val="-1"/>
                              </w:rPr>
                              <w:t>CHIEF ACCOUNTING OFFICER</w:t>
                            </w:r>
                            <w:r>
                              <w:rPr/>
                              <w:t xml:space="preserve"> </w:t>
                            </w:r>
                          </w:p>
                          <w:p>
                            <w:pPr>
                              <w:pStyle w:val="TableContents"/>
                              <w:bidi w:val="0"/>
                              <w:spacing w:lineRule="atLeast" w:line="216" w:before="120" w:after="283"/>
                              <w:jc w:val="left"/>
                              <w:rPr/>
                            </w:pPr>
                            <w:r>
                              <w:rPr>
                                <w:spacing w:val="-1"/>
                              </w:rPr>
                              <w:t>Age 47</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jc w:val="left"/>
                        <w:rPr>
                          <w:b/>
                        </w:rPr>
                      </w:pPr>
                      <w:r>
                        <w:rPr>
                          <w:b/>
                          <w:spacing w:val="0"/>
                        </w:rPr>
                        <w:t>Background</w:t>
                      </w:r>
                      <w:r>
                        <w:rPr>
                          <w:b/>
                          <w:spacing w:val="4"/>
                        </w:rPr>
                        <w:t xml:space="preserve"> </w:t>
                      </w:r>
                    </w:p>
                    <w:p>
                      <w:pPr>
                        <w:pStyle w:val="TextBody"/>
                        <w:bidi w:val="0"/>
                        <w:spacing w:lineRule="atLeast" w:line="240" w:before="240" w:after="283"/>
                        <w:jc w:val="both"/>
                        <w:rPr>
                          <w:sz w:val="20"/>
                        </w:rPr>
                      </w:pPr>
                      <w:r>
                        <w:rPr>
                          <w:b/>
                          <w:spacing w:val="0"/>
                          <w:sz w:val="20"/>
                        </w:rPr>
                        <w:t>Elena Verbinskaya</w:t>
                      </w:r>
                      <w:r>
                        <w:rPr>
                          <w:spacing w:val="-1"/>
                          <w:sz w:val="20"/>
                        </w:rPr>
                        <w:t xml:space="preserve"> </w:t>
                      </w:r>
                      <w:r>
                        <w:rPr>
                          <w:spacing w:val="-1"/>
                          <w:sz w:val="20"/>
                        </w:rPr>
                        <w:t>is Chief Accounting Officer for Howard Hughes, responsible for overseeing accounting, financial reporting, treasury, and tax.</w:t>
                      </w:r>
                      <w:r>
                        <w:rPr>
                          <w:sz w:val="20"/>
                        </w:rPr>
                        <w:t>​</w:t>
                      </w:r>
                      <w:r>
                        <w:rPr>
                          <w:spacing w:val="4"/>
                          <w:sz w:val="20"/>
                        </w:rPr>
                        <w:t xml:space="preserve"> </w:t>
                      </w:r>
                    </w:p>
                    <w:p>
                      <w:pPr>
                        <w:pStyle w:val="TextBody"/>
                        <w:bidi w:val="0"/>
                        <w:spacing w:lineRule="atLeast" w:line="240" w:before="160" w:after="283"/>
                        <w:jc w:val="both"/>
                        <w:rPr>
                          <w:sz w:val="20"/>
                        </w:rPr>
                      </w:pPr>
                      <w:r>
                        <w:rPr>
                          <w:spacing w:val="-1"/>
                          <w:sz w:val="20"/>
                        </w:rPr>
                        <w:t>Prior to joining the Company in 2023, Ms. Verbinskaya served as Vice President of Financial Reporting and Accounting Integration at IPSCO Tubulars Inc., a North American division of TMK Group. She also held the position of Chief Accounting Officer at TMK Group, one of the world’s leading producers and suppliers of steel pipe for the oil and gas industry. Ms. Verbinskaya joined Howard Hughes with more than 20 years of accounting experience.</w:t>
                      </w:r>
                      <w:r>
                        <w:rPr>
                          <w:sz w:val="20"/>
                        </w:rPr>
                        <w:t>​</w:t>
                      </w:r>
                      <w:r>
                        <w:rPr>
                          <w:spacing w:val="4"/>
                          <w:sz w:val="20"/>
                        </w:rPr>
                        <w:t xml:space="preserve"> </w:t>
                      </w:r>
                    </w:p>
                    <w:p>
                      <w:pPr>
                        <w:pStyle w:val="TextBody"/>
                        <w:bidi w:val="0"/>
                        <w:spacing w:lineRule="atLeast" w:line="240" w:before="160" w:after="283"/>
                        <w:jc w:val="both"/>
                        <w:rPr>
                          <w:spacing w:val="-2"/>
                        </w:rPr>
                      </w:pPr>
                      <w:r>
                        <w:rPr>
                          <w:spacing w:val="-2"/>
                        </w:rPr>
                        <w:t xml:space="preserve">Ms. Verbinskaya holds a master’s degree in accounting, analysis and audit from Far Eastern State University. She is also a CPA (Certified Public Accountant, United States of America) and FCCA (Fellow Member of the Association of Chartered Certified Accountants, United Kingdom). </w:t>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50 \ 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Executive Officers</w:t>
      </w:r>
      <w:r>
        <w:rPr>
          <w:rFonts w:ascii="Arial;Helvetica;sans-serif" w:hAnsi="Arial;Helvetica;sans-serif"/>
          <w:b/>
          <w:i w:val="false"/>
          <w:caps w:val="false"/>
          <w:smallCaps w:val="false"/>
          <w:color w:val="7F7F7F"/>
          <w:sz w:val="22"/>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304800" distR="0" simplePos="0" locked="0" layoutInCell="1" allowOverlap="1" relativeHeight="11">
                <wp:simplePos x="0" y="0"/>
                <wp:positionH relativeFrom="column">
                  <wp:align>left</wp:align>
                </wp:positionH>
                <wp:positionV relativeFrom="line">
                  <wp:posOffset>635</wp:posOffset>
                </wp:positionV>
                <wp:extent cx="3055620" cy="6969760"/>
                <wp:effectExtent l="0" t="0" r="0" b="0"/>
                <wp:wrapSquare wrapText="right"/>
                <wp:docPr id="439" name="Frame326"/>
                <a:graphic xmlns:a="http://schemas.openxmlformats.org/drawingml/2006/main">
                  <a:graphicData uri="http://schemas.microsoft.com/office/word/2010/wordprocessingShape">
                    <wps:wsp>
                      <wps:cNvSpPr txBox="1"/>
                      <wps:spPr>
                        <a:xfrm>
                          <a:off x="0" y="0"/>
                          <a:ext cx="3055620" cy="6969760"/>
                        </a:xfrm>
                        <a:prstGeom prst="rect"/>
                        <a:solidFill>
                          <a:srgbClr val="FFFFFF"/>
                        </a:solidFill>
                      </wps:spPr>
                      <wps:txbx>
                        <w:txbxContent>
                          <w:tbl>
                            <w:tblPr>
                              <w:tblW w:w="6486" w:type="dxa"/>
                              <w:jc w:val="left"/>
                              <w:tblInd w:w="0" w:type="dxa"/>
                              <w:tblLayout w:type="fixed"/>
                              <w:tblCellMar>
                                <w:top w:w="0" w:type="dxa"/>
                                <w:left w:w="0" w:type="dxa"/>
                                <w:bottom w:w="0" w:type="dxa"/>
                                <w:right w:w="0" w:type="dxa"/>
                              </w:tblCellMar>
                            </w:tblPr>
                            <w:tblGrid>
                              <w:gridCol w:w="124"/>
                              <w:gridCol w:w="1751"/>
                              <w:gridCol w:w="109"/>
                              <w:gridCol w:w="109"/>
                              <w:gridCol w:w="4239"/>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44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97" descr=""/>
                                                <pic:cNvPicPr>
                                                  <a:picLocks noChangeAspect="1" noChangeArrowheads="1"/>
                                                </pic:cNvPicPr>
                                              </pic:nvPicPr>
                                              <pic:blipFill>
                                                <a:blip r:embed="rId116"/>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4239" w:type="dxa"/>
                                  <w:tcBorders/>
                                  <w:shd w:fill="E5E5E5" w:val="clear"/>
                                  <w:vAlign w:val="center"/>
                                </w:tcPr>
                                <w:p>
                                  <w:pPr>
                                    <w:pStyle w:val="TableContents"/>
                                    <w:bidi w:val="0"/>
                                    <w:spacing w:lineRule="atLeast" w:line="216" w:before="0" w:after="0"/>
                                    <w:jc w:val="left"/>
                                    <w:rPr>
                                      <w:b/>
                                    </w:rPr>
                                  </w:pPr>
                                  <w:r>
                                    <w:rPr>
                                      <w:b/>
                                      <w:spacing w:val="-2"/>
                                    </w:rPr>
                                    <w:t>MARC GRANDISSON</w:t>
                                  </w:r>
                                  <w:r>
                                    <w:rPr>
                                      <w:b/>
                                    </w:rPr>
                                    <w:t xml:space="preserve"> </w:t>
                                  </w:r>
                                </w:p>
                                <w:p>
                                  <w:pPr>
                                    <w:pStyle w:val="TableContents"/>
                                    <w:bidi w:val="0"/>
                                    <w:spacing w:lineRule="atLeast" w:line="216" w:before="120" w:after="283"/>
                                    <w:jc w:val="left"/>
                                    <w:rPr/>
                                  </w:pPr>
                                  <w:r>
                                    <w:rPr>
                                      <w:spacing w:val="-1"/>
                                    </w:rPr>
                                    <w:t>EXECUTIVE CHAIRMAN, VANTAGE</w:t>
                                  </w:r>
                                  <w:r>
                                    <w:rPr/>
                                    <w:t xml:space="preserve"> </w:t>
                                  </w:r>
                                </w:p>
                                <w:p>
                                  <w:pPr>
                                    <w:pStyle w:val="TableContents"/>
                                    <w:bidi w:val="0"/>
                                    <w:spacing w:lineRule="atLeast" w:line="216" w:before="120" w:after="283"/>
                                    <w:jc w:val="left"/>
                                    <w:rPr/>
                                  </w:pPr>
                                  <w:r>
                                    <w:rPr>
                                      <w:spacing w:val="-1"/>
                                    </w:rPr>
                                    <w:t>Age 59</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jc w:val="left"/>
                              <w:rPr>
                                <w:b/>
                              </w:rPr>
                            </w:pPr>
                            <w:r>
                              <w:rPr>
                                <w:b/>
                                <w:spacing w:val="0"/>
                              </w:rPr>
                              <w:t>Background</w:t>
                            </w:r>
                            <w:r>
                              <w:rPr>
                                <w:b/>
                                <w:spacing w:val="4"/>
                              </w:rPr>
                              <w:t xml:space="preserve"> </w:t>
                            </w:r>
                          </w:p>
                          <w:p>
                            <w:pPr>
                              <w:pStyle w:val="TextBody"/>
                              <w:bidi w:val="0"/>
                              <w:spacing w:lineRule="atLeast" w:line="240" w:before="240" w:after="283"/>
                              <w:jc w:val="both"/>
                              <w:rPr/>
                            </w:pPr>
                            <w:r>
                              <w:rPr>
                                <w:b/>
                                <w:spacing w:val="0"/>
                              </w:rPr>
                              <w:t>Marc Grandisson</w:t>
                            </w:r>
                            <w:r>
                              <w:rPr>
                                <w:spacing w:val="-2"/>
                              </w:rPr>
                              <w:t xml:space="preserve"> has served as a director since May 2026 and has been Executive Chairman of Vantage since June 2026. Mr. Grandisson served as Chief Executive Officer of Arch Capital Group Ltd. (NASDAQ: ACGL), a Bermuda-based global provider of specialty insurance, reinsurance, and mortgage insurance, from 2018 until his retirement in 2024. One of Arch Capital’s original founders, Mr. Grandisson joined the company at its inception in 2001 and held a series of senior leadership roles before being appointed Chief Executive Officer. Under his leadership, Arch Capital grew into one of the most respected and profitable specialty insurance enterprises in the world, delivering consistent long-term value to shareholders across a range of market cycles. Prior to joining Arch Capital, Mr. Grandisson held senior roles at Berkshire Hathaway, F&amp;G Re, and Towers Watson. He is a Fellow of the Casualty Actuarial Society and a member of the American Academy of Actuaries, and served as Chairman of the Association of Bermuda Insurers and Reinsurers (ABIR) from 2021 to 2022. Mr. Grandisson earned a Bachelor of Science in Actuarial Science from Université Laval in 1990 and a Master of Business Administration from the Wharton School of the University of Pennsylvania in 2000. A lifelong hockey enthusiast born and raised in Quebec, he is a minority investor in the NHL’s Carolina Hurricanes. </w:t>
                            </w:r>
                          </w:p>
                        </w:txbxContent>
                      </wps:txbx>
                      <wps:bodyPr anchor="t" lIns="0" tIns="0" rIns="0" bIns="0">
                        <a:noAutofit/>
                      </wps:bodyPr>
                    </wps:wsp>
                  </a:graphicData>
                </a:graphic>
              </wp:anchor>
            </w:drawing>
          </mc:Choice>
          <mc:Fallback>
            <w:pict>
              <v:rect style="position:absolute;rotation:-0;width:240.6pt;height:548.8pt;mso-wrap-distance-left:24pt;mso-wrap-distance-right:0pt;mso-wrap-distance-top:0pt;mso-wrap-distance-bottom:0pt;margin-top:0pt;mso-position-vertical:top;mso-position-vertical-relative:text;margin-left:24pt;mso-position-horizontal:left;mso-position-horizontal-relative:text">
                <v:textbox>
                  <w:txbxContent>
                    <w:tbl>
                      <w:tblPr>
                        <w:tblW w:w="6486" w:type="dxa"/>
                        <w:jc w:val="left"/>
                        <w:tblInd w:w="0" w:type="dxa"/>
                        <w:tblLayout w:type="fixed"/>
                        <w:tblCellMar>
                          <w:top w:w="0" w:type="dxa"/>
                          <w:left w:w="0" w:type="dxa"/>
                          <w:bottom w:w="0" w:type="dxa"/>
                          <w:right w:w="0" w:type="dxa"/>
                        </w:tblCellMar>
                      </w:tblPr>
                      <w:tblGrid>
                        <w:gridCol w:w="124"/>
                        <w:gridCol w:w="1751"/>
                        <w:gridCol w:w="109"/>
                        <w:gridCol w:w="109"/>
                        <w:gridCol w:w="4239"/>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44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97" descr=""/>
                                          <pic:cNvPicPr>
                                            <a:picLocks noChangeAspect="1" noChangeArrowheads="1"/>
                                          </pic:cNvPicPr>
                                        </pic:nvPicPr>
                                        <pic:blipFill>
                                          <a:blip r:embed="rId117"/>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4239" w:type="dxa"/>
                            <w:tcBorders/>
                            <w:shd w:fill="E5E5E5" w:val="clear"/>
                            <w:vAlign w:val="center"/>
                          </w:tcPr>
                          <w:p>
                            <w:pPr>
                              <w:pStyle w:val="TableContents"/>
                              <w:bidi w:val="0"/>
                              <w:spacing w:lineRule="atLeast" w:line="216" w:before="0" w:after="0"/>
                              <w:jc w:val="left"/>
                              <w:rPr>
                                <w:b/>
                              </w:rPr>
                            </w:pPr>
                            <w:r>
                              <w:rPr>
                                <w:b/>
                                <w:spacing w:val="-2"/>
                              </w:rPr>
                              <w:t>MARC GRANDISSON</w:t>
                            </w:r>
                            <w:r>
                              <w:rPr>
                                <w:b/>
                              </w:rPr>
                              <w:t xml:space="preserve"> </w:t>
                            </w:r>
                          </w:p>
                          <w:p>
                            <w:pPr>
                              <w:pStyle w:val="TableContents"/>
                              <w:bidi w:val="0"/>
                              <w:spacing w:lineRule="atLeast" w:line="216" w:before="120" w:after="283"/>
                              <w:jc w:val="left"/>
                              <w:rPr/>
                            </w:pPr>
                            <w:r>
                              <w:rPr>
                                <w:spacing w:val="-1"/>
                              </w:rPr>
                              <w:t>EXECUTIVE CHAIRMAN, VANTAGE</w:t>
                            </w:r>
                            <w:r>
                              <w:rPr/>
                              <w:t xml:space="preserve"> </w:t>
                            </w:r>
                          </w:p>
                          <w:p>
                            <w:pPr>
                              <w:pStyle w:val="TableContents"/>
                              <w:bidi w:val="0"/>
                              <w:spacing w:lineRule="atLeast" w:line="216" w:before="120" w:after="283"/>
                              <w:jc w:val="left"/>
                              <w:rPr/>
                            </w:pPr>
                            <w:r>
                              <w:rPr>
                                <w:spacing w:val="-1"/>
                              </w:rPr>
                              <w:t>Age 59</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jc w:val="left"/>
                        <w:rPr>
                          <w:b/>
                        </w:rPr>
                      </w:pPr>
                      <w:r>
                        <w:rPr>
                          <w:b/>
                          <w:spacing w:val="0"/>
                        </w:rPr>
                        <w:t>Background</w:t>
                      </w:r>
                      <w:r>
                        <w:rPr>
                          <w:b/>
                          <w:spacing w:val="4"/>
                        </w:rPr>
                        <w:t xml:space="preserve"> </w:t>
                      </w:r>
                    </w:p>
                    <w:p>
                      <w:pPr>
                        <w:pStyle w:val="TextBody"/>
                        <w:bidi w:val="0"/>
                        <w:spacing w:lineRule="atLeast" w:line="240" w:before="240" w:after="283"/>
                        <w:jc w:val="both"/>
                        <w:rPr/>
                      </w:pPr>
                      <w:r>
                        <w:rPr>
                          <w:b/>
                          <w:spacing w:val="0"/>
                        </w:rPr>
                        <w:t>Marc Grandisson</w:t>
                      </w:r>
                      <w:r>
                        <w:rPr>
                          <w:spacing w:val="-2"/>
                        </w:rPr>
                        <w:t xml:space="preserve"> has served as a director since May 2026 and has been Executive Chairman of Vantage since June 2026. Mr. Grandisson served as Chief Executive Officer of Arch Capital Group Ltd. (NASDAQ: ACGL), a Bermuda-based global provider of specialty insurance, reinsurance, and mortgage insurance, from 2018 until his retirement in 2024. One of Arch Capital’s original founders, Mr. Grandisson joined the company at its inception in 2001 and held a series of senior leadership roles before being appointed Chief Executive Officer. Under his leadership, Arch Capital grew into one of the most respected and profitable specialty insurance enterprises in the world, delivering consistent long-term value to shareholders across a range of market cycles. Prior to joining Arch Capital, Mr. Grandisson held senior roles at Berkshire Hathaway, F&amp;G Re, and Towers Watson. He is a Fellow of the Casualty Actuarial Society and a member of the American Academy of Actuaries, and served as Chairman of the Association of Bermuda Insurers and Reinsurers (ABIR) from 2021 to 2022. Mr. Grandisson earned a Bachelor of Science in Actuarial Science from Université Laval in 1990 and a Master of Business Administration from the Wharton School of the University of Pennsylvania in 2000. A lifelong hockey enthusiast born and raised in Quebec, he is a minority investor in the NHL’s Carolina Hurricanes. </w:t>
                      </w:r>
                    </w:p>
                  </w:txbxContent>
                </v:textbox>
                <w10:wrap type="square" side="right"/>
              </v:rect>
            </w:pict>
          </mc:Fallback>
        </mc:AlternateContent>
      </w:r>
      <w:r>
        <mc:AlternateContent>
          <mc:Choice Requires="wps">
            <w:drawing>
              <wp:anchor behindDoc="0" distT="0" distB="0" distL="572135" distR="0" simplePos="0" locked="0" layoutInCell="1" allowOverlap="1" relativeHeight="73">
                <wp:simplePos x="0" y="0"/>
                <wp:positionH relativeFrom="column">
                  <wp:align>left</wp:align>
                </wp:positionH>
                <wp:positionV relativeFrom="line">
                  <wp:posOffset>635</wp:posOffset>
                </wp:positionV>
                <wp:extent cx="3055620" cy="5253990"/>
                <wp:effectExtent l="0" t="0" r="0" b="0"/>
                <wp:wrapSquare wrapText="right"/>
                <wp:docPr id="442" name="Frame325"/>
                <a:graphic xmlns:a="http://schemas.openxmlformats.org/drawingml/2006/main">
                  <a:graphicData uri="http://schemas.microsoft.com/office/word/2010/wordprocessingShape">
                    <wps:wsp>
                      <wps:cNvSpPr txBox="1"/>
                      <wps:spPr>
                        <a:xfrm>
                          <a:off x="0" y="0"/>
                          <a:ext cx="3055620" cy="5253990"/>
                        </a:xfrm>
                        <a:prstGeom prst="rect"/>
                        <a:solidFill>
                          <a:srgbClr val="FFFFFF"/>
                        </a:solidFill>
                      </wps:spPr>
                      <wps:txbx>
                        <w:txbxContent>
                          <w:tbl>
                            <w:tblPr>
                              <w:tblW w:w="6352" w:type="dxa"/>
                              <w:jc w:val="left"/>
                              <w:tblInd w:w="0" w:type="dxa"/>
                              <w:tblLayout w:type="fixed"/>
                              <w:tblCellMar>
                                <w:top w:w="0" w:type="dxa"/>
                                <w:left w:w="0" w:type="dxa"/>
                                <w:bottom w:w="0" w:type="dxa"/>
                                <w:right w:w="0" w:type="dxa"/>
                              </w:tblCellMar>
                            </w:tblPr>
                            <w:tblGrid>
                              <w:gridCol w:w="124"/>
                              <w:gridCol w:w="1751"/>
                              <w:gridCol w:w="109"/>
                              <w:gridCol w:w="109"/>
                              <w:gridCol w:w="4105"/>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44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96" descr=""/>
                                                <pic:cNvPicPr>
                                                  <a:picLocks noChangeAspect="1" noChangeArrowheads="1"/>
                                                </pic:cNvPicPr>
                                              </pic:nvPicPr>
                                              <pic:blipFill>
                                                <a:blip r:embed="rId118"/>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4105" w:type="dxa"/>
                                  <w:tcBorders/>
                                  <w:shd w:fill="E5E5E5" w:val="clear"/>
                                  <w:vAlign w:val="center"/>
                                </w:tcPr>
                                <w:p>
                                  <w:pPr>
                                    <w:pStyle w:val="TableContents"/>
                                    <w:bidi w:val="0"/>
                                    <w:spacing w:lineRule="atLeast" w:line="216" w:before="0" w:after="0"/>
                                    <w:jc w:val="left"/>
                                    <w:rPr>
                                      <w:b/>
                                    </w:rPr>
                                  </w:pPr>
                                  <w:r>
                                    <w:rPr>
                                      <w:b/>
                                      <w:spacing w:val="-2"/>
                                    </w:rPr>
                                    <w:t>ANDREW DAVIS</w:t>
                                  </w:r>
                                  <w:r>
                                    <w:rPr>
                                      <w:b/>
                                    </w:rPr>
                                    <w:t xml:space="preserve"> </w:t>
                                  </w:r>
                                </w:p>
                                <w:p>
                                  <w:pPr>
                                    <w:pStyle w:val="TableContents"/>
                                    <w:bidi w:val="0"/>
                                    <w:spacing w:lineRule="atLeast" w:line="216" w:before="120" w:after="283"/>
                                    <w:jc w:val="left"/>
                                    <w:rPr/>
                                  </w:pPr>
                                  <w:r>
                                    <w:rPr>
                                      <w:spacing w:val="-1"/>
                                    </w:rPr>
                                    <w:t>CHIEF OPERATING OFFICER (HHC)</w:t>
                                  </w:r>
                                  <w:r>
                                    <w:rPr/>
                                    <w:t xml:space="preserve"> </w:t>
                                  </w:r>
                                </w:p>
                                <w:p>
                                  <w:pPr>
                                    <w:pStyle w:val="TableContents"/>
                                    <w:bidi w:val="0"/>
                                    <w:spacing w:lineRule="atLeast" w:line="216" w:before="120" w:after="283"/>
                                    <w:jc w:val="left"/>
                                    <w:rPr/>
                                  </w:pPr>
                                  <w:r>
                                    <w:rPr>
                                      <w:spacing w:val="-1"/>
                                    </w:rPr>
                                    <w:t>Age 44</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jc w:val="left"/>
                              <w:rPr>
                                <w:b/>
                              </w:rPr>
                            </w:pPr>
                            <w:r>
                              <w:rPr>
                                <w:b/>
                                <w:spacing w:val="0"/>
                              </w:rPr>
                              <w:t>Background</w:t>
                            </w:r>
                            <w:r>
                              <w:rPr>
                                <w:b/>
                                <w:spacing w:val="4"/>
                              </w:rPr>
                              <w:t xml:space="preserve"> </w:t>
                            </w:r>
                          </w:p>
                          <w:p>
                            <w:pPr>
                              <w:pStyle w:val="TextBody"/>
                              <w:bidi w:val="0"/>
                              <w:spacing w:lineRule="atLeast" w:line="240" w:before="240" w:after="283"/>
                              <w:jc w:val="both"/>
                              <w:rPr/>
                            </w:pPr>
                            <w:r>
                              <w:rPr>
                                <w:b/>
                                <w:spacing w:val="0"/>
                              </w:rPr>
                              <w:t>Andrew Davis</w:t>
                            </w:r>
                            <w:r>
                              <w:rPr>
                                <w:spacing w:val="-2"/>
                              </w:rPr>
                              <w:t xml:space="preserve"> serves as Chief Operating Officer of Howard Hughes Communities and oversees the company’s MPC business, capital markets activities, joint ventures, and operating assets. He is also a voting member of the company’s Capital Allocation Committee.</w:t>
                            </w:r>
                            <w:r>
                              <w:rPr>
                                <w:spacing w:val="4"/>
                              </w:rPr>
                              <w:t xml:space="preserve"> </w:t>
                            </w:r>
                          </w:p>
                          <w:p>
                            <w:pPr>
                              <w:pStyle w:val="TextBody"/>
                              <w:bidi w:val="0"/>
                              <w:spacing w:lineRule="atLeast" w:line="240" w:before="160" w:after="283"/>
                              <w:jc w:val="both"/>
                              <w:rPr/>
                            </w:pPr>
                            <w:r>
                              <w:rPr>
                                <w:spacing w:val="-2"/>
                              </w:rPr>
                              <w:t>Previously, Mr. Davis served as HHC’s Executive Vice President of Investments and Operations and concurrently as interim President of Summerlin. Before joining Howard Hughes in 2011 as an analyst to the President, he held various roles focused on the monetization of non-performing real estate loans and the evaluation of venture investments.</w:t>
                            </w:r>
                            <w:r>
                              <w:rPr>
                                <w:spacing w:val="4"/>
                              </w:rPr>
                              <w:t xml:space="preserve"> </w:t>
                            </w:r>
                          </w:p>
                          <w:p>
                            <w:pPr>
                              <w:pStyle w:val="TextBody"/>
                              <w:bidi w:val="0"/>
                              <w:spacing w:lineRule="atLeast" w:line="240" w:before="160" w:after="283"/>
                              <w:jc w:val="both"/>
                              <w:rPr>
                                <w:spacing w:val="-2"/>
                              </w:rPr>
                            </w:pPr>
                            <w:r>
                              <w:rPr>
                                <w:spacing w:val="-2"/>
                              </w:rPr>
                              <w:t xml:space="preserve">Mr. Davis holds a BS from The George Washington University and an MBA from Southern Methodist University. </w:t>
                            </w:r>
                          </w:p>
                        </w:txbxContent>
                      </wps:txbx>
                      <wps:bodyPr anchor="t" lIns="0" tIns="0" rIns="0" bIns="0">
                        <a:noAutofit/>
                      </wps:bodyPr>
                    </wps:wsp>
                  </a:graphicData>
                </a:graphic>
              </wp:anchor>
            </w:drawing>
          </mc:Choice>
          <mc:Fallback>
            <w:pict>
              <v:rect style="position:absolute;rotation:-0;width:240.6pt;height:413.7pt;mso-wrap-distance-left:45.05pt;mso-wrap-distance-right:0pt;mso-wrap-distance-top:0pt;mso-wrap-distance-bottom:0pt;margin-top:0pt;mso-position-vertical:top;mso-position-vertical-relative:text;margin-left:45.05pt;mso-position-horizontal:left;mso-position-horizontal-relative:text">
                <v:textbox>
                  <w:txbxContent>
                    <w:tbl>
                      <w:tblPr>
                        <w:tblW w:w="6352" w:type="dxa"/>
                        <w:jc w:val="left"/>
                        <w:tblInd w:w="0" w:type="dxa"/>
                        <w:tblLayout w:type="fixed"/>
                        <w:tblCellMar>
                          <w:top w:w="0" w:type="dxa"/>
                          <w:left w:w="0" w:type="dxa"/>
                          <w:bottom w:w="0" w:type="dxa"/>
                          <w:right w:w="0" w:type="dxa"/>
                        </w:tblCellMar>
                      </w:tblPr>
                      <w:tblGrid>
                        <w:gridCol w:w="124"/>
                        <w:gridCol w:w="1751"/>
                        <w:gridCol w:w="109"/>
                        <w:gridCol w:w="109"/>
                        <w:gridCol w:w="4105"/>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444"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96" descr=""/>
                                          <pic:cNvPicPr>
                                            <a:picLocks noChangeAspect="1" noChangeArrowheads="1"/>
                                          </pic:cNvPicPr>
                                        </pic:nvPicPr>
                                        <pic:blipFill>
                                          <a:blip r:embed="rId119"/>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4105" w:type="dxa"/>
                            <w:tcBorders/>
                            <w:shd w:fill="E5E5E5" w:val="clear"/>
                            <w:vAlign w:val="center"/>
                          </w:tcPr>
                          <w:p>
                            <w:pPr>
                              <w:pStyle w:val="TableContents"/>
                              <w:bidi w:val="0"/>
                              <w:spacing w:lineRule="atLeast" w:line="216" w:before="0" w:after="0"/>
                              <w:jc w:val="left"/>
                              <w:rPr>
                                <w:b/>
                              </w:rPr>
                            </w:pPr>
                            <w:r>
                              <w:rPr>
                                <w:b/>
                                <w:spacing w:val="-2"/>
                              </w:rPr>
                              <w:t>ANDREW DAVIS</w:t>
                            </w:r>
                            <w:r>
                              <w:rPr>
                                <w:b/>
                              </w:rPr>
                              <w:t xml:space="preserve"> </w:t>
                            </w:r>
                          </w:p>
                          <w:p>
                            <w:pPr>
                              <w:pStyle w:val="TableContents"/>
                              <w:bidi w:val="0"/>
                              <w:spacing w:lineRule="atLeast" w:line="216" w:before="120" w:after="283"/>
                              <w:jc w:val="left"/>
                              <w:rPr/>
                            </w:pPr>
                            <w:r>
                              <w:rPr>
                                <w:spacing w:val="-1"/>
                              </w:rPr>
                              <w:t>CHIEF OPERATING OFFICER (HHC)</w:t>
                            </w:r>
                            <w:r>
                              <w:rPr/>
                              <w:t xml:space="preserve"> </w:t>
                            </w:r>
                          </w:p>
                          <w:p>
                            <w:pPr>
                              <w:pStyle w:val="TableContents"/>
                              <w:bidi w:val="0"/>
                              <w:spacing w:lineRule="atLeast" w:line="216" w:before="120" w:after="283"/>
                              <w:jc w:val="left"/>
                              <w:rPr/>
                            </w:pPr>
                            <w:r>
                              <w:rPr>
                                <w:spacing w:val="-1"/>
                              </w:rPr>
                              <w:t>Age 44</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jc w:val="left"/>
                        <w:rPr>
                          <w:b/>
                        </w:rPr>
                      </w:pPr>
                      <w:r>
                        <w:rPr>
                          <w:b/>
                          <w:spacing w:val="0"/>
                        </w:rPr>
                        <w:t>Background</w:t>
                      </w:r>
                      <w:r>
                        <w:rPr>
                          <w:b/>
                          <w:spacing w:val="4"/>
                        </w:rPr>
                        <w:t xml:space="preserve"> </w:t>
                      </w:r>
                    </w:p>
                    <w:p>
                      <w:pPr>
                        <w:pStyle w:val="TextBody"/>
                        <w:bidi w:val="0"/>
                        <w:spacing w:lineRule="atLeast" w:line="240" w:before="240" w:after="283"/>
                        <w:jc w:val="both"/>
                        <w:rPr/>
                      </w:pPr>
                      <w:r>
                        <w:rPr>
                          <w:b/>
                          <w:spacing w:val="0"/>
                        </w:rPr>
                        <w:t>Andrew Davis</w:t>
                      </w:r>
                      <w:r>
                        <w:rPr>
                          <w:spacing w:val="-2"/>
                        </w:rPr>
                        <w:t xml:space="preserve"> serves as Chief Operating Officer of Howard Hughes Communities and oversees the company’s MPC business, capital markets activities, joint ventures, and operating assets. He is also a voting member of the company’s Capital Allocation Committee.</w:t>
                      </w:r>
                      <w:r>
                        <w:rPr>
                          <w:spacing w:val="4"/>
                        </w:rPr>
                        <w:t xml:space="preserve"> </w:t>
                      </w:r>
                    </w:p>
                    <w:p>
                      <w:pPr>
                        <w:pStyle w:val="TextBody"/>
                        <w:bidi w:val="0"/>
                        <w:spacing w:lineRule="atLeast" w:line="240" w:before="160" w:after="283"/>
                        <w:jc w:val="both"/>
                        <w:rPr/>
                      </w:pPr>
                      <w:r>
                        <w:rPr>
                          <w:spacing w:val="-2"/>
                        </w:rPr>
                        <w:t>Previously, Mr. Davis served as HHC’s Executive Vice President of Investments and Operations and concurrently as interim President of Summerlin. Before joining Howard Hughes in 2011 as an analyst to the President, he held various roles focused on the monetization of non-performing real estate loans and the evaluation of venture investments.</w:t>
                      </w:r>
                      <w:r>
                        <w:rPr>
                          <w:spacing w:val="4"/>
                        </w:rPr>
                        <w:t xml:space="preserve"> </w:t>
                      </w:r>
                    </w:p>
                    <w:p>
                      <w:pPr>
                        <w:pStyle w:val="TextBody"/>
                        <w:bidi w:val="0"/>
                        <w:spacing w:lineRule="atLeast" w:line="240" w:before="160" w:after="283"/>
                        <w:jc w:val="both"/>
                        <w:rPr>
                          <w:spacing w:val="-2"/>
                        </w:rPr>
                      </w:pPr>
                      <w:r>
                        <w:rPr>
                          <w:spacing w:val="-2"/>
                        </w:rPr>
                        <w:t xml:space="preserve">Mr. Davis holds a BS from The George Washington University and an MBA from Southern Methodist University. </w:t>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/ 51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Executive Officers</w:t>
      </w:r>
      <w:r>
        <w:rPr>
          <w:rFonts w:ascii="Arial;Helvetica;sans-serif" w:hAnsi="Arial;Helvetica;sans-serif"/>
          <w:b/>
          <w:i w:val="false"/>
          <w:caps w:val="false"/>
          <w:smallCaps w:val="false"/>
          <w:color w:val="7F7F7F"/>
          <w:spacing w:val="-3"/>
          <w:sz w:val="22"/>
        </w:rPr>
        <w:t xml:space="preserve"> </w:t>
      </w:r>
    </w:p>
    <w:tbl>
      <w:tblPr>
        <w:tblW w:w="6918" w:type="dxa"/>
        <w:jc w:val="left"/>
        <w:tblInd w:w="901" w:type="dxa"/>
        <w:tblLayout w:type="fixed"/>
        <w:tblCellMar>
          <w:top w:w="0" w:type="dxa"/>
          <w:left w:w="0" w:type="dxa"/>
          <w:bottom w:w="0" w:type="dxa"/>
          <w:right w:w="0" w:type="dxa"/>
        </w:tblCellMar>
      </w:tblPr>
      <w:tblGrid>
        <w:gridCol w:w="124"/>
        <w:gridCol w:w="1751"/>
        <w:gridCol w:w="109"/>
        <w:gridCol w:w="109"/>
        <w:gridCol w:w="4671"/>
        <w:gridCol w:w="154"/>
      </w:tblGrid>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pPr>
            <w:r>
              <w:rPr/>
              <w:drawing>
                <wp:inline distT="0" distB="0" distL="0" distR="0">
                  <wp:extent cx="1019175" cy="1019175"/>
                  <wp:effectExtent l="0" t="0" r="0" b="0"/>
                  <wp:docPr id="445"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98" descr=""/>
                          <pic:cNvPicPr>
                            <a:picLocks noChangeAspect="1" noChangeArrowheads="1"/>
                          </pic:cNvPicPr>
                        </pic:nvPicPr>
                        <pic:blipFill>
                          <a:blip r:embed="rId120"/>
                          <a:stretch>
                            <a:fillRect/>
                          </a:stretch>
                        </pic:blipFill>
                        <pic:spPr bwMode="auto">
                          <a:xfrm>
                            <a:off x="0" y="0"/>
                            <a:ext cx="101917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4671" w:type="dxa"/>
            <w:tcBorders/>
            <w:shd w:fill="E5E5E5" w:val="clear"/>
            <w:vAlign w:val="center"/>
          </w:tcPr>
          <w:p>
            <w:pPr>
              <w:pStyle w:val="TableContents"/>
              <w:bidi w:val="0"/>
              <w:spacing w:lineRule="atLeast" w:line="216" w:before="0" w:after="283"/>
              <w:jc w:val="left"/>
              <w:rPr>
                <w:b/>
              </w:rPr>
            </w:pPr>
            <w:r>
              <w:rPr>
                <w:b/>
                <w:spacing w:val="-2"/>
              </w:rPr>
              <w:t>GREG HENDRICK</w:t>
            </w:r>
            <w:r>
              <w:rPr>
                <w:b/>
              </w:rPr>
              <w:t xml:space="preserve"> </w:t>
            </w:r>
          </w:p>
          <w:p>
            <w:pPr>
              <w:pStyle w:val="TableContents"/>
              <w:bidi w:val="0"/>
              <w:spacing w:lineRule="atLeast" w:line="216" w:before="120" w:after="283"/>
              <w:jc w:val="left"/>
              <w:rPr/>
            </w:pPr>
            <w:r>
              <w:rPr>
                <w:spacing w:val="-1"/>
              </w:rPr>
              <w:t>CHIEF EXECUTIVE OFFICER, VANTAGE</w:t>
            </w:r>
            <w:r>
              <w:rPr/>
              <w:t xml:space="preserve"> </w:t>
            </w:r>
          </w:p>
          <w:p>
            <w:pPr>
              <w:pStyle w:val="TableContents"/>
              <w:bidi w:val="0"/>
              <w:spacing w:lineRule="atLeast" w:line="216" w:before="120" w:after="283"/>
              <w:jc w:val="left"/>
              <w:rPr/>
            </w:pPr>
            <w:r>
              <w:rPr>
                <w:spacing w:val="-1"/>
              </w:rPr>
              <w:t>Age 60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901"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Background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Greg Hendrick</w:t>
      </w:r>
      <w:r>
        <w:rPr>
          <w:rFonts w:ascii="Arial;Helvetica;sans-serif" w:hAnsi="Arial;Helvetica;sans-serif"/>
          <w:b w:val="false"/>
          <w:i w:val="false"/>
          <w:caps w:val="false"/>
          <w:smallCaps w:val="false"/>
          <w:color w:val="000000"/>
          <w:spacing w:val="-2"/>
          <w:sz w:val="20"/>
        </w:rPr>
        <w:t xml:space="preserve"> is a co-founder and served as Chief Executive Officer of Vantage since its founding in late 2020. Prior to founding Vantage, Mr. Hendrick served as Chief Executive Officer of AXA XL, the property and casualty and specialty risk division of AXA S.A., from 2018 to 2020. Before AXA XL, Mr. Hendrick spent approximately 25 years with XL Group companies, serving in a series of progressively senior underwriting and executive leadership roles, including Chief Executive of Reinsurance, Chief Executive of Insurance, Executive Vice President of Strategic Growth, President and Chief Underwriting Officer of XL Re Ltd., and Vice President of U.S. Property Underwriting at XL Mid Ocean Reinsurance Ltd. Mr. Hendrick began his career as an actuarial analyst at AIG and subsequently served as a Vice President of Treaty Underwriting at Winterthur Reinsurance Corporation of America. He brings over 35 years of insurance and reinsurance industry experience to his role at Vantage, with particular expertise in specialty and property catastrophe underwriting, cycle management, and building and scaling diversified re/</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2"/>
          <w:sz w:val="20"/>
        </w:rPr>
        <w:t>insurance platforms. Mr. Hendrick currently serves on the board of directors of Verisk Analytics, Inc. (NASDAQ: VRSK) and on the Board of Governors of St. John’s University and the Board of Overseers of the Greenberg School of Risk Management, Insurance, and Actuarial Science. He earned a Bachelor of Science in Mathematics, Summa Cum Laude, from St. John’s University.</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52 \ 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CDAA"/>
      <w:bookmarkEnd w:id="55"/>
      <w:r>
        <w:rPr>
          <w:rFonts w:ascii="calibri;arial;sans-serif" w:hAnsi="calibri;arial;sans-serif"/>
          <w:b w:val="false"/>
          <w:i w:val="false"/>
          <w:caps w:val="false"/>
          <w:smallCaps w:val="false"/>
          <w:color w:val="000000"/>
          <w:sz w:val="16"/>
        </w:rPr>
        <w:t>​</w:t>
      </w:r>
      <w:bookmarkStart w:id="56" w:name="tEXCO"/>
      <w:bookmarkEnd w:id="56"/>
      <w:r>
        <w:rPr>
          <w:rFonts w:ascii="calibri;arial;sans-serif" w:hAnsi="calibri;arial;sans-serif"/>
          <w:b w:val="false"/>
          <w:i w:val="false"/>
          <w:caps w:val="false"/>
          <w:smallCaps w:val="false"/>
          <w:color w:val="000000"/>
          <w:sz w:val="16"/>
        </w:rPr>
        <w:t>​</w:t>
      </w:r>
      <w:bookmarkStart w:id="57" w:name="tEXSU"/>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480" w:before="200" w:after="640"/>
        <w:ind w:left="800" w:right="0" w:hanging="0"/>
        <w:jc w:val="left"/>
        <w:rPr>
          <w:caps w:val="false"/>
          <w:smallCaps w:val="false"/>
          <w:color w:val="000000"/>
        </w:rPr>
      </w:pPr>
      <w:r>
        <w:rPr>
          <w:caps w:val="false"/>
          <w:smallCaps w:val="false"/>
          <w:color w:val="000000"/>
          <w:spacing w:val="-6"/>
        </w:rPr>
        <w:t> </w:t>
      </w:r>
      <w:r>
        <w:rPr>
          <w:caps w:val="false"/>
          <w:smallCaps w:val="false"/>
          <w:color w:val="000000"/>
        </w:rPr>
        <w:t xml:space="preserve"> </w:t>
      </w:r>
    </w:p>
    <w:p>
      <w:pPr>
        <w:pStyle w:val="TextBody"/>
        <w:bidi w:val="0"/>
        <w:spacing w:lineRule="atLeast" w:line="480" w:before="614" w:after="283"/>
        <w:ind w:left="800" w:right="0" w:hanging="0"/>
        <w:jc w:val="left"/>
        <w:rPr>
          <w:rFonts w:ascii="Arial;Helvetica;sans-serif" w:hAnsi="Arial;Helvetica;sans-serif"/>
          <w:b/>
          <w:i w:val="false"/>
          <w:caps w:val="false"/>
          <w:smallCaps w:val="false"/>
          <w:color w:val="000000"/>
          <w:spacing w:val="-1"/>
          <w:sz w:val="44"/>
        </w:rPr>
      </w:pPr>
      <w:r>
        <w:rPr>
          <w:rFonts w:ascii="Arial;Helvetica;sans-serif" w:hAnsi="Arial;Helvetica;sans-serif"/>
          <w:b/>
          <w:i w:val="false"/>
          <w:caps w:val="false"/>
          <w:smallCaps w:val="false"/>
          <w:color w:val="000000"/>
          <w:spacing w:val="-1"/>
          <w:sz w:val="44"/>
        </w:rPr>
        <w:t xml:space="preserve">Compensation Discussion and Analysis </w:t>
      </w:r>
    </w:p>
    <w:p>
      <w:pPr>
        <w:pStyle w:val="TextBody"/>
        <w:bidi w:val="0"/>
        <w:spacing w:lineRule="atLeast" w:line="340" w:before="160" w:after="411"/>
        <w:ind w:left="900"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EXECUTIVE COMPENSATION</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Compensation Discussion and Analysis provides information on our executive compensation program and the amounts shown in the executive compensation tables that follow. In this proxy statement, the Named Executive Officers, or NEOs, include each of the executive officers listed below for fiscal 2025.</w:t>
      </w:r>
      <w:r>
        <w:rPr>
          <w:rFonts w:ascii="Arial;Helvetica;sans-serif" w:hAnsi="Arial;Helvetica;sans-serif"/>
          <w:b w:val="false"/>
          <w:i w:val="false"/>
          <w:caps w:val="false"/>
          <w:smallCaps w:val="false"/>
          <w:color w:val="000000"/>
          <w:spacing w:val="4"/>
          <w:sz w:val="20"/>
        </w:rPr>
        <w:t xml:space="preserve"> </w:t>
      </w:r>
    </w:p>
    <w:tbl>
      <w:tblPr>
        <w:tblW w:w="9305" w:type="dxa"/>
        <w:jc w:val="left"/>
        <w:tblInd w:w="900" w:type="dxa"/>
        <w:tblLayout w:type="fixed"/>
        <w:tblCellMar>
          <w:top w:w="0" w:type="dxa"/>
          <w:left w:w="0" w:type="dxa"/>
          <w:bottom w:w="0" w:type="dxa"/>
          <w:right w:w="0" w:type="dxa"/>
        </w:tblCellMar>
      </w:tblPr>
      <w:tblGrid>
        <w:gridCol w:w="124"/>
        <w:gridCol w:w="2434"/>
        <w:gridCol w:w="109"/>
        <w:gridCol w:w="109"/>
        <w:gridCol w:w="6374"/>
        <w:gridCol w:w="155"/>
      </w:tblGrid>
      <w:tr>
        <w:trPr/>
        <w:tc>
          <w:tcPr>
            <w:tcW w:w="124" w:type="dxa"/>
            <w:tcBorders/>
            <w:shd w:fill="BAD8EA" w:val="clear"/>
            <w:vAlign w:val="center"/>
          </w:tcPr>
          <w:p>
            <w:pPr>
              <w:pStyle w:val="TableContents"/>
              <w:bidi w:val="0"/>
              <w:spacing w:before="0" w:after="283"/>
              <w:jc w:val="left"/>
              <w:rPr/>
            </w:pPr>
            <w:r>
              <w:rPr/>
              <w:t>​</w:t>
            </w:r>
          </w:p>
        </w:tc>
        <w:tc>
          <w:tcPr>
            <w:tcW w:w="2434" w:type="dxa"/>
            <w:tcBorders/>
            <w:shd w:fill="BAD8EA" w:val="clear"/>
            <w:vAlign w:val="center"/>
          </w:tcPr>
          <w:p>
            <w:pPr>
              <w:pStyle w:val="TableContents"/>
              <w:bidi w:val="0"/>
              <w:spacing w:before="0" w:after="0"/>
              <w:jc w:val="left"/>
              <w:rPr>
                <w:spacing w:val="0"/>
              </w:rPr>
            </w:pPr>
            <w:r>
              <w:rPr>
                <w:spacing w:val="0"/>
              </w:rPr>
              <w:t xml:space="preserve">Named Executive Officer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6374" w:type="dxa"/>
            <w:tcBorders/>
            <w:shd w:fill="BAD8EA" w:val="clear"/>
            <w:vAlign w:val="center"/>
          </w:tcPr>
          <w:p>
            <w:pPr>
              <w:pStyle w:val="TableContents"/>
              <w:bidi w:val="0"/>
              <w:spacing w:before="0" w:after="0"/>
              <w:jc w:val="left"/>
              <w:rPr>
                <w:spacing w:val="0"/>
              </w:rPr>
            </w:pPr>
            <w:r>
              <w:rPr>
                <w:spacing w:val="0"/>
              </w:rPr>
              <w:t xml:space="preserve">Position </w:t>
            </w:r>
          </w:p>
        </w:tc>
        <w:tc>
          <w:tcPr>
            <w:tcW w:w="155"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434"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David O’Reilly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6374"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Chief Executive Officer (“CEO”) </w:t>
            </w:r>
          </w:p>
        </w:tc>
        <w:tc>
          <w:tcPr>
            <w:tcW w:w="155"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434"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L. Jay Cross+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6374"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Former President </w:t>
            </w:r>
          </w:p>
        </w:tc>
        <w:tc>
          <w:tcPr>
            <w:tcW w:w="155"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434"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Carlos A. Olea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6374"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Chief Financial Officer (“CFO”) </w:t>
            </w:r>
          </w:p>
        </w:tc>
        <w:tc>
          <w:tcPr>
            <w:tcW w:w="155"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434" w:type="dxa"/>
            <w:tcBorders>
              <w:bottom w:val="single" w:sz="2" w:space="0" w:color="CBCAC8"/>
            </w:tcBorders>
            <w:tcMar>
              <w:bottom w:w="50" w:type="dxa"/>
            </w:tcMar>
            <w:vAlign w:val="center"/>
          </w:tcPr>
          <w:p>
            <w:pPr>
              <w:pStyle w:val="TableContents"/>
              <w:bidi w:val="0"/>
              <w:spacing w:before="0" w:after="283"/>
              <w:jc w:val="left"/>
              <w:rPr/>
            </w:pPr>
            <w:r>
              <w:rPr>
                <w:spacing w:val="-2"/>
              </w:rPr>
              <w:t>Joseph Valane*</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6374"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Chief Legal Officer and Secretary </w:t>
            </w:r>
          </w:p>
        </w:tc>
        <w:tc>
          <w:tcPr>
            <w:tcW w:w="155"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434" w:type="dxa"/>
            <w:tcBorders>
              <w:bottom w:val="single" w:sz="2" w:space="0" w:color="CBCAC8"/>
            </w:tcBorders>
            <w:tcMar>
              <w:bottom w:w="37" w:type="dxa"/>
            </w:tcMar>
            <w:vAlign w:val="center"/>
          </w:tcPr>
          <w:p>
            <w:pPr>
              <w:pStyle w:val="TableContents"/>
              <w:bidi w:val="0"/>
              <w:spacing w:before="0" w:after="283"/>
              <w:jc w:val="left"/>
              <w:rPr>
                <w:spacing w:val="-2"/>
              </w:rPr>
            </w:pPr>
            <w:r>
              <w:rPr>
                <w:spacing w:val="-2"/>
              </w:rPr>
              <w:t xml:space="preserve">Doug Johnstone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6374" w:type="dxa"/>
            <w:tcBorders>
              <w:bottom w:val="single" w:sz="2" w:space="0" w:color="CBCAC8"/>
            </w:tcBorders>
            <w:tcMar>
              <w:bottom w:w="37" w:type="dxa"/>
            </w:tcMar>
            <w:vAlign w:val="center"/>
          </w:tcPr>
          <w:p>
            <w:pPr>
              <w:pStyle w:val="TableContents"/>
              <w:bidi w:val="0"/>
              <w:spacing w:before="0" w:after="283"/>
              <w:jc w:val="left"/>
              <w:rPr/>
            </w:pPr>
            <w:r>
              <w:rPr>
                <w:spacing w:val="-2"/>
              </w:rPr>
              <w:t>President, HHC Hawaii Region &amp; National Condominium Development</w:t>
            </w:r>
            <w:r>
              <w:rPr/>
              <w:t xml:space="preserve"> </w:t>
            </w:r>
          </w:p>
        </w:tc>
        <w:tc>
          <w:tcPr>
            <w:tcW w:w="155"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434"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Andrew Davis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6374" w:type="dxa"/>
            <w:tcBorders>
              <w:bottom w:val="single" w:sz="2" w:space="0" w:color="CBCAC8"/>
            </w:tcBorders>
            <w:tcMar>
              <w:bottom w:w="50" w:type="dxa"/>
            </w:tcMar>
            <w:vAlign w:val="center"/>
          </w:tcPr>
          <w:p>
            <w:pPr>
              <w:pStyle w:val="TableContents"/>
              <w:bidi w:val="0"/>
              <w:spacing w:before="0" w:after="283"/>
              <w:jc w:val="left"/>
              <w:rPr/>
            </w:pPr>
            <w:r>
              <w:rPr>
                <w:spacing w:val="-2"/>
              </w:rPr>
              <w:t>HHC Chief Operating Officer</w:t>
            </w:r>
            <w:r>
              <w:rPr/>
              <w:t xml:space="preserve"> </w:t>
            </w:r>
          </w:p>
        </w:tc>
        <w:tc>
          <w:tcPr>
            <w:tcW w:w="155" w:type="dxa"/>
            <w:tcBorders>
              <w:bottom w:val="single" w:sz="2" w:space="0" w:color="CBCAC8"/>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100" w:after="0"/>
        <w:ind w:left="13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Cross ceased to be an executive officer of, and retired from, the Company effective September 16,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3500" distB="0" distL="0" distR="0" simplePos="0" locked="0" layoutInCell="1" allowOverlap="1" relativeHeight="443">
                <wp:simplePos x="0" y="0"/>
                <wp:positionH relativeFrom="column">
                  <wp:align>left</wp:align>
                </wp:positionH>
                <wp:positionV relativeFrom="line">
                  <wp:align>top</wp:align>
                </wp:positionV>
                <wp:extent cx="254000" cy="279400"/>
                <wp:effectExtent l="0" t="0" r="0" b="0"/>
                <wp:wrapSquare wrapText="right"/>
                <wp:docPr id="446" name="Frame327"/>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1"/>
                                <w:sz w:val="18"/>
                              </w:rPr>
                              <w:t>+</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1"/>
                          <w:sz w:val="18"/>
                        </w:rPr>
                        <w:t>+</w:t>
                      </w:r>
                      <w:r>
                        <w:rPr>
                          <w:sz w:val="18"/>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0"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Mr. Valane’s title changed from “General Counsel &amp; Secretary” to “Chief Legal Officer &amp; Secretary” effective June 29, 2026. </w:t>
      </w:r>
      <w:r>
        <mc:AlternateContent>
          <mc:Choice Requires="wps">
            <w:drawing>
              <wp:anchor behindDoc="0" distT="76200" distB="0" distL="0" distR="0" simplePos="0" locked="0" layoutInCell="1" allowOverlap="1" relativeHeight="444">
                <wp:simplePos x="0" y="0"/>
                <wp:positionH relativeFrom="column">
                  <wp:align>left</wp:align>
                </wp:positionH>
                <wp:positionV relativeFrom="line">
                  <wp:align>top</wp:align>
                </wp:positionV>
                <wp:extent cx="254000" cy="279400"/>
                <wp:effectExtent l="0" t="0" r="0" b="0"/>
                <wp:wrapSquare wrapText="right"/>
                <wp:docPr id="447" name="Frame328"/>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w:t>
                      </w:r>
                      <w:r>
                        <w:rPr>
                          <w:sz w:val="18"/>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340" w:before="320" w:after="283"/>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EXECUTIVE SUMMARY</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success depends, in large part, on our ability to successfully attract, motivate and retain a qualified management team. The executive compensation program designed and implemented by the Compensation Committee is intended to attract, retain and motivate the key people necessary to enable us to maximize operational efficiency and profitability over the long term, while holding employees accountable to the Company’s strategy and values. The Compensation Committee believes that executive compensation should align the interests of our executives and other key employees with those of the Company, including its mission and strategy, and with long-term stockholder value. Our executive compensation program also is designed to differentiate compensation based upon individual contribution, performance, and experience.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establishing compensation, the Compensation Committee provides our NEOs with a competitive compensation package, using a holistic evaluation of each element of our NEOs’ compensation together with an assessment of each NEO’s ownership position in the Company (inclusive of all types of equity awards). The Compensation Committee sets compensation in this manner to ensure that our compensation practices do not disadvantage the Company in attracting and retaining executives and other key employees, while also managing a competitive compensation expense structure for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Although the Compensation Committee considers the executive compensation paid by our public company peer group in making compensation decisions, the Compensation Committee also considers the compensation that real estate private equity firms, private real estate development companies and real estate opportunity funds pay their executives. Given the small number of public company peers directly competing with the Company and the nature of the Company’s business, the Compensation Committee believes it is prudent to consider the compensation of both its privately and publicly owned peers when making its compensation decisions. </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/ 53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FAOH"/>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Compensation Discussion and Analysis</w:t>
      </w:r>
      <w:r>
        <w:rPr>
          <w:rFonts w:ascii="Arial;Helvetica;sans-serif" w:hAnsi="Arial;Helvetica;sans-serif"/>
          <w:b/>
          <w:i w:val="false"/>
          <w:caps w:val="false"/>
          <w:smallCaps w:val="false"/>
          <w:color w:val="7F7F7F"/>
          <w:spacing w:val="-3"/>
          <w:sz w:val="22"/>
        </w:rPr>
        <w:t xml:space="preserve"> </w:t>
      </w:r>
    </w:p>
    <w:p>
      <w:pPr>
        <w:pStyle w:val="TextBody"/>
        <w:bidi w:val="0"/>
        <w:spacing w:lineRule="atLeast" w:line="340" w:before="120" w:after="283"/>
        <w:ind w:left="901" w:right="0" w:hanging="0"/>
        <w:jc w:val="left"/>
        <w:rPr>
          <w:rFonts w:ascii="Arial;Helvetica;sans-serif" w:hAnsi="Arial;Helvetica;sans-serif"/>
          <w:b/>
          <w:i w:val="false"/>
          <w:caps w:val="false"/>
          <w:smallCaps w:val="false"/>
          <w:color w:val="7F7F7F"/>
          <w:sz w:val="30"/>
        </w:rPr>
      </w:pPr>
      <w:r>
        <w:rPr>
          <w:rFonts w:ascii="Arial;Helvetica;sans-serif" w:hAnsi="Arial;Helvetica;sans-serif"/>
          <w:b/>
          <w:i w:val="false"/>
          <w:caps w:val="false"/>
          <w:smallCaps w:val="false"/>
          <w:color w:val="7F7F7F"/>
          <w:spacing w:val="-1"/>
          <w:sz w:val="30"/>
        </w:rPr>
        <w:t>Financial and Operational Highlights*</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delivered outstanding full-year results in 2025, as the Company transforms into a diversified holding company following Pershing Square’s $900 million investment in HHH in May 2025. We expect to build upon HHH’s highly successful cash-generative real estate platform to acquire controlling stakes in high-quality, durable growth public and private operating companies while continuing to invest in and grow our core real estate development and MPC business. We believe the recently completed acquisition of Vantage to be a key step in this effort and will help establish a foundation for compounding long-term shareholder value.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decisions made for 2025, which are reflected in the compensation tables set forth below, were based in many respects on the Company’s 2025 achievements, many of which are highlighted below. We anticipate that our compensation programs going forward will evolve to reflect these changes, the first of which will be to base our NEOs’ long-term incentive awards primarily on performance metrics such as total stockholder return beginning in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Full-Year Company Highlights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236"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Net income from continuing operations of $123.8 million, or $2.21 per diluted share, in 2025, compared to $285.2 million, or $5.73 per diluted share, in 2024.</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49860" distB="0" distL="254000" distR="0" simplePos="0" locked="0" layoutInCell="1" allowOverlap="1" relativeHeight="445">
                <wp:simplePos x="0" y="0"/>
                <wp:positionH relativeFrom="column">
                  <wp:align>left</wp:align>
                </wp:positionH>
                <wp:positionV relativeFrom="line">
                  <wp:align>top</wp:align>
                </wp:positionV>
                <wp:extent cx="228600" cy="350520"/>
                <wp:effectExtent l="0" t="0" r="0" b="0"/>
                <wp:wrapSquare wrapText="right"/>
                <wp:docPr id="448" name="Frame32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Announced an agreement to acquire 100% of Vantage, a privately held leading specialty insurance and reinsurance company, for approximately $2.1 billion, marking a significant step in transforming the Company into a diversified holding company.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49860" distB="0" distL="254000" distR="0" simplePos="0" locked="0" layoutInCell="1" allowOverlap="1" relativeHeight="446">
                <wp:simplePos x="0" y="0"/>
                <wp:positionH relativeFrom="column">
                  <wp:align>left</wp:align>
                </wp:positionH>
                <wp:positionV relativeFrom="line">
                  <wp:align>top</wp:align>
                </wp:positionV>
                <wp:extent cx="228600" cy="350520"/>
                <wp:effectExtent l="0" t="0" r="0" b="0"/>
                <wp:wrapSquare wrapText="right"/>
                <wp:docPr id="449" name="Frame33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Adjusted Operating Cash Flow of $446 million, or $7.97 per diluted share, compared to $535 million, or $10.71 per diluted share, in the prior-year period.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49860" distB="0" distL="254000" distR="0" simplePos="0" locked="0" layoutInCell="1" allowOverlap="1" relativeHeight="447">
                <wp:simplePos x="0" y="0"/>
                <wp:positionH relativeFrom="column">
                  <wp:align>left</wp:align>
                </wp:positionH>
                <wp:positionV relativeFrom="line">
                  <wp:align>top</wp:align>
                </wp:positionV>
                <wp:extent cx="228600" cy="350520"/>
                <wp:effectExtent l="0" t="0" r="0" b="0"/>
                <wp:wrapSquare wrapText="right"/>
                <wp:docPr id="450" name="Frame33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Contracted $1.6 billion of future condo revenue, primarily through the pre-sale of 220 condominium units at Melia and ‘Ilima – the 12th and 13th condominium developments at Ward Village</w:t>
      </w:r>
      <w:r>
        <w:rPr>
          <w:rFonts w:ascii="Arial;Helvetica;sans-serif" w:hAnsi="Arial;Helvetica;sans-serif"/>
          <w:b w:val="false"/>
          <w:i w:val="false"/>
          <w:caps w:val="false"/>
          <w:smallCaps w:val="false"/>
          <w:color w:val="000000"/>
          <w:spacing w:val="-1"/>
          <w:sz w:val="15"/>
        </w:rPr>
        <w:t>®</w:t>
      </w:r>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49860" distB="0" distL="254000" distR="0" simplePos="0" locked="0" layoutInCell="1" allowOverlap="1" relativeHeight="448">
                <wp:simplePos x="0" y="0"/>
                <wp:positionH relativeFrom="column">
                  <wp:align>left</wp:align>
                </wp:positionH>
                <wp:positionV relativeFrom="line">
                  <wp:align>top</wp:align>
                </wp:positionV>
                <wp:extent cx="228600" cy="350520"/>
                <wp:effectExtent l="0" t="0" r="0" b="0"/>
                <wp:wrapSquare wrapText="right"/>
                <wp:docPr id="451" name="Frame33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Generated MPC EBT of $476 million, driven by the sale of 621 residential acres at an average price of $890,000 per acre.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49860" distB="0" distL="254000" distR="0" simplePos="0" locked="0" layoutInCell="1" allowOverlap="1" relativeHeight="449">
                <wp:simplePos x="0" y="0"/>
                <wp:positionH relativeFrom="column">
                  <wp:align>left</wp:align>
                </wp:positionH>
                <wp:positionV relativeFrom="line">
                  <wp:align>top</wp:align>
                </wp:positionV>
                <wp:extent cx="228600" cy="350520"/>
                <wp:effectExtent l="0" t="0" r="0" b="0"/>
                <wp:wrapSquare wrapText="right"/>
                <wp:docPr id="452" name="Frame33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Total Operating Assets Net Operating Income (NOI) increased 8% year-over-year to $276 million, led by robust office and multifamily results.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49860" distB="0" distL="254000" distR="0" simplePos="0" locked="0" layoutInCell="1" allowOverlap="1" relativeHeight="450">
                <wp:simplePos x="0" y="0"/>
                <wp:positionH relativeFrom="column">
                  <wp:align>left</wp:align>
                </wp:positionH>
                <wp:positionV relativeFrom="line">
                  <wp:align>top</wp:align>
                </wp:positionV>
                <wp:extent cx="228600" cy="350520"/>
                <wp:effectExtent l="0" t="0" r="0" b="0"/>
                <wp:wrapSquare wrapText="right"/>
                <wp:docPr id="453" name="Frame33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Strong liquidity position with $1.5 billion in cash and cash equivalents and $1.2 billion of undrawn lender commitments available to be drawn for property development.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49860" distB="0" distL="254000" distR="0" simplePos="0" locked="0" layoutInCell="1" allowOverlap="1" relativeHeight="451">
                <wp:simplePos x="0" y="0"/>
                <wp:positionH relativeFrom="column">
                  <wp:align>left</wp:align>
                </wp:positionH>
                <wp:positionV relativeFrom="line">
                  <wp:align>top</wp:align>
                </wp:positionV>
                <wp:extent cx="228600" cy="350520"/>
                <wp:effectExtent l="0" t="0" r="0" b="0"/>
                <wp:wrapSquare wrapText="right"/>
                <wp:docPr id="454" name="Frame33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Operating Assets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236"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Total Operating Assets NOI, including the contribution from unconsolidated ventures, was $276.3 million – a new full-year record representing a $19.3 million, or 8%, year-over-year increase.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49860" distB="0" distL="254000" distR="0" simplePos="0" locked="0" layoutInCell="1" allowOverlap="1" relativeHeight="452">
                <wp:simplePos x="0" y="0"/>
                <wp:positionH relativeFrom="column">
                  <wp:align>left</wp:align>
                </wp:positionH>
                <wp:positionV relativeFrom="line">
                  <wp:align>top</wp:align>
                </wp:positionV>
                <wp:extent cx="228600" cy="350520"/>
                <wp:effectExtent l="0" t="0" r="0" b="0"/>
                <wp:wrapSquare wrapText="right"/>
                <wp:docPr id="455" name="Frame33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Office delivered record NOI in 2025, increasing 11% year-over-year, primarily due to strong lease-up activity and abatement expirations in The Woodlands, Merriweather District, and Summerlin. In 2025, the Company executed 484,000 square feet of new or expanded office leases including 334,000 square feet in The Woodlands, 88,000 square feet in Merriweather District, and 62,000 square feet in Summerlin.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49860" distB="0" distL="254000" distR="0" simplePos="0" locked="0" layoutInCell="1" allowOverlap="1" relativeHeight="453">
                <wp:simplePos x="0" y="0"/>
                <wp:positionH relativeFrom="column">
                  <wp:align>left</wp:align>
                </wp:positionH>
                <wp:positionV relativeFrom="line">
                  <wp:align>top</wp:align>
                </wp:positionV>
                <wp:extent cx="228600" cy="350520"/>
                <wp:effectExtent l="0" t="0" r="0" b="0"/>
                <wp:wrapSquare wrapText="right"/>
                <wp:docPr id="456" name="Frame33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Multifamily contributed record NOI and increased 7% year-over-year, predominantly due to strong lease-up across our stabilized portfolio, including Tanager Echo in Summerlin, Wingspan in Bridgeland, and Marlow at Merriweather District.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49860" distB="0" distL="254000" distR="0" simplePos="0" locked="0" layoutInCell="1" allowOverlap="1" relativeHeight="454">
                <wp:simplePos x="0" y="0"/>
                <wp:positionH relativeFrom="column">
                  <wp:align>left</wp:align>
                </wp:positionH>
                <wp:positionV relativeFrom="line">
                  <wp:align>top</wp:align>
                </wp:positionV>
                <wp:extent cx="228600" cy="350520"/>
                <wp:effectExtent l="0" t="0" r="0" b="0"/>
                <wp:wrapSquare wrapText="right"/>
                <wp:docPr id="457" name="Frame33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Retail NOI increased 2% year-over-year, primarily due to higher achieved rents at Downtown Summerlin and continued lease up of newly delivered assets, most notably the Whole Foods-anchored retail center in Summerlin and Village Green at Bridgeland Central</w:t>
      </w:r>
      <w:r>
        <w:rPr>
          <w:rFonts w:ascii="Arial;Helvetica;sans-serif" w:hAnsi="Arial;Helvetica;sans-serif"/>
          <w:b w:val="false"/>
          <w:i w:val="false"/>
          <w:caps w:val="false"/>
          <w:smallCaps w:val="false"/>
          <w:color w:val="000000"/>
          <w:spacing w:val="-1"/>
          <w:sz w:val="15"/>
        </w:rPr>
        <w:t>®</w:t>
      </w:r>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49860" distB="0" distL="254000" distR="0" simplePos="0" locked="0" layoutInCell="1" allowOverlap="1" relativeHeight="455">
                <wp:simplePos x="0" y="0"/>
                <wp:positionH relativeFrom="column">
                  <wp:align>left</wp:align>
                </wp:positionH>
                <wp:positionV relativeFrom="line">
                  <wp:align>top</wp:align>
                </wp:positionV>
                <wp:extent cx="228600" cy="350520"/>
                <wp:effectExtent l="0" t="0" r="0" b="0"/>
                <wp:wrapSquare wrapText="right"/>
                <wp:docPr id="458" name="Frame33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54 \ 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Compensation Discussion and Analysis</w:t>
      </w:r>
      <w:r>
        <w:rPr>
          <w:rFonts w:ascii="Arial;Helvetica;sans-serif" w:hAnsi="Arial;Helvetica;sans-serif"/>
          <w:b/>
          <w:i w:val="false"/>
          <w:caps w:val="false"/>
          <w:smallCaps w:val="false"/>
          <w:color w:val="7F7F7F"/>
          <w:sz w:val="22"/>
        </w:rPr>
        <w:t>​</w:t>
      </w:r>
    </w:p>
    <w:p>
      <w:pPr>
        <w:pStyle w:val="TextBody"/>
        <w:bidi w:val="0"/>
        <w:spacing w:lineRule="atLeast" w:line="240" w:before="120" w:after="283"/>
        <w:ind w:left="901"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MPC</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240"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MPC EBT reached an all-time high of $476.1 million, increasing 36% compared to $349.1 million in the prior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456">
                <wp:simplePos x="0" y="0"/>
                <wp:positionH relativeFrom="column">
                  <wp:align>left</wp:align>
                </wp:positionH>
                <wp:positionV relativeFrom="line">
                  <wp:align>top</wp:align>
                </wp:positionV>
                <wp:extent cx="228600" cy="350520"/>
                <wp:effectExtent l="0" t="0" r="0" b="0"/>
                <wp:wrapSquare wrapText="right"/>
                <wp:docPr id="459" name="Frame34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Residential land sales totaled 621 acres in 2025, compared to 445 acres in the prior year, including 415 acres sold in Summerlin</w:t>
      </w:r>
      <w:r>
        <w:rPr>
          <w:rFonts w:ascii="Arial;Helvetica;sans-serif" w:hAnsi="Arial;Helvetica;sans-serif"/>
          <w:b w:val="false"/>
          <w:i w:val="false"/>
          <w:caps w:val="false"/>
          <w:smallCaps w:val="false"/>
          <w:color w:val="000000"/>
          <w:spacing w:val="-1"/>
          <w:sz w:val="15"/>
        </w:rPr>
        <w:t>®</w:t>
      </w:r>
      <w:r>
        <w:rPr>
          <w:rFonts w:ascii="Arial;Helvetica;sans-serif" w:hAnsi="Arial;Helvetica;sans-serif"/>
          <w:b w:val="false"/>
          <w:i w:val="false"/>
          <w:caps w:val="false"/>
          <w:smallCaps w:val="false"/>
          <w:color w:val="000000"/>
          <w:spacing w:val="-2"/>
          <w:sz w:val="20"/>
        </w:rPr>
        <w:t>, 177 acres sold in Bridgeland</w:t>
      </w:r>
      <w:r>
        <w:rPr>
          <w:rFonts w:ascii="Arial;Helvetica;sans-serif" w:hAnsi="Arial;Helvetica;sans-serif"/>
          <w:b w:val="false"/>
          <w:i w:val="false"/>
          <w:caps w:val="false"/>
          <w:smallCaps w:val="false"/>
          <w:color w:val="000000"/>
          <w:spacing w:val="-1"/>
          <w:sz w:val="15"/>
        </w:rPr>
        <w:t>®</w:t>
      </w:r>
      <w:r>
        <w:rPr>
          <w:rFonts w:ascii="Arial;Helvetica;sans-serif" w:hAnsi="Arial;Helvetica;sans-serif"/>
          <w:b w:val="false"/>
          <w:i w:val="false"/>
          <w:caps w:val="false"/>
          <w:smallCaps w:val="false"/>
          <w:color w:val="000000"/>
          <w:spacing w:val="-2"/>
          <w:sz w:val="20"/>
        </w:rPr>
        <w:t>, and 28 acres sold in The Woodlands Hills</w:t>
      </w:r>
      <w:r>
        <w:rPr>
          <w:rFonts w:ascii="Arial;Helvetica;sans-serif" w:hAnsi="Arial;Helvetica;sans-serif"/>
          <w:b w:val="false"/>
          <w:i w:val="false"/>
          <w:caps w:val="false"/>
          <w:smallCaps w:val="false"/>
          <w:color w:val="000000"/>
          <w:spacing w:val="-1"/>
          <w:sz w:val="15"/>
        </w:rPr>
        <w:t>®</w:t>
      </w:r>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457">
                <wp:simplePos x="0" y="0"/>
                <wp:positionH relativeFrom="column">
                  <wp:align>left</wp:align>
                </wp:positionH>
                <wp:positionV relativeFrom="line">
                  <wp:align>top</wp:align>
                </wp:positionV>
                <wp:extent cx="228600" cy="350520"/>
                <wp:effectExtent l="0" t="0" r="0" b="0"/>
                <wp:wrapSquare wrapText="right"/>
                <wp:docPr id="460" name="Frame34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Summerlin, land sales included a bulk sale of 231 acres at an average price of $434,000 per acre. Excluding the bulk sale, residential land sales included seven superpad sales totaling 181 acres at a record price of approximately $1.7 million per acre and three custom lots at an average price of approximately $7.6 million per acre.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458">
                <wp:simplePos x="0" y="0"/>
                <wp:positionH relativeFrom="column">
                  <wp:align>left</wp:align>
                </wp:positionH>
                <wp:positionV relativeFrom="line">
                  <wp:align>top</wp:align>
                </wp:positionV>
                <wp:extent cx="228600" cy="350520"/>
                <wp:effectExtent l="0" t="0" r="0" b="0"/>
                <wp:wrapSquare wrapText="right"/>
                <wp:docPr id="461" name="Frame34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New homes sold across our communities totaled 1,936 units in 2025, with Summerlin and Bridgeland ranking #10 and #11, respectively, in RCLCO’s annual list of top-selling master planned communities.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459">
                <wp:simplePos x="0" y="0"/>
                <wp:positionH relativeFrom="column">
                  <wp:align>left</wp:align>
                </wp:positionH>
                <wp:positionV relativeFrom="line">
                  <wp:align>top</wp:align>
                </wp:positionV>
                <wp:extent cx="228600" cy="350520"/>
                <wp:effectExtent l="0" t="0" r="0" b="0"/>
                <wp:wrapSquare wrapText="right"/>
                <wp:docPr id="462" name="Frame34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Strategic Developments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240"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Hawai‘i, the Company contracted to sell 287 condominium units representing approximately $1.6 billion in future revenue. The majority of these pre-sales occurred at Melia and ‘Ilima, which contracted 220 units during the year, and at The Launiu, which contracted 63 units. At year end, the predevelopment condominiums of Melia and ‘Ilima were 60% pre-sold, and The Launiu was 71% pre-sold. Additionally, the condominiums under construction include The Park Ward Village</w:t>
      </w:r>
      <w:r>
        <w:rPr>
          <w:rFonts w:ascii="Arial;Helvetica;sans-serif" w:hAnsi="Arial;Helvetica;sans-serif"/>
          <w:b w:val="false"/>
          <w:i w:val="false"/>
          <w:caps w:val="false"/>
          <w:smallCaps w:val="false"/>
          <w:color w:val="000000"/>
          <w:spacing w:val="-1"/>
          <w:sz w:val="15"/>
        </w:rPr>
        <w:t>®</w:t>
      </w:r>
      <w:r>
        <w:rPr>
          <w:rFonts w:ascii="Arial;Helvetica;sans-serif" w:hAnsi="Arial;Helvetica;sans-serif"/>
          <w:b w:val="false"/>
          <w:i w:val="false"/>
          <w:caps w:val="false"/>
          <w:smallCaps w:val="false"/>
          <w:color w:val="000000"/>
          <w:spacing w:val="-2"/>
          <w:sz w:val="20"/>
        </w:rPr>
        <w:t xml:space="preserve"> at 97% pre-sold, and Kalae</w:t>
      </w:r>
      <w:r>
        <w:rPr>
          <w:rFonts w:ascii="Arial;Helvetica;sans-serif" w:hAnsi="Arial;Helvetica;sans-serif"/>
          <w:b w:val="false"/>
          <w:i w:val="false"/>
          <w:caps w:val="false"/>
          <w:smallCaps w:val="false"/>
          <w:color w:val="000000"/>
          <w:spacing w:val="-1"/>
          <w:sz w:val="15"/>
        </w:rPr>
        <w:t>®</w:t>
      </w:r>
      <w:r>
        <w:rPr>
          <w:rFonts w:ascii="Arial;Helvetica;sans-serif" w:hAnsi="Arial;Helvetica;sans-serif"/>
          <w:b w:val="false"/>
          <w:i w:val="false"/>
          <w:caps w:val="false"/>
          <w:smallCaps w:val="false"/>
          <w:color w:val="000000"/>
          <w:spacing w:val="-2"/>
          <w:sz w:val="20"/>
        </w:rPr>
        <w:t xml:space="preserve"> at 93% pre-sold.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460">
                <wp:simplePos x="0" y="0"/>
                <wp:positionH relativeFrom="column">
                  <wp:align>left</wp:align>
                </wp:positionH>
                <wp:positionV relativeFrom="line">
                  <wp:align>top</wp:align>
                </wp:positionV>
                <wp:extent cx="228600" cy="350520"/>
                <wp:effectExtent l="0" t="0" r="0" b="0"/>
                <wp:wrapSquare wrapText="right"/>
                <wp:docPr id="463" name="Frame34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Texas, the Company pre-sold six additional units at The Ritz-Carlton Residences, The Woodlands, representing approximately $43.3 million in future condo revenue, bringing the development project to 76% pre-sold at year end. The units remaining are being selectively held off the market in an effort to capture incremental value when the project nears completion.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461">
                <wp:simplePos x="0" y="0"/>
                <wp:positionH relativeFrom="column">
                  <wp:align>left</wp:align>
                </wp:positionH>
                <wp:positionV relativeFrom="line">
                  <wp:align>top</wp:align>
                </wp:positionV>
                <wp:extent cx="228600" cy="350520"/>
                <wp:effectExtent l="0" t="0" r="0" b="0"/>
                <wp:wrapSquare wrapText="right"/>
                <wp:docPr id="464" name="Frame34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broke ground on Memorial Hermann Medical Office, a 51,000-square-foot, build-to-suit facility in Bridgeland, representing the first phase of approximately one million square feet of planned medical facilities within the master planned community.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462">
                <wp:simplePos x="0" y="0"/>
                <wp:positionH relativeFrom="column">
                  <wp:align>left</wp:align>
                </wp:positionH>
                <wp:positionV relativeFrom="line">
                  <wp:align>top</wp:align>
                </wp:positionV>
                <wp:extent cx="228600" cy="350520"/>
                <wp:effectExtent l="0" t="0" r="0" b="0"/>
                <wp:wrapSquare wrapText="right"/>
                <wp:docPr id="465" name="Frame34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Financing Activity</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240"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Extended the Tanager Echo construction loan to an initial maturity in December 2031, with proceeds from refinancing of $10.6 million. The loan extension will bear interest at 5.23% compared to the previous rate of SOFR + 2.94%.</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463">
                <wp:simplePos x="0" y="0"/>
                <wp:positionH relativeFrom="column">
                  <wp:align>left</wp:align>
                </wp:positionH>
                <wp:positionV relativeFrom="line">
                  <wp:align>top</wp:align>
                </wp:positionV>
                <wp:extent cx="228600" cy="350520"/>
                <wp:effectExtent l="0" t="0" r="0" b="0"/>
                <wp:wrapSquare wrapText="right"/>
                <wp:docPr id="466" name="Frame34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Extended the Merriweather Row loan through a renewal, extension, and modification agreement to an initial maturity in December 2028. The transaction included a $13.4 million paydown of the outstanding loan balance and resulted in the One Mall North property being unencumbered from the financing.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464">
                <wp:simplePos x="0" y="0"/>
                <wp:positionH relativeFrom="column">
                  <wp:align>left</wp:align>
                </wp:positionH>
                <wp:positionV relativeFrom="line">
                  <wp:align>top</wp:align>
                </wp:positionV>
                <wp:extent cx="228600" cy="350520"/>
                <wp:effectExtent l="0" t="0" r="0" b="0"/>
                <wp:wrapSquare wrapText="right"/>
                <wp:docPr id="467" name="Frame34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Subsequent to the quarter, 10285 Lakefront Medical Office exercised the first extension option to extend its maturity from March 2026 to March 2027.</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465">
                <wp:simplePos x="0" y="0"/>
                <wp:positionH relativeFrom="column">
                  <wp:align>left</wp:align>
                </wp:positionH>
                <wp:positionV relativeFrom="line">
                  <wp:align>top</wp:align>
                </wp:positionV>
                <wp:extent cx="228600" cy="350520"/>
                <wp:effectExtent l="0" t="0" r="0" b="0"/>
                <wp:wrapSquare wrapText="right"/>
                <wp:docPr id="468" name="Frame34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Subsequent to year end, on February 17, 2026, Howard Hughes Corporation (HHC), the Company’s wholly owned subsidiary, issued $500.0 million of 5.875% senior unsecured notes due 2032 and $500.0 million of 6.125% senior unsecured notes due 2034. HHC used the net proceeds to redeem its outstanding $750.0 million 5.375% senior unsecured notes due 2028, including premiums, accrued and unpaid interest and related expenses, and will use the remaining proceeds for general corporate purposes.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466">
                <wp:simplePos x="0" y="0"/>
                <wp:positionH relativeFrom="column">
                  <wp:align>left</wp:align>
                </wp:positionH>
                <wp:positionV relativeFrom="line">
                  <wp:align>top</wp:align>
                </wp:positionV>
                <wp:extent cx="228600" cy="350520"/>
                <wp:effectExtent l="0" t="0" r="0" b="0"/>
                <wp:wrapSquare wrapText="right"/>
                <wp:docPr id="469" name="Frame35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301" w:right="0" w:hanging="0"/>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Adjusted Operating Cash Flow, MPC EBT, and the NOI measures described above are Non-GAAP measures. See Annex A for reconciliations of Non-GAAP measures. </w:t>
      </w:r>
      <w:r>
        <mc:AlternateContent>
          <mc:Choice Requires="wps">
            <w:drawing>
              <wp:anchor behindDoc="0" distT="101600" distB="0" distL="0" distR="0" simplePos="0" locked="0" layoutInCell="1" allowOverlap="1" relativeHeight="467">
                <wp:simplePos x="0" y="0"/>
                <wp:positionH relativeFrom="column">
                  <wp:align>left</wp:align>
                </wp:positionH>
                <wp:positionV relativeFrom="line">
                  <wp:align>top</wp:align>
                </wp:positionV>
                <wp:extent cx="254000" cy="350520"/>
                <wp:effectExtent l="0" t="0" r="0" b="0"/>
                <wp:wrapSquare wrapText="right"/>
                <wp:docPr id="470" name="Frame3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/ 55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2CH"/>
      <w:bookmarkEnd w:id="59"/>
      <w:r>
        <w:rPr>
          <w:rFonts w:ascii="calibri;arial;sans-serif" w:hAnsi="calibri;arial;sans-serif"/>
          <w:b w:val="false"/>
          <w:i w:val="false"/>
          <w:caps w:val="false"/>
          <w:smallCaps w:val="false"/>
          <w:color w:val="000000"/>
          <w:sz w:val="16"/>
        </w:rPr>
        <w:t>​</w:t>
      </w:r>
      <w:bookmarkStart w:id="60" w:name="tCAGB"/>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Compensation Discussion and Analysis</w:t>
      </w:r>
      <w:r>
        <w:rPr>
          <w:rFonts w:ascii="Arial;Helvetica;sans-serif" w:hAnsi="Arial;Helvetica;sans-serif"/>
          <w:b/>
          <w:i w:val="false"/>
          <w:caps w:val="false"/>
          <w:smallCaps w:val="false"/>
          <w:color w:val="7F7F7F"/>
          <w:spacing w:val="-3"/>
          <w:sz w:val="22"/>
        </w:rPr>
        <w:t xml:space="preserve"> </w:t>
      </w:r>
    </w:p>
    <w:p>
      <w:pPr>
        <w:pStyle w:val="TextBody"/>
        <w:bidi w:val="0"/>
        <w:spacing w:lineRule="atLeast" w:line="340" w:before="120" w:after="283"/>
        <w:ind w:left="901" w:right="0" w:hanging="0"/>
        <w:jc w:val="left"/>
        <w:rPr>
          <w:rFonts w:ascii="Arial;Helvetica;sans-serif" w:hAnsi="Arial;Helvetica;sans-serif"/>
          <w:b/>
          <w:i w:val="false"/>
          <w:caps w:val="false"/>
          <w:smallCaps w:val="false"/>
          <w:color w:val="7F7F7F"/>
          <w:sz w:val="30"/>
        </w:rPr>
      </w:pPr>
      <w:r>
        <w:rPr>
          <w:rFonts w:ascii="Arial;Helvetica;sans-serif" w:hAnsi="Arial;Helvetica;sans-serif"/>
          <w:b/>
          <w:i w:val="false"/>
          <w:caps w:val="false"/>
          <w:smallCaps w:val="false"/>
          <w:color w:val="7F7F7F"/>
          <w:spacing w:val="-1"/>
          <w:sz w:val="30"/>
        </w:rPr>
        <w:t>2025 Compensation Highlights</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50" w:before="8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Our 2025 financial performance, along with the individual performance of our NEOs, served as key factors in determining compensation for 2025 and in executing on other compensation practice initiatives, including as follows: </w:t>
      </w:r>
    </w:p>
    <w:tbl>
      <w:tblPr>
        <w:tblW w:w="9304" w:type="dxa"/>
        <w:jc w:val="left"/>
        <w:tblInd w:w="901" w:type="dxa"/>
        <w:tblLayout w:type="fixed"/>
        <w:tblCellMar>
          <w:top w:w="0" w:type="dxa"/>
          <w:left w:w="0" w:type="dxa"/>
          <w:bottom w:w="0" w:type="dxa"/>
          <w:right w:w="0" w:type="dxa"/>
        </w:tblCellMar>
      </w:tblPr>
      <w:tblGrid>
        <w:gridCol w:w="124"/>
        <w:gridCol w:w="4800"/>
        <w:gridCol w:w="109"/>
        <w:gridCol w:w="109"/>
        <w:gridCol w:w="4007"/>
        <w:gridCol w:w="155"/>
      </w:tblGrid>
      <w:tr>
        <w:trPr/>
        <w:tc>
          <w:tcPr>
            <w:tcW w:w="124" w:type="dxa"/>
            <w:tcBorders/>
            <w:shd w:fill="BAD8EA" w:val="clear"/>
            <w:vAlign w:val="center"/>
          </w:tcPr>
          <w:p>
            <w:pPr>
              <w:pStyle w:val="TableContents"/>
              <w:bidi w:val="0"/>
              <w:spacing w:before="0" w:after="283"/>
              <w:jc w:val="left"/>
              <w:rPr/>
            </w:pPr>
            <w:r>
              <w:rPr/>
              <w:t>​</w:t>
            </w:r>
          </w:p>
        </w:tc>
        <w:tc>
          <w:tcPr>
            <w:tcW w:w="4800" w:type="dxa"/>
            <w:tcBorders/>
            <w:shd w:fill="BAD8EA" w:val="clear"/>
            <w:vAlign w:val="center"/>
          </w:tcPr>
          <w:p>
            <w:pPr>
              <w:pStyle w:val="TableContents"/>
              <w:bidi w:val="0"/>
              <w:spacing w:before="0" w:after="0"/>
              <w:jc w:val="center"/>
              <w:rPr>
                <w:spacing w:val="0"/>
              </w:rPr>
            </w:pPr>
            <w:r>
              <w:rPr>
                <w:spacing w:val="0"/>
              </w:rPr>
              <w:t xml:space="preserve">Compensation Practice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4007" w:type="dxa"/>
            <w:tcBorders/>
            <w:shd w:fill="BAD8EA" w:val="clear"/>
            <w:vAlign w:val="center"/>
          </w:tcPr>
          <w:p>
            <w:pPr>
              <w:pStyle w:val="TableContents"/>
              <w:bidi w:val="0"/>
              <w:spacing w:before="0" w:after="0"/>
              <w:jc w:val="center"/>
              <w:rPr>
                <w:spacing w:val="0"/>
              </w:rPr>
            </w:pPr>
            <w:r>
              <w:rPr>
                <w:spacing w:val="0"/>
              </w:rPr>
              <w:t xml:space="preserve">Rationale for Practice </w:t>
            </w:r>
          </w:p>
        </w:tc>
        <w:tc>
          <w:tcPr>
            <w:tcW w:w="155" w:type="dxa"/>
            <w:tcBorders/>
            <w:shd w:fill="BAD8E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00" w:type="dxa"/>
            <w:tcBorders/>
            <w:vAlign w:val="center"/>
          </w:tcPr>
          <w:p>
            <w:pPr>
              <w:pStyle w:val="TableContents"/>
              <w:bidi w:val="0"/>
              <w:spacing w:lineRule="atLeast" w:line="220" w:before="0" w:after="0"/>
              <w:ind w:left="360" w:right="0" w:hanging="0"/>
              <w:jc w:val="both"/>
              <w:rPr>
                <w:spacing w:val="-2"/>
              </w:rPr>
            </w:pPr>
            <w:r>
              <w:rPr>
                <w:spacing w:val="-2"/>
              </w:rPr>
              <w:t xml:space="preserve">We generally make annual long-term equity incentive awards, 50% of which are performance-based. Beginning in 2026, 80% of awards made to Messrs. O’Reilly, Olea, Valane, and Davis will be performance-based. </w:t>
            </w:r>
            <w:r>
              <mc:AlternateContent>
                <mc:Choice Requires="wps">
                  <w:drawing>
                    <wp:anchor behindDoc="0" distT="0" distB="0" distL="0" distR="0" simplePos="0" locked="0" layoutInCell="1" allowOverlap="1" relativeHeight="468">
                      <wp:simplePos x="0" y="0"/>
                      <wp:positionH relativeFrom="column">
                        <wp:align>left</wp:align>
                      </wp:positionH>
                      <wp:positionV relativeFrom="line">
                        <wp:posOffset>635</wp:posOffset>
                      </wp:positionV>
                      <wp:extent cx="228600" cy="350520"/>
                      <wp:effectExtent l="0" t="0" r="0" b="0"/>
                      <wp:wrapSquare wrapText="right"/>
                      <wp:docPr id="471" name="Frame35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07" w:type="dxa"/>
            <w:tcBorders/>
            <w:vAlign w:val="center"/>
          </w:tcPr>
          <w:p>
            <w:pPr>
              <w:pStyle w:val="TableContents"/>
              <w:bidi w:val="0"/>
              <w:spacing w:lineRule="atLeast" w:line="220" w:before="0" w:after="0"/>
              <w:ind w:left="360" w:right="0" w:hanging="0"/>
              <w:jc w:val="both"/>
              <w:rPr>
                <w:spacing w:val="-2"/>
              </w:rPr>
            </w:pPr>
            <w:r>
              <w:rPr>
                <w:spacing w:val="-2"/>
              </w:rPr>
              <w:t xml:space="preserve">We tie a significant portion of compensation to long-term performance. </w:t>
            </w:r>
            <w:r>
              <mc:AlternateContent>
                <mc:Choice Requires="wps">
                  <w:drawing>
                    <wp:anchor behindDoc="0" distT="0" distB="0" distL="0" distR="0" simplePos="0" locked="0" layoutInCell="1" allowOverlap="1" relativeHeight="469">
                      <wp:simplePos x="0" y="0"/>
                      <wp:positionH relativeFrom="column">
                        <wp:align>left</wp:align>
                      </wp:positionH>
                      <wp:positionV relativeFrom="line">
                        <wp:posOffset>635</wp:posOffset>
                      </wp:positionV>
                      <wp:extent cx="228600" cy="350520"/>
                      <wp:effectExtent l="0" t="0" r="0" b="0"/>
                      <wp:wrapSquare wrapText="right"/>
                      <wp:docPr id="472" name="Frame35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8" w:space="0" w:color="7F7F7F"/>
            </w:tcBorders>
            <w:tcMar>
              <w:bottom w:w="28" w:type="dxa"/>
            </w:tcMar>
            <w:vAlign w:val="center"/>
          </w:tcPr>
          <w:p>
            <w:pPr>
              <w:pStyle w:val="TableContents"/>
              <w:bidi w:val="0"/>
              <w:spacing w:before="0" w:after="283"/>
              <w:jc w:val="left"/>
              <w:rPr/>
            </w:pPr>
            <w:r>
              <w:rPr/>
              <w:t>​</w:t>
            </w:r>
          </w:p>
        </w:tc>
        <w:tc>
          <w:tcPr>
            <w:tcW w:w="4800" w:type="dxa"/>
            <w:tcBorders>
              <w:bottom w:val="single" w:sz="8" w:space="0" w:color="7F7F7F"/>
            </w:tcBorders>
            <w:tcMar>
              <w:bottom w:w="40" w:type="dxa"/>
            </w:tcMar>
            <w:vAlign w:val="center"/>
          </w:tcPr>
          <w:p>
            <w:pPr>
              <w:pStyle w:val="TableContents"/>
              <w:bidi w:val="0"/>
              <w:spacing w:lineRule="atLeast" w:line="220" w:before="0" w:after="0"/>
              <w:ind w:left="360" w:right="0" w:hanging="0"/>
              <w:jc w:val="both"/>
              <w:rPr>
                <w:spacing w:val="-2"/>
              </w:rPr>
            </w:pPr>
            <w:r>
              <w:rPr>
                <w:spacing w:val="-2"/>
              </w:rPr>
              <w:t xml:space="preserve">Majority of annual compensation for our NEOs is tied to incentive compensation. </w:t>
            </w:r>
            <w:r>
              <mc:AlternateContent>
                <mc:Choice Requires="wps">
                  <w:drawing>
                    <wp:anchor behindDoc="0" distT="0" distB="0" distL="0" distR="0" simplePos="0" locked="0" layoutInCell="1" allowOverlap="1" relativeHeight="470">
                      <wp:simplePos x="0" y="0"/>
                      <wp:positionH relativeFrom="column">
                        <wp:align>left</wp:align>
                      </wp:positionH>
                      <wp:positionV relativeFrom="line">
                        <wp:posOffset>635</wp:posOffset>
                      </wp:positionV>
                      <wp:extent cx="228600" cy="350520"/>
                      <wp:effectExtent l="0" t="0" r="0" b="0"/>
                      <wp:wrapSquare wrapText="right"/>
                      <wp:docPr id="473" name="Frame35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4007" w:type="dxa"/>
            <w:tcBorders>
              <w:bottom w:val="single" w:sz="8" w:space="0" w:color="7F7F7F"/>
            </w:tcBorders>
            <w:tcMar>
              <w:bottom w:w="40" w:type="dxa"/>
            </w:tcMar>
            <w:vAlign w:val="center"/>
          </w:tcPr>
          <w:p>
            <w:pPr>
              <w:pStyle w:val="TableContents"/>
              <w:bidi w:val="0"/>
              <w:spacing w:lineRule="atLeast" w:line="220" w:before="0" w:after="0"/>
              <w:ind w:left="360" w:right="0" w:hanging="0"/>
              <w:jc w:val="both"/>
              <w:rPr/>
            </w:pPr>
            <w:r>
              <w:rPr>
                <w:spacing w:val="-2"/>
              </w:rPr>
              <w:t>Our NEOs have an annual performance-based incentive compensation opportunity that is reviewed each year to ensure alignment with our compensation objectives.</w:t>
            </w:r>
            <w:r>
              <w:rPr/>
              <w:t xml:space="preserve"> </w:t>
            </w:r>
            <w:r>
              <mc:AlternateContent>
                <mc:Choice Requires="wps">
                  <w:drawing>
                    <wp:anchor behindDoc="0" distT="0" distB="0" distL="0" distR="0" simplePos="0" locked="0" layoutInCell="1" allowOverlap="1" relativeHeight="471">
                      <wp:simplePos x="0" y="0"/>
                      <wp:positionH relativeFrom="column">
                        <wp:align>left</wp:align>
                      </wp:positionH>
                      <wp:positionV relativeFrom="line">
                        <wp:posOffset>635</wp:posOffset>
                      </wp:positionV>
                      <wp:extent cx="228600" cy="350520"/>
                      <wp:effectExtent l="0" t="0" r="0" b="0"/>
                      <wp:wrapSquare wrapText="right"/>
                      <wp:docPr id="474" name="Frame35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8" w:space="0" w:color="7F7F7F"/>
            </w:tcBorders>
            <w:tcMar>
              <w:bottom w:w="28" w:type="dxa"/>
            </w:tcMar>
            <w:vAlign w:val="center"/>
          </w:tcPr>
          <w:p>
            <w:pPr>
              <w:pStyle w:val="TableContents"/>
              <w:bidi w:val="0"/>
              <w:spacing w:before="0" w:after="283"/>
              <w:jc w:val="left"/>
              <w:rPr/>
            </w:pPr>
            <w:r>
              <w:rPr/>
              <w:t>​</w:t>
            </w:r>
          </w:p>
        </w:tc>
      </w:tr>
    </w:tbl>
    <w:p>
      <w:pPr>
        <w:pStyle w:val="TextBody"/>
        <w:bidi w:val="0"/>
        <w:spacing w:lineRule="atLeast" w:line="340" w:before="238" w:after="283"/>
        <w:ind w:left="901" w:right="0" w:hanging="0"/>
        <w:jc w:val="left"/>
        <w:rPr>
          <w:rFonts w:ascii="Arial;Helvetica;sans-serif" w:hAnsi="Arial;Helvetica;sans-serif"/>
          <w:b/>
          <w:i w:val="false"/>
          <w:caps w:val="false"/>
          <w:smallCaps w:val="false"/>
          <w:color w:val="7F7F7F"/>
          <w:sz w:val="30"/>
        </w:rPr>
      </w:pPr>
      <w:r>
        <w:rPr>
          <w:rFonts w:ascii="Arial;Helvetica;sans-serif" w:hAnsi="Arial;Helvetica;sans-serif"/>
          <w:b/>
          <w:i w:val="false"/>
          <w:caps w:val="false"/>
          <w:smallCaps w:val="false"/>
          <w:color w:val="7F7F7F"/>
          <w:spacing w:val="-1"/>
          <w:sz w:val="30"/>
        </w:rPr>
        <w:t>Compensation and Governance Best Practices</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4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Committee regularly reviews best practices in governance and executive compensation. The Company’s current best practices and policies include the following:</w:t>
      </w:r>
      <w:r>
        <w:rPr>
          <w:rFonts w:ascii="Arial;Helvetica;sans-serif" w:hAnsi="Arial;Helvetica;sans-serif"/>
          <w:b w:val="false"/>
          <w:i w:val="false"/>
          <w:caps w:val="false"/>
          <w:smallCaps w:val="false"/>
          <w:color w:val="000000"/>
          <w:spacing w:val="4"/>
          <w:sz w:val="20"/>
        </w:rPr>
        <w:t xml:space="preserve"> </w:t>
      </w:r>
    </w:p>
    <w:tbl>
      <w:tblPr>
        <w:tblW w:w="9304" w:type="dxa"/>
        <w:jc w:val="left"/>
        <w:tblInd w:w="901" w:type="dxa"/>
        <w:tblLayout w:type="fixed"/>
        <w:tblCellMar>
          <w:top w:w="0" w:type="dxa"/>
          <w:left w:w="0" w:type="dxa"/>
          <w:bottom w:w="0" w:type="dxa"/>
          <w:right w:w="0" w:type="dxa"/>
        </w:tblCellMar>
      </w:tblPr>
      <w:tblGrid>
        <w:gridCol w:w="124"/>
        <w:gridCol w:w="319"/>
        <w:gridCol w:w="109"/>
        <w:gridCol w:w="109"/>
        <w:gridCol w:w="8488"/>
        <w:gridCol w:w="155"/>
      </w:tblGrid>
      <w:tr>
        <w:trPr/>
        <w:tc>
          <w:tcPr>
            <w:tcW w:w="124" w:type="dxa"/>
            <w:tcBorders/>
            <w:shd w:fill="BAD8EA" w:val="clear"/>
            <w:vAlign w:val="center"/>
          </w:tcPr>
          <w:p>
            <w:pPr>
              <w:pStyle w:val="TableContents"/>
              <w:bidi w:val="0"/>
              <w:spacing w:before="0" w:after="283"/>
              <w:jc w:val="left"/>
              <w:rPr/>
            </w:pPr>
            <w:r>
              <w:rPr/>
              <w:t>​</w:t>
            </w:r>
          </w:p>
        </w:tc>
        <w:tc>
          <w:tcPr>
            <w:tcW w:w="9025" w:type="dxa"/>
            <w:gridSpan w:val="4"/>
            <w:tcBorders/>
            <w:shd w:fill="BAD8EA" w:val="clear"/>
            <w:vAlign w:val="center"/>
          </w:tcPr>
          <w:p>
            <w:pPr>
              <w:pStyle w:val="TableContents"/>
              <w:bidi w:val="0"/>
              <w:spacing w:before="0" w:after="0"/>
              <w:jc w:val="center"/>
              <w:rPr>
                <w:spacing w:val="0"/>
              </w:rPr>
            </w:pPr>
            <w:r>
              <w:rPr>
                <w:spacing w:val="0"/>
              </w:rPr>
              <w:t xml:space="preserve">What We Do </w:t>
            </w:r>
          </w:p>
        </w:tc>
        <w:tc>
          <w:tcPr>
            <w:tcW w:w="155" w:type="dxa"/>
            <w:tcBorders/>
            <w:shd w:fill="BAD8E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9" w:type="dxa"/>
            <w:tcBorders/>
            <w:vAlign w:val="center"/>
          </w:tcPr>
          <w:p>
            <w:pPr>
              <w:pStyle w:val="TableContents"/>
              <w:bidi w:val="0"/>
              <w:spacing w:before="0" w:after="0"/>
              <w:jc w:val="lef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88" w:type="dxa"/>
            <w:tcBorders/>
            <w:vAlign w:val="center"/>
          </w:tcPr>
          <w:p>
            <w:pPr>
              <w:pStyle w:val="TableContents"/>
              <w:bidi w:val="0"/>
              <w:spacing w:lineRule="atLeast" w:line="200" w:before="0" w:after="0"/>
              <w:jc w:val="left"/>
              <w:rPr>
                <w:b/>
              </w:rPr>
            </w:pPr>
            <w:r>
              <w:rPr>
                <w:b/>
                <w:spacing w:val="0"/>
              </w:rPr>
              <w:t>Align Executive Compensation with Company Performance.</w:t>
            </w:r>
            <w:r>
              <w:rPr>
                <w:b/>
              </w:rPr>
              <w:t xml:space="preserve"> </w:t>
            </w:r>
          </w:p>
          <w:p>
            <w:pPr>
              <w:pStyle w:val="TableContents"/>
              <w:bidi w:val="0"/>
              <w:spacing w:lineRule="atLeast" w:line="200" w:before="60" w:after="283"/>
              <w:jc w:val="left"/>
              <w:rPr>
                <w:spacing w:val="-1"/>
              </w:rPr>
            </w:pPr>
            <w:r>
              <w:rPr>
                <w:spacing w:val="-1"/>
              </w:rPr>
              <w:t xml:space="preserve">We tie a majority of executive pay to fully at risk, performance-based cash awards and long-term equity awards.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9" w:type="dxa"/>
            <w:tcBorders/>
            <w:vAlign w:val="center"/>
          </w:tcPr>
          <w:p>
            <w:pPr>
              <w:pStyle w:val="TableContents"/>
              <w:bidi w:val="0"/>
              <w:spacing w:before="0" w:after="0"/>
              <w:jc w:val="lef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88" w:type="dxa"/>
            <w:tcBorders/>
            <w:vAlign w:val="center"/>
          </w:tcPr>
          <w:p>
            <w:pPr>
              <w:pStyle w:val="TableContents"/>
              <w:bidi w:val="0"/>
              <w:spacing w:lineRule="atLeast" w:line="200" w:before="0" w:after="0"/>
              <w:jc w:val="left"/>
              <w:rPr>
                <w:b/>
              </w:rPr>
            </w:pPr>
            <w:r>
              <w:rPr>
                <w:b/>
                <w:spacing w:val="0"/>
              </w:rPr>
              <w:t>Apply Multi-Year Vesting to Equity Incentive Awards.</w:t>
            </w:r>
            <w:r>
              <w:rPr>
                <w:b/>
              </w:rPr>
              <w:t xml:space="preserve"> </w:t>
            </w:r>
          </w:p>
          <w:p>
            <w:pPr>
              <w:pStyle w:val="TableContents"/>
              <w:bidi w:val="0"/>
              <w:spacing w:lineRule="atLeast" w:line="200" w:before="20" w:after="283"/>
              <w:jc w:val="both"/>
              <w:rPr>
                <w:spacing w:val="-1"/>
              </w:rPr>
            </w:pPr>
            <w:r>
              <w:rPr>
                <w:spacing w:val="-1"/>
              </w:rPr>
              <w:t xml:space="preserve">Under our long-term equity incentive program, time-based awards generally vest ratably over three years following the date of grant and performance-based awards generally vest at the end of three years, subject to the satisfaction of performance thresholds.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9" w:type="dxa"/>
            <w:tcBorders/>
            <w:vAlign w:val="center"/>
          </w:tcPr>
          <w:p>
            <w:pPr>
              <w:pStyle w:val="TableContents"/>
              <w:bidi w:val="0"/>
              <w:spacing w:before="0" w:after="0"/>
              <w:jc w:val="lef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88" w:type="dxa"/>
            <w:tcBorders/>
            <w:vAlign w:val="center"/>
          </w:tcPr>
          <w:p>
            <w:pPr>
              <w:pStyle w:val="TableContents"/>
              <w:bidi w:val="0"/>
              <w:spacing w:lineRule="atLeast" w:line="200" w:before="0" w:after="0"/>
              <w:jc w:val="left"/>
              <w:rPr>
                <w:b/>
              </w:rPr>
            </w:pPr>
            <w:r>
              <w:rPr>
                <w:b/>
                <w:spacing w:val="0"/>
              </w:rPr>
              <w:t>Provide Double-Trigger Severance Benefits.</w:t>
            </w:r>
            <w:r>
              <w:rPr>
                <w:b/>
              </w:rPr>
              <w:t xml:space="preserve"> </w:t>
            </w:r>
          </w:p>
          <w:p>
            <w:pPr>
              <w:pStyle w:val="TableContents"/>
              <w:bidi w:val="0"/>
              <w:spacing w:lineRule="atLeast" w:line="199" w:before="20" w:after="283"/>
              <w:jc w:val="both"/>
              <w:rPr>
                <w:spacing w:val="-1"/>
              </w:rPr>
            </w:pPr>
            <w:r>
              <w:rPr>
                <w:spacing w:val="-1"/>
              </w:rPr>
              <w:t xml:space="preserve">In the event of a change in control, equity award vesting is provided to our NEOs only in the event of a qualifying termination following the change in control. Equity awards do not vest solely in connection with a change in control.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9" w:type="dxa"/>
            <w:tcBorders/>
            <w:vAlign w:val="center"/>
          </w:tcPr>
          <w:p>
            <w:pPr>
              <w:pStyle w:val="TableContents"/>
              <w:bidi w:val="0"/>
              <w:spacing w:before="0" w:after="0"/>
              <w:jc w:val="lef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88" w:type="dxa"/>
            <w:tcBorders/>
            <w:vAlign w:val="center"/>
          </w:tcPr>
          <w:p>
            <w:pPr>
              <w:pStyle w:val="TableContents"/>
              <w:bidi w:val="0"/>
              <w:spacing w:lineRule="atLeast" w:line="200" w:before="0" w:after="0"/>
              <w:jc w:val="left"/>
              <w:rPr>
                <w:b/>
              </w:rPr>
            </w:pPr>
            <w:r>
              <w:rPr>
                <w:b/>
                <w:spacing w:val="0"/>
              </w:rPr>
              <w:t>Require Clawbacks.</w:t>
            </w:r>
            <w:r>
              <w:rPr>
                <w:b/>
              </w:rPr>
              <w:t xml:space="preserve"> </w:t>
            </w:r>
          </w:p>
          <w:p>
            <w:pPr>
              <w:pStyle w:val="TableContents"/>
              <w:bidi w:val="0"/>
              <w:spacing w:lineRule="atLeast" w:line="200" w:before="20" w:after="283"/>
              <w:jc w:val="both"/>
              <w:rPr/>
            </w:pPr>
            <w:r>
              <w:rPr>
                <w:spacing w:val="-1"/>
              </w:rPr>
              <w:t xml:space="preserve">Our Board has adopted an Executive Compensation Recoupment Policy regarding recovery of compensation for fiscal years for which financial results are later restated from executive officers whose fraud or willful misconduct contributed to the need for such restatement. Under the Executive Compensation Recoupment Policy, in such circumstances, our Compensation Committee shall take the actions it considers appropriate, which may include, without limitation, reimbursement of any bonuses paid and recovery of profits received during the applicable period under any equity compensation awards (whether time- or performance-based). In accordance with applicable stock exchange listing requirements, the Executive Compensation Recoupment Policy also </w:t>
            </w:r>
            <w:r>
              <w:rPr>
                <w:spacing w:val="-1"/>
                <w:u w:val="single"/>
              </w:rPr>
              <w:t>requires</w:t>
            </w:r>
            <w:r>
              <w:rPr>
                <w:spacing w:val="-1"/>
              </w:rPr>
              <w:t xml:space="preserve"> recoupment of incentive-based compensation received by current or former executive officers in the event that our financial results are later misstated due to material noncompliance with financial reporting requirements, </w:t>
            </w:r>
            <w:r>
              <w:rPr>
                <w:spacing w:val="-1"/>
                <w:u w:val="single"/>
              </w:rPr>
              <w:t>irrespective</w:t>
            </w:r>
            <w:r>
              <w:rPr>
                <w:spacing w:val="-1"/>
              </w:rPr>
              <w:t xml:space="preserve"> of any misconduct by, or failure of oversight on the part of, the executive.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9" w:type="dxa"/>
            <w:tcBorders/>
            <w:vAlign w:val="center"/>
          </w:tcPr>
          <w:p>
            <w:pPr>
              <w:pStyle w:val="TableContents"/>
              <w:bidi w:val="0"/>
              <w:spacing w:before="0" w:after="0"/>
              <w:jc w:val="lef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88" w:type="dxa"/>
            <w:tcBorders/>
            <w:vAlign w:val="center"/>
          </w:tcPr>
          <w:p>
            <w:pPr>
              <w:pStyle w:val="TableContents"/>
              <w:bidi w:val="0"/>
              <w:spacing w:lineRule="atLeast" w:line="200" w:before="0" w:after="0"/>
              <w:jc w:val="left"/>
              <w:rPr>
                <w:b/>
              </w:rPr>
            </w:pPr>
            <w:r>
              <w:rPr>
                <w:b/>
                <w:spacing w:val="0"/>
              </w:rPr>
              <w:t>Impose Stock Ownership Guidelines.</w:t>
            </w:r>
            <w:r>
              <w:rPr>
                <w:b/>
              </w:rPr>
              <w:t xml:space="preserve"> </w:t>
            </w:r>
          </w:p>
          <w:p>
            <w:pPr>
              <w:pStyle w:val="TableContents"/>
              <w:bidi w:val="0"/>
              <w:spacing w:lineRule="atLeast" w:line="200" w:before="20" w:after="283"/>
              <w:jc w:val="both"/>
              <w:rPr>
                <w:spacing w:val="-1"/>
              </w:rPr>
            </w:pPr>
            <w:r>
              <w:rPr>
                <w:spacing w:val="-1"/>
              </w:rPr>
              <w:t xml:space="preserve">Our Compensation Committee has adopted stock ownership guidelines for our CEO, Chief Legal Officer &amp; Secretary, and CFO, which require such executive officers to accumulate and hold a meaningful level of stock in the Company.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9" w:type="dxa"/>
            <w:tcBorders/>
            <w:vAlign w:val="center"/>
          </w:tcPr>
          <w:p>
            <w:pPr>
              <w:pStyle w:val="TableContents"/>
              <w:bidi w:val="0"/>
              <w:spacing w:before="0" w:after="0"/>
              <w:jc w:val="lef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88" w:type="dxa"/>
            <w:tcBorders/>
            <w:vAlign w:val="center"/>
          </w:tcPr>
          <w:p>
            <w:pPr>
              <w:pStyle w:val="TableContents"/>
              <w:bidi w:val="0"/>
              <w:spacing w:lineRule="atLeast" w:line="200" w:before="0" w:after="0"/>
              <w:jc w:val="left"/>
              <w:rPr>
                <w:b/>
              </w:rPr>
            </w:pPr>
            <w:r>
              <w:rPr>
                <w:b/>
                <w:spacing w:val="0"/>
              </w:rPr>
              <w:t>Conduct Annual Risk Review.</w:t>
            </w:r>
            <w:r>
              <w:rPr>
                <w:b/>
              </w:rPr>
              <w:t xml:space="preserve"> </w:t>
            </w:r>
          </w:p>
          <w:p>
            <w:pPr>
              <w:pStyle w:val="TableContents"/>
              <w:bidi w:val="0"/>
              <w:spacing w:lineRule="atLeast" w:line="200" w:before="20" w:after="283"/>
              <w:jc w:val="both"/>
              <w:rPr>
                <w:spacing w:val="-1"/>
              </w:rPr>
            </w:pPr>
            <w:r>
              <w:rPr>
                <w:spacing w:val="-1"/>
              </w:rPr>
              <w:t xml:space="preserve">Our Compensation Committee conducts an annual review of the Company’s compensation programs to confirm that there are no compensation-related risks that are reasonably likely to have a material adverse effect on the Company.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9" w:type="dxa"/>
            <w:tcBorders/>
            <w:vAlign w:val="center"/>
          </w:tcPr>
          <w:p>
            <w:pPr>
              <w:pStyle w:val="TableContents"/>
              <w:bidi w:val="0"/>
              <w:spacing w:before="0" w:after="0"/>
              <w:jc w:val="lef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88" w:type="dxa"/>
            <w:tcBorders/>
            <w:vAlign w:val="center"/>
          </w:tcPr>
          <w:p>
            <w:pPr>
              <w:pStyle w:val="TableContents"/>
              <w:bidi w:val="0"/>
              <w:spacing w:lineRule="atLeast" w:line="200" w:before="0" w:after="0"/>
              <w:jc w:val="left"/>
              <w:rPr>
                <w:b/>
              </w:rPr>
            </w:pPr>
            <w:r>
              <w:rPr>
                <w:b/>
                <w:spacing w:val="0"/>
              </w:rPr>
              <w:t>Retain an Independent Compensation Consultant.</w:t>
            </w:r>
            <w:r>
              <w:rPr>
                <w:b/>
              </w:rPr>
              <w:t xml:space="preserve"> </w:t>
            </w:r>
          </w:p>
          <w:p>
            <w:pPr>
              <w:pStyle w:val="TableContents"/>
              <w:bidi w:val="0"/>
              <w:spacing w:lineRule="atLeast" w:line="200" w:before="20" w:after="283"/>
              <w:jc w:val="both"/>
              <w:rPr>
                <w:spacing w:val="-1"/>
              </w:rPr>
            </w:pPr>
            <w:r>
              <w:rPr>
                <w:spacing w:val="-1"/>
              </w:rPr>
              <w:t xml:space="preserve">Our Compensation Committee retains an independent compensation consultant to advise on our executive compensation programs.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9" w:type="dxa"/>
            <w:tcBorders/>
            <w:vAlign w:val="center"/>
          </w:tcPr>
          <w:p>
            <w:pPr>
              <w:pStyle w:val="TableContents"/>
              <w:bidi w:val="0"/>
              <w:spacing w:before="0" w:after="0"/>
              <w:jc w:val="lef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88" w:type="dxa"/>
            <w:tcBorders/>
            <w:vAlign w:val="center"/>
          </w:tcPr>
          <w:p>
            <w:pPr>
              <w:pStyle w:val="TableContents"/>
              <w:bidi w:val="0"/>
              <w:spacing w:lineRule="atLeast" w:line="200" w:before="0" w:after="0"/>
              <w:jc w:val="left"/>
              <w:rPr>
                <w:b/>
              </w:rPr>
            </w:pPr>
            <w:r>
              <w:rPr>
                <w:b/>
                <w:spacing w:val="0"/>
              </w:rPr>
              <w:t>Provide Limited Perquisites.</w:t>
            </w:r>
            <w:r>
              <w:rPr>
                <w:b/>
              </w:rPr>
              <w:t xml:space="preserve"> </w:t>
              <w:br/>
            </w:r>
            <w:r>
              <w:rPr>
                <w:b w:val="false"/>
                <w:spacing w:val="-1"/>
              </w:rPr>
              <w:t xml:space="preserve">We provide limited perquisites to our NEOs.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9" w:type="dxa"/>
            <w:tcBorders/>
            <w:vAlign w:val="center"/>
          </w:tcPr>
          <w:p>
            <w:pPr>
              <w:pStyle w:val="TableContents"/>
              <w:bidi w:val="0"/>
              <w:spacing w:before="0" w:after="0"/>
              <w:jc w:val="lef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88" w:type="dxa"/>
            <w:tcBorders/>
            <w:vAlign w:val="center"/>
          </w:tcPr>
          <w:p>
            <w:pPr>
              <w:pStyle w:val="TableContents"/>
              <w:bidi w:val="0"/>
              <w:spacing w:lineRule="atLeast" w:line="200" w:before="0" w:after="0"/>
              <w:jc w:val="left"/>
              <w:rPr>
                <w:b/>
              </w:rPr>
            </w:pPr>
            <w:r>
              <w:rPr>
                <w:b/>
                <w:spacing w:val="0"/>
              </w:rPr>
              <w:t>Offer Broad-Based Benefits.</w:t>
            </w:r>
            <w:r>
              <w:rPr>
                <w:b/>
              </w:rPr>
              <w:t xml:space="preserve"> </w:t>
              <w:br/>
            </w:r>
            <w:r>
              <w:rPr>
                <w:b w:val="false"/>
                <w:spacing w:val="-1"/>
              </w:rPr>
              <w:t xml:space="preserve">Our NEOs are eligible for the same health and retirement benefits as other full-time employees.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9" w:type="dxa"/>
            <w:tcBorders/>
            <w:vAlign w:val="center"/>
          </w:tcPr>
          <w:p>
            <w:pPr>
              <w:pStyle w:val="TableContents"/>
              <w:bidi w:val="0"/>
              <w:spacing w:before="0" w:after="0"/>
              <w:jc w:val="lef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88" w:type="dxa"/>
            <w:tcBorders/>
            <w:vAlign w:val="center"/>
          </w:tcPr>
          <w:p>
            <w:pPr>
              <w:pStyle w:val="TableContents"/>
              <w:bidi w:val="0"/>
              <w:spacing w:lineRule="atLeast" w:line="200" w:before="0" w:after="0"/>
              <w:jc w:val="left"/>
              <w:rPr>
                <w:b/>
              </w:rPr>
            </w:pPr>
            <w:r>
              <w:rPr>
                <w:b/>
                <w:spacing w:val="0"/>
              </w:rPr>
              <w:t>Use Peer Group Evaluation.</w:t>
            </w:r>
            <w:r>
              <w:rPr>
                <w:b/>
              </w:rPr>
              <w:t xml:space="preserve"> </w:t>
            </w:r>
          </w:p>
          <w:p>
            <w:pPr>
              <w:pStyle w:val="TableContents"/>
              <w:bidi w:val="0"/>
              <w:spacing w:lineRule="atLeast" w:line="200" w:before="20" w:after="283"/>
              <w:jc w:val="both"/>
              <w:rPr>
                <w:spacing w:val="-1"/>
              </w:rPr>
            </w:pPr>
            <w:r>
              <w:rPr>
                <w:spacing w:val="-1"/>
              </w:rPr>
              <w:t xml:space="preserve">We evaluate our compensation peer groups annually to align with investor expectations and changes in the Company’s business.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9" w:type="dxa"/>
            <w:tcBorders/>
            <w:vAlign w:val="center"/>
          </w:tcPr>
          <w:p>
            <w:pPr>
              <w:pStyle w:val="TableContents"/>
              <w:bidi w:val="0"/>
              <w:spacing w:before="0" w:after="0"/>
              <w:jc w:val="lef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88" w:type="dxa"/>
            <w:tcBorders/>
            <w:vAlign w:val="center"/>
          </w:tcPr>
          <w:p>
            <w:pPr>
              <w:pStyle w:val="TableContents"/>
              <w:bidi w:val="0"/>
              <w:spacing w:lineRule="atLeast" w:line="200" w:before="0" w:after="0"/>
              <w:jc w:val="left"/>
              <w:rPr>
                <w:b/>
              </w:rPr>
            </w:pPr>
            <w:r>
              <w:rPr>
                <w:b/>
                <w:spacing w:val="0"/>
              </w:rPr>
              <w:t>Conduct an Annual Say-on-Pay Vote.</w:t>
            </w:r>
            <w:r>
              <w:rPr>
                <w:b/>
              </w:rPr>
              <w:t xml:space="preserve"> </w:t>
            </w:r>
          </w:p>
          <w:p>
            <w:pPr>
              <w:pStyle w:val="TableContents"/>
              <w:bidi w:val="0"/>
              <w:spacing w:lineRule="atLeast" w:line="200" w:before="20" w:after="283"/>
              <w:jc w:val="both"/>
              <w:rPr/>
            </w:pPr>
            <w:r>
              <w:rPr>
                <w:spacing w:val="-1"/>
              </w:rPr>
              <w:t>We conduct an annual say-on-pay vote to better understand investor sentiment toward our executive compensation program.</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56 \ 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CPAO"/>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Compensation Discussion and Analysis</w:t>
      </w:r>
      <w:r>
        <w:rPr>
          <w:rFonts w:ascii="Arial;Helvetica;sans-serif" w:hAnsi="Arial;Helvetica;sans-serif"/>
          <w:b/>
          <w:i w:val="false"/>
          <w:caps w:val="false"/>
          <w:smallCaps w:val="false"/>
          <w:color w:val="7F7F7F"/>
          <w:sz w:val="22"/>
        </w:rPr>
        <w:t>​</w:t>
      </w:r>
    </w:p>
    <w:tbl>
      <w:tblPr>
        <w:tblW w:w="9304" w:type="dxa"/>
        <w:jc w:val="left"/>
        <w:tblInd w:w="901" w:type="dxa"/>
        <w:tblLayout w:type="fixed"/>
        <w:tblCellMar>
          <w:top w:w="0" w:type="dxa"/>
          <w:left w:w="0" w:type="dxa"/>
          <w:bottom w:w="0" w:type="dxa"/>
          <w:right w:w="0" w:type="dxa"/>
        </w:tblCellMar>
      </w:tblPr>
      <w:tblGrid>
        <w:gridCol w:w="124"/>
        <w:gridCol w:w="360"/>
        <w:gridCol w:w="109"/>
        <w:gridCol w:w="109"/>
        <w:gridCol w:w="8447"/>
        <w:gridCol w:w="155"/>
      </w:tblGrid>
      <w:tr>
        <w:trPr/>
        <w:tc>
          <w:tcPr>
            <w:tcW w:w="124" w:type="dxa"/>
            <w:tcBorders/>
            <w:shd w:fill="BAD8EA" w:val="clear"/>
            <w:vAlign w:val="center"/>
          </w:tcPr>
          <w:p>
            <w:pPr>
              <w:pStyle w:val="TableContents"/>
              <w:bidi w:val="0"/>
              <w:spacing w:before="0" w:after="283"/>
              <w:jc w:val="left"/>
              <w:rPr/>
            </w:pPr>
            <w:r>
              <w:rPr/>
              <w:t>​</w:t>
            </w:r>
          </w:p>
        </w:tc>
        <w:tc>
          <w:tcPr>
            <w:tcW w:w="9025" w:type="dxa"/>
            <w:gridSpan w:val="4"/>
            <w:tcBorders/>
            <w:shd w:fill="BAD8EA" w:val="clear"/>
            <w:vAlign w:val="center"/>
          </w:tcPr>
          <w:p>
            <w:pPr>
              <w:pStyle w:val="TableContents"/>
              <w:bidi w:val="0"/>
              <w:spacing w:before="0" w:after="0"/>
              <w:jc w:val="center"/>
              <w:rPr>
                <w:spacing w:val="0"/>
              </w:rPr>
            </w:pPr>
            <w:r>
              <w:rPr>
                <w:spacing w:val="0"/>
              </w:rPr>
              <w:t xml:space="preserve">What We Don’t Do </w:t>
            </w:r>
          </w:p>
        </w:tc>
        <w:tc>
          <w:tcPr>
            <w:tcW w:w="155" w:type="dxa"/>
            <w:tcBorders/>
            <w:shd w:fill="BAD8E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0" w:type="dxa"/>
            <w:tcBorders/>
            <w:vAlign w:val="center"/>
          </w:tcPr>
          <w:p>
            <w:pPr>
              <w:pStyle w:val="TableContents"/>
              <w:bidi w:val="0"/>
              <w:spacing w:before="0" w:after="0"/>
              <w:jc w:val="both"/>
              <w:rPr/>
            </w:pPr>
            <w:r>
              <w:rPr/>
              <w:drawing>
                <wp:inline distT="0" distB="0" distL="0" distR="0">
                  <wp:extent cx="152400" cy="152400"/>
                  <wp:effectExtent l="0" t="0" r="0" b="0"/>
                  <wp:docPr id="47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99" descr=""/>
                          <pic:cNvPicPr>
                            <a:picLocks noChangeAspect="1" noChangeArrowheads="1"/>
                          </pic:cNvPicPr>
                        </pic:nvPicPr>
                        <pic:blipFill>
                          <a:blip r:embed="rId121"/>
                          <a:stretch>
                            <a:fillRect/>
                          </a:stretch>
                        </pic:blipFill>
                        <pic:spPr bwMode="auto">
                          <a:xfrm>
                            <a:off x="0" y="0"/>
                            <a:ext cx="152400"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47" w:type="dxa"/>
            <w:tcBorders/>
            <w:vAlign w:val="center"/>
          </w:tcPr>
          <w:p>
            <w:pPr>
              <w:pStyle w:val="TableContents"/>
              <w:bidi w:val="0"/>
              <w:spacing w:lineRule="atLeast" w:line="216" w:before="0" w:after="0"/>
              <w:jc w:val="left"/>
              <w:rPr/>
            </w:pPr>
            <w:r>
              <w:rPr>
                <w:spacing w:val="0"/>
              </w:rPr>
              <w:t>No Excise Tax Gross-Ups.</w:t>
            </w:r>
            <w:r>
              <w:rPr/>
              <w:t xml:space="preserve"> </w:t>
            </w:r>
          </w:p>
          <w:p>
            <w:pPr>
              <w:pStyle w:val="TableContents"/>
              <w:bidi w:val="0"/>
              <w:spacing w:lineRule="atLeast" w:line="216" w:before="36" w:after="283"/>
              <w:jc w:val="left"/>
              <w:rPr>
                <w:b w:val="false"/>
                <w:spacing w:val="-1"/>
              </w:rPr>
            </w:pPr>
            <w:r>
              <w:rPr>
                <w:b w:val="false"/>
                <w:spacing w:val="-1"/>
              </w:rPr>
              <w:t xml:space="preserve">Our executive employment agreements do not provide excise tax gross-up payments to executive officers.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0" w:type="dxa"/>
            <w:tcBorders/>
            <w:vAlign w:val="center"/>
          </w:tcPr>
          <w:p>
            <w:pPr>
              <w:pStyle w:val="TableContents"/>
              <w:bidi w:val="0"/>
              <w:spacing w:before="0" w:after="0"/>
              <w:jc w:val="both"/>
              <w:rPr/>
            </w:pPr>
            <w:r>
              <w:rPr/>
              <w:drawing>
                <wp:inline distT="0" distB="0" distL="0" distR="0">
                  <wp:extent cx="152400" cy="152400"/>
                  <wp:effectExtent l="0" t="0" r="0" b="0"/>
                  <wp:docPr id="476"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100" descr=""/>
                          <pic:cNvPicPr>
                            <a:picLocks noChangeAspect="1" noChangeArrowheads="1"/>
                          </pic:cNvPicPr>
                        </pic:nvPicPr>
                        <pic:blipFill>
                          <a:blip r:embed="rId122"/>
                          <a:stretch>
                            <a:fillRect/>
                          </a:stretch>
                        </pic:blipFill>
                        <pic:spPr bwMode="auto">
                          <a:xfrm>
                            <a:off x="0" y="0"/>
                            <a:ext cx="152400"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47" w:type="dxa"/>
            <w:tcBorders/>
            <w:vAlign w:val="center"/>
          </w:tcPr>
          <w:p>
            <w:pPr>
              <w:pStyle w:val="TableContents"/>
              <w:bidi w:val="0"/>
              <w:spacing w:lineRule="atLeast" w:line="216" w:before="0" w:after="0"/>
              <w:jc w:val="left"/>
              <w:rPr/>
            </w:pPr>
            <w:r>
              <w:rPr>
                <w:spacing w:val="0"/>
              </w:rPr>
              <w:t>No Supplemental Retirement Benefits.</w:t>
            </w:r>
            <w:r>
              <w:rPr/>
              <w:t xml:space="preserve"> </w:t>
            </w:r>
          </w:p>
          <w:p>
            <w:pPr>
              <w:pStyle w:val="TableContents"/>
              <w:bidi w:val="0"/>
              <w:spacing w:lineRule="atLeast" w:line="216" w:before="36" w:after="283"/>
              <w:jc w:val="left"/>
              <w:rPr>
                <w:b w:val="false"/>
                <w:spacing w:val="-1"/>
              </w:rPr>
            </w:pPr>
            <w:r>
              <w:rPr>
                <w:b w:val="false"/>
                <w:spacing w:val="-1"/>
              </w:rPr>
              <w:t xml:space="preserve">We do not provide supplemental executive officer retirement benefits.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0" w:type="dxa"/>
            <w:tcBorders/>
            <w:vAlign w:val="center"/>
          </w:tcPr>
          <w:p>
            <w:pPr>
              <w:pStyle w:val="TableContents"/>
              <w:bidi w:val="0"/>
              <w:spacing w:before="0" w:after="0"/>
              <w:jc w:val="both"/>
              <w:rPr/>
            </w:pPr>
            <w:r>
              <w:rPr/>
              <w:drawing>
                <wp:inline distT="0" distB="0" distL="0" distR="0">
                  <wp:extent cx="152400" cy="152400"/>
                  <wp:effectExtent l="0" t="0" r="0" b="0"/>
                  <wp:docPr id="477"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101" descr=""/>
                          <pic:cNvPicPr>
                            <a:picLocks noChangeAspect="1" noChangeArrowheads="1"/>
                          </pic:cNvPicPr>
                        </pic:nvPicPr>
                        <pic:blipFill>
                          <a:blip r:embed="rId123"/>
                          <a:stretch>
                            <a:fillRect/>
                          </a:stretch>
                        </pic:blipFill>
                        <pic:spPr bwMode="auto">
                          <a:xfrm>
                            <a:off x="0" y="0"/>
                            <a:ext cx="152400"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47" w:type="dxa"/>
            <w:tcBorders/>
            <w:vAlign w:val="center"/>
          </w:tcPr>
          <w:p>
            <w:pPr>
              <w:pStyle w:val="TableContents"/>
              <w:bidi w:val="0"/>
              <w:spacing w:lineRule="atLeast" w:line="216" w:before="0" w:after="0"/>
              <w:jc w:val="left"/>
              <w:rPr/>
            </w:pPr>
            <w:r>
              <w:rPr>
                <w:spacing w:val="0"/>
              </w:rPr>
              <w:t>No Hedging or Pledging.</w:t>
            </w:r>
            <w:r>
              <w:rPr/>
              <w:t xml:space="preserve"> </w:t>
            </w:r>
          </w:p>
          <w:p>
            <w:pPr>
              <w:pStyle w:val="TableContents"/>
              <w:bidi w:val="0"/>
              <w:spacing w:lineRule="atLeast" w:line="216" w:before="36" w:after="283"/>
              <w:jc w:val="left"/>
              <w:rPr>
                <w:b w:val="false"/>
                <w:spacing w:val="-1"/>
              </w:rPr>
            </w:pPr>
            <w:r>
              <w:rPr>
                <w:b w:val="false"/>
                <w:spacing w:val="-1"/>
              </w:rPr>
              <w:t xml:space="preserve">We do not permit hedging or pledging of equity by our executive officers.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0" w:type="dxa"/>
            <w:tcBorders/>
            <w:vAlign w:val="center"/>
          </w:tcPr>
          <w:p>
            <w:pPr>
              <w:pStyle w:val="TableContents"/>
              <w:bidi w:val="0"/>
              <w:spacing w:before="0" w:after="0"/>
              <w:jc w:val="both"/>
              <w:rPr/>
            </w:pPr>
            <w:r>
              <w:rPr/>
              <w:drawing>
                <wp:inline distT="0" distB="0" distL="0" distR="0">
                  <wp:extent cx="152400" cy="152400"/>
                  <wp:effectExtent l="0" t="0" r="0" b="0"/>
                  <wp:docPr id="47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102" descr=""/>
                          <pic:cNvPicPr>
                            <a:picLocks noChangeAspect="1" noChangeArrowheads="1"/>
                          </pic:cNvPicPr>
                        </pic:nvPicPr>
                        <pic:blipFill>
                          <a:blip r:embed="rId124"/>
                          <a:stretch>
                            <a:fillRect/>
                          </a:stretch>
                        </pic:blipFill>
                        <pic:spPr bwMode="auto">
                          <a:xfrm>
                            <a:off x="0" y="0"/>
                            <a:ext cx="152400" cy="152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47" w:type="dxa"/>
            <w:tcBorders/>
            <w:vAlign w:val="center"/>
          </w:tcPr>
          <w:p>
            <w:pPr>
              <w:pStyle w:val="TableContents"/>
              <w:bidi w:val="0"/>
              <w:spacing w:lineRule="atLeast" w:line="216" w:before="0" w:after="0"/>
              <w:jc w:val="left"/>
              <w:rPr/>
            </w:pPr>
            <w:r>
              <w:rPr>
                <w:spacing w:val="0"/>
              </w:rPr>
              <w:t>No Repricing.</w:t>
            </w:r>
            <w:r>
              <w:rPr/>
              <w:t xml:space="preserve"> </w:t>
            </w:r>
          </w:p>
          <w:p>
            <w:pPr>
              <w:pStyle w:val="TableContents"/>
              <w:bidi w:val="0"/>
              <w:spacing w:lineRule="atLeast" w:line="216" w:before="36" w:after="283"/>
              <w:jc w:val="left"/>
              <w:rPr>
                <w:b w:val="false"/>
                <w:spacing w:val="-1"/>
              </w:rPr>
            </w:pPr>
            <w:r>
              <w:rPr>
                <w:b w:val="false"/>
                <w:spacing w:val="-1"/>
              </w:rPr>
              <w:t xml:space="preserve">Our equity plan prohibits repricing or the buyout of underwater stock options without stockholder approval. </w:t>
            </w:r>
          </w:p>
        </w:tc>
        <w:tc>
          <w:tcPr>
            <w:tcW w:w="155" w:type="dxa"/>
            <w:tcBorders/>
            <w:vAlign w:val="center"/>
          </w:tcPr>
          <w:p>
            <w:pPr>
              <w:pStyle w:val="TableContents"/>
              <w:bidi w:val="0"/>
              <w:spacing w:before="0" w:after="283"/>
              <w:jc w:val="left"/>
              <w:rPr/>
            </w:pPr>
            <w:r>
              <w:rPr/>
              <w:t>​</w:t>
            </w:r>
          </w:p>
        </w:tc>
      </w:tr>
      <w:tr>
        <w:trPr/>
        <w:tc>
          <w:tcPr>
            <w:tcW w:w="124" w:type="dxa"/>
            <w:tcBorders>
              <w:bottom w:val="single" w:sz="8" w:space="0" w:color="7F7F7F"/>
            </w:tcBorders>
            <w:tcMar>
              <w:bottom w:w="28" w:type="dxa"/>
            </w:tcMar>
            <w:vAlign w:val="center"/>
          </w:tcPr>
          <w:p>
            <w:pPr>
              <w:pStyle w:val="TableContents"/>
              <w:bidi w:val="0"/>
              <w:spacing w:before="0" w:after="283"/>
              <w:jc w:val="left"/>
              <w:rPr/>
            </w:pPr>
            <w:r>
              <w:rPr/>
              <w:t>​</w:t>
            </w:r>
          </w:p>
        </w:tc>
        <w:tc>
          <w:tcPr>
            <w:tcW w:w="360" w:type="dxa"/>
            <w:tcBorders>
              <w:bottom w:val="single" w:sz="8" w:space="0" w:color="7F7F7F"/>
            </w:tcBorders>
            <w:tcMar>
              <w:bottom w:w="80" w:type="dxa"/>
            </w:tcMar>
            <w:vAlign w:val="center"/>
          </w:tcPr>
          <w:p>
            <w:pPr>
              <w:pStyle w:val="TableContents"/>
              <w:bidi w:val="0"/>
              <w:spacing w:before="0" w:after="0"/>
              <w:jc w:val="both"/>
              <w:rPr/>
            </w:pPr>
            <w:r>
              <w:rPr/>
              <w:drawing>
                <wp:inline distT="0" distB="0" distL="0" distR="0">
                  <wp:extent cx="152400" cy="152400"/>
                  <wp:effectExtent l="0" t="0" r="0" b="0"/>
                  <wp:docPr id="47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103" descr=""/>
                          <pic:cNvPicPr>
                            <a:picLocks noChangeAspect="1" noChangeArrowheads="1"/>
                          </pic:cNvPicPr>
                        </pic:nvPicPr>
                        <pic:blipFill>
                          <a:blip r:embed="rId125"/>
                          <a:stretch>
                            <a:fillRect/>
                          </a:stretch>
                        </pic:blipFill>
                        <pic:spPr bwMode="auto">
                          <a:xfrm>
                            <a:off x="0" y="0"/>
                            <a:ext cx="152400" cy="152400"/>
                          </a:xfrm>
                          <a:prstGeom prst="rect">
                            <a:avLst/>
                          </a:prstGeom>
                        </pic:spPr>
                      </pic:pic>
                    </a:graphicData>
                  </a:graphic>
                </wp:inline>
              </w:drawing>
            </w:r>
            <w:r>
              <w:rPr/>
              <w:t xml:space="preserve">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8447" w:type="dxa"/>
            <w:tcBorders>
              <w:bottom w:val="single" w:sz="8" w:space="0" w:color="7F7F7F"/>
            </w:tcBorders>
            <w:tcMar>
              <w:bottom w:w="80" w:type="dxa"/>
            </w:tcMar>
            <w:vAlign w:val="center"/>
          </w:tcPr>
          <w:p>
            <w:pPr>
              <w:pStyle w:val="TableContents"/>
              <w:bidi w:val="0"/>
              <w:spacing w:lineRule="atLeast" w:line="216" w:before="0" w:after="0"/>
              <w:jc w:val="left"/>
              <w:rPr>
                <w:b/>
              </w:rPr>
            </w:pPr>
            <w:r>
              <w:rPr>
                <w:b/>
                <w:spacing w:val="0"/>
              </w:rPr>
              <w:t>No Discount Options.</w:t>
            </w:r>
            <w:r>
              <w:rPr>
                <w:b/>
              </w:rPr>
              <w:t xml:space="preserve"> </w:t>
            </w:r>
          </w:p>
          <w:p>
            <w:pPr>
              <w:pStyle w:val="TableContents"/>
              <w:bidi w:val="0"/>
              <w:spacing w:lineRule="atLeast" w:line="216" w:before="36" w:after="283"/>
              <w:jc w:val="both"/>
              <w:rPr/>
            </w:pPr>
            <w:r>
              <w:rPr>
                <w:spacing w:val="-1"/>
              </w:rPr>
              <w:t>Our equity plan prohibits granting stock options with a grant price less than the fair market value of our common stock on the date of the grant.</w:t>
            </w:r>
            <w:r>
              <w:rPr/>
              <w:t xml:space="preserve"> </w:t>
            </w:r>
          </w:p>
        </w:tc>
        <w:tc>
          <w:tcPr>
            <w:tcW w:w="155" w:type="dxa"/>
            <w:tcBorders>
              <w:bottom w:val="single" w:sz="8" w:space="0" w:color="7F7F7F"/>
            </w:tcBorders>
            <w:tcMar>
              <w:bottom w:w="28" w:type="dxa"/>
            </w:tcMar>
            <w:vAlign w:val="center"/>
          </w:tcPr>
          <w:p>
            <w:pPr>
              <w:pStyle w:val="TableContents"/>
              <w:bidi w:val="0"/>
              <w:spacing w:before="0" w:after="283"/>
              <w:jc w:val="left"/>
              <w:rPr/>
            </w:pPr>
            <w:r>
              <w:rPr/>
              <w:t>​</w:t>
            </w:r>
          </w:p>
        </w:tc>
      </w:tr>
    </w:tbl>
    <w:p>
      <w:pPr>
        <w:pStyle w:val="TextBody"/>
        <w:bidi w:val="0"/>
        <w:spacing w:lineRule="atLeast" w:line="340" w:before="220" w:after="283"/>
        <w:ind w:left="901" w:right="0" w:hanging="0"/>
        <w:jc w:val="left"/>
        <w:rPr>
          <w:rFonts w:ascii="Arial;Helvetica;sans-serif" w:hAnsi="Arial;Helvetica;sans-serif"/>
          <w:b/>
          <w:i w:val="false"/>
          <w:caps w:val="false"/>
          <w:smallCaps w:val="false"/>
          <w:color w:val="7F7F7F"/>
          <w:sz w:val="30"/>
        </w:rPr>
      </w:pPr>
      <w:r>
        <w:rPr>
          <w:rFonts w:ascii="Arial;Helvetica;sans-serif" w:hAnsi="Arial;Helvetica;sans-serif"/>
          <w:b/>
          <w:i w:val="false"/>
          <w:caps w:val="false"/>
          <w:smallCaps w:val="false"/>
          <w:color w:val="7F7F7F"/>
          <w:spacing w:val="-1"/>
          <w:sz w:val="30"/>
        </w:rPr>
        <w:t>Compensation Philosophy and Objectives</w:t>
      </w:r>
      <w:r>
        <w:rPr>
          <w:rFonts w:ascii="Arial;Helvetica;sans-serif" w:hAnsi="Arial;Helvetica;sans-serif"/>
          <w:b/>
          <w:i w:val="false"/>
          <w:caps w:val="false"/>
          <w:smallCaps w:val="false"/>
          <w:color w:val="000000"/>
          <w:spacing w:val="6"/>
          <w:sz w:val="30"/>
        </w:rPr>
        <w:t xml:space="preserve"> </w:t>
      </w:r>
    </w:p>
    <w:tbl>
      <w:tblPr>
        <w:tblW w:w="9304" w:type="dxa"/>
        <w:jc w:val="left"/>
        <w:tblInd w:w="901" w:type="dxa"/>
        <w:tblLayout w:type="fixed"/>
        <w:tblCellMar>
          <w:top w:w="0" w:type="dxa"/>
          <w:left w:w="0" w:type="dxa"/>
          <w:bottom w:w="0" w:type="dxa"/>
          <w:right w:w="0" w:type="dxa"/>
        </w:tblCellMar>
      </w:tblPr>
      <w:tblGrid>
        <w:gridCol w:w="124"/>
        <w:gridCol w:w="2594"/>
        <w:gridCol w:w="109"/>
        <w:gridCol w:w="109"/>
        <w:gridCol w:w="6213"/>
        <w:gridCol w:w="155"/>
      </w:tblGrid>
      <w:tr>
        <w:trPr/>
        <w:tc>
          <w:tcPr>
            <w:tcW w:w="124" w:type="dxa"/>
            <w:tcBorders/>
            <w:shd w:fill="BAD8EA" w:val="clear"/>
            <w:vAlign w:val="center"/>
          </w:tcPr>
          <w:p>
            <w:pPr>
              <w:pStyle w:val="TableContents"/>
              <w:bidi w:val="0"/>
              <w:spacing w:before="0" w:after="283"/>
              <w:jc w:val="left"/>
              <w:rPr/>
            </w:pPr>
            <w:r>
              <w:rPr/>
              <w:t>​</w:t>
            </w:r>
          </w:p>
        </w:tc>
        <w:tc>
          <w:tcPr>
            <w:tcW w:w="2594" w:type="dxa"/>
            <w:tcBorders/>
            <w:shd w:fill="BAD8EA" w:val="clear"/>
            <w:vAlign w:val="center"/>
          </w:tcPr>
          <w:p>
            <w:pPr>
              <w:pStyle w:val="TableContents"/>
              <w:bidi w:val="0"/>
              <w:spacing w:before="0" w:after="0"/>
              <w:jc w:val="both"/>
              <w:rPr/>
            </w:pPr>
            <w:r>
              <w:rPr>
                <w:spacing w:val="0"/>
              </w:rPr>
              <w:t>We Strive to Attract, Incentivize and Retain Talented Individuals.</w:t>
            </w:r>
            <w:r>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6213" w:type="dxa"/>
            <w:tcBorders/>
            <w:shd w:fill="E5E5E5" w:val="clear"/>
            <w:vAlign w:val="center"/>
          </w:tcPr>
          <w:p>
            <w:pPr>
              <w:pStyle w:val="TableContents"/>
              <w:bidi w:val="0"/>
              <w:spacing w:before="0" w:after="283"/>
              <w:jc w:val="left"/>
              <w:rPr/>
            </w:pPr>
            <w:r>
              <w:rPr>
                <w:spacing w:val="0"/>
              </w:rPr>
              <w:t>We pay competitively.</w:t>
            </w:r>
            <w:r>
              <w:rPr/>
              <w:t xml:space="preserve"> </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94" w:type="dxa"/>
            <w:tcBorders/>
            <w:vAlign w:val="center"/>
          </w:tcPr>
          <w:p>
            <w:pPr>
              <w:pStyle w:val="TableContents"/>
              <w:bidi w:val="0"/>
              <w:spacing w:before="0" w:after="0"/>
              <w:jc w:val="both"/>
              <w:rPr>
                <w:spacing w:val="-1"/>
              </w:rPr>
            </w:pPr>
            <w:r>
              <w:rPr>
                <w:spacing w:val="-1"/>
              </w:rPr>
              <w:t xml:space="preserve">It is imperative that we attract, incentivize and retain individuals in executive positions whose skills, business experience and acumen are critical to the current and long-term success of the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13" w:type="dxa"/>
            <w:tcBorders/>
            <w:vAlign w:val="center"/>
          </w:tcPr>
          <w:p>
            <w:pPr>
              <w:pStyle w:val="TableContents"/>
              <w:bidi w:val="0"/>
              <w:spacing w:before="0" w:after="0"/>
              <w:jc w:val="both"/>
              <w:rPr/>
            </w:pPr>
            <w:r>
              <w:rPr>
                <w:spacing w:val="-1"/>
              </w:rPr>
              <w:t>We pay competitively to provide a target compensation opportunity that will attract, motivate and retain our talented core of executives who drive our success. The compensation program is designed to give the Company a competitive advantage relative to the compensation provided by peer group companies with which we compete for qualified executive talent. The Compensation Committee also seeks to retain executives through the phases of the cycle of the real estate market by keeping compensation competitive during times of growth as well as contraction, reflecting the long-term nature of successful real estate development businesses.</w:t>
            </w:r>
            <w:r>
              <w:rPr/>
              <w:t xml:space="preserve"> </w:t>
            </w:r>
          </w:p>
          <w:p>
            <w:pPr>
              <w:pStyle w:val="TableContents"/>
              <w:bidi w:val="0"/>
              <w:spacing w:before="60" w:after="283"/>
              <w:jc w:val="both"/>
              <w:rPr/>
            </w:pPr>
            <w:r>
              <w:rPr>
                <w:spacing w:val="-1"/>
              </w:rPr>
              <w:t>While peer group companies and competitive survey data provide a beginning reference point and inform decisions on the range of compensation opportunities, it is just one of many factors the Compensation Committee considers in setting pay. For example, the Compensation Committee recognizes that talent competitors for our NEOs include high-paying private real estate development companies, private equity firms, and real estate opportunity funds, in addition to our more conventional public company peers.</w:t>
            </w:r>
            <w:r>
              <w:rPr/>
              <w:t xml:space="preserve"> </w:t>
            </w:r>
          </w:p>
          <w:p>
            <w:pPr>
              <w:pStyle w:val="TableContents"/>
              <w:bidi w:val="0"/>
              <w:spacing w:before="60" w:after="283"/>
              <w:jc w:val="both"/>
              <w:rPr/>
            </w:pPr>
            <w:r>
              <w:rPr>
                <w:spacing w:val="-1"/>
              </w:rPr>
              <w:t>Also, several of our peers are real estate investment trusts (“REITs”) whose operations directly compare to our operating assets segment only and not to our master planned community segment or strategic development segment. The Compensation Committee retains flexibility to adjust executive compensation based on our objectives of building our Company and creating stockholder value.</w:t>
            </w:r>
            <w:r>
              <w:rPr/>
              <w:t xml:space="preserve"> </w:t>
            </w:r>
          </w:p>
          <w:p>
            <w:pPr>
              <w:pStyle w:val="TableContents"/>
              <w:bidi w:val="0"/>
              <w:spacing w:before="60" w:after="283"/>
              <w:jc w:val="both"/>
              <w:rPr>
                <w:spacing w:val="-1"/>
              </w:rPr>
            </w:pPr>
            <w:r>
              <w:rPr>
                <w:spacing w:val="-1"/>
              </w:rPr>
              <w:t xml:space="preserve">The Compensation Committee will continue to evaluate competition for talent and the makeup of the Company’s peers as we continue our transformation into a diversified holding company, including following the consummation of the Vantage acquisition.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9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6213" w:type="dxa"/>
            <w:tcBorders/>
            <w:shd w:fill="E5E5E5" w:val="clear"/>
            <w:vAlign w:val="center"/>
          </w:tcPr>
          <w:p>
            <w:pPr>
              <w:pStyle w:val="TableContents"/>
              <w:bidi w:val="0"/>
              <w:spacing w:before="0" w:after="283"/>
              <w:jc w:val="left"/>
              <w:rPr/>
            </w:pPr>
            <w:r>
              <w:rPr>
                <w:spacing w:val="0"/>
              </w:rPr>
              <w:t>Retention is a key objective of the compensation program.</w:t>
            </w:r>
            <w:r>
              <w:rPr/>
              <w:t xml:space="preserve"> </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9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13" w:type="dxa"/>
            <w:tcBorders/>
            <w:vAlign w:val="center"/>
          </w:tcPr>
          <w:p>
            <w:pPr>
              <w:pStyle w:val="TableContents"/>
              <w:bidi w:val="0"/>
              <w:spacing w:before="0" w:after="0"/>
              <w:jc w:val="both"/>
              <w:rPr/>
            </w:pPr>
            <w:r>
              <w:rPr>
                <w:spacing w:val="-1"/>
              </w:rPr>
              <w:t>Because the implementation of the Company’s business strategy requires long-term commitments on the part of our NEOs, and because competition for top talent is intense in the Company’s industry, retention of our talented core of executives is a key objective of the compensation program.</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/ 57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Compensation Discussion and Analysis</w:t>
      </w:r>
      <w:r>
        <w:rPr>
          <w:rFonts w:ascii="Arial;Helvetica;sans-serif" w:hAnsi="Arial;Helvetica;sans-serif"/>
          <w:b/>
          <w:i w:val="false"/>
          <w:caps w:val="false"/>
          <w:smallCaps w:val="false"/>
          <w:color w:val="7F7F7F"/>
          <w:spacing w:val="-3"/>
          <w:sz w:val="22"/>
        </w:rPr>
        <w:t xml:space="preserve"> </w:t>
      </w:r>
    </w:p>
    <w:tbl>
      <w:tblPr>
        <w:tblW w:w="9304" w:type="dxa"/>
        <w:jc w:val="left"/>
        <w:tblInd w:w="901" w:type="dxa"/>
        <w:tblLayout w:type="fixed"/>
        <w:tblCellMar>
          <w:top w:w="0" w:type="dxa"/>
          <w:left w:w="0" w:type="dxa"/>
          <w:bottom w:w="0" w:type="dxa"/>
          <w:right w:w="0" w:type="dxa"/>
        </w:tblCellMar>
      </w:tblPr>
      <w:tblGrid>
        <w:gridCol w:w="124"/>
        <w:gridCol w:w="2894"/>
        <w:gridCol w:w="109"/>
        <w:gridCol w:w="109"/>
        <w:gridCol w:w="5913"/>
        <w:gridCol w:w="155"/>
      </w:tblGrid>
      <w:tr>
        <w:trPr/>
        <w:tc>
          <w:tcPr>
            <w:tcW w:w="124" w:type="dxa"/>
            <w:tcBorders/>
            <w:shd w:fill="BAD8EA" w:val="clear"/>
            <w:vAlign w:val="center"/>
          </w:tcPr>
          <w:p>
            <w:pPr>
              <w:pStyle w:val="TableContents"/>
              <w:bidi w:val="0"/>
              <w:spacing w:before="0" w:after="283"/>
              <w:jc w:val="left"/>
              <w:rPr/>
            </w:pPr>
            <w:r>
              <w:rPr/>
              <w:t>​</w:t>
            </w:r>
          </w:p>
        </w:tc>
        <w:tc>
          <w:tcPr>
            <w:tcW w:w="2894" w:type="dxa"/>
            <w:tcBorders/>
            <w:shd w:fill="BAD8EA" w:val="clear"/>
            <w:vAlign w:val="center"/>
          </w:tcPr>
          <w:p>
            <w:pPr>
              <w:pStyle w:val="TableContents"/>
              <w:bidi w:val="0"/>
              <w:spacing w:before="0" w:after="283"/>
              <w:jc w:val="left"/>
              <w:rPr/>
            </w:pPr>
            <w:r>
              <w:rPr>
                <w:spacing w:val="0"/>
              </w:rPr>
              <w:t>We Pay for Performance.</w:t>
            </w:r>
            <w:r>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5913" w:type="dxa"/>
            <w:tcBorders/>
            <w:shd w:fill="E5E5E5" w:val="clear"/>
            <w:vAlign w:val="center"/>
          </w:tcPr>
          <w:p>
            <w:pPr>
              <w:pStyle w:val="TableContents"/>
              <w:bidi w:val="0"/>
              <w:spacing w:before="0" w:after="283"/>
              <w:jc w:val="left"/>
              <w:rPr/>
            </w:pPr>
            <w:r>
              <w:rPr>
                <w:spacing w:val="0"/>
              </w:rPr>
              <w:t>We reward attainment of established goals.</w:t>
            </w:r>
            <w:r>
              <w:rPr/>
              <w:t xml:space="preserve"> </w:t>
            </w:r>
          </w:p>
        </w:tc>
        <w:tc>
          <w:tcPr>
            <w:tcW w:w="155" w:type="dxa"/>
            <w:tcBorders/>
            <w:shd w:fill="E5E5E5"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2894" w:type="dxa"/>
            <w:vMerge w:val="restart"/>
            <w:tcBorders/>
            <w:vAlign w:val="center"/>
          </w:tcPr>
          <w:p>
            <w:pPr>
              <w:pStyle w:val="TableContents"/>
              <w:bidi w:val="0"/>
              <w:spacing w:lineRule="atLeast" w:line="228" w:before="0" w:after="0"/>
              <w:jc w:val="both"/>
              <w:rPr>
                <w:spacing w:val="-1"/>
              </w:rPr>
            </w:pPr>
            <w:r>
              <w:rPr>
                <w:spacing w:val="-1"/>
              </w:rPr>
              <w:t xml:space="preserve">We firmly believe that pay should be tied to performance. Superior performance enhances stockholder value and is a fundamental objective of the Company’s compensation program. </w:t>
            </w:r>
          </w:p>
        </w:tc>
        <w:tc>
          <w:tcPr>
            <w:tcW w:w="109" w:type="dxa"/>
            <w:vMerge w:val="restart"/>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13" w:type="dxa"/>
            <w:tcBorders/>
            <w:vAlign w:val="center"/>
          </w:tcPr>
          <w:p>
            <w:pPr>
              <w:pStyle w:val="TableContents"/>
              <w:bidi w:val="0"/>
              <w:spacing w:lineRule="atLeast" w:line="228" w:before="0" w:after="0"/>
              <w:jc w:val="both"/>
              <w:rPr>
                <w:spacing w:val="-1"/>
              </w:rPr>
            </w:pPr>
            <w:r>
              <w:rPr>
                <w:spacing w:val="-1"/>
              </w:rPr>
              <w:t xml:space="preserve">The compensation program is designed to reward our NEOs for attaining established goals that require the dedication of their time, effort, skills and business experience to drive the success of the Company and the maximization of stockholder value. </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289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5913" w:type="dxa"/>
            <w:tcBorders/>
            <w:shd w:fill="E5E5E5" w:val="clear"/>
            <w:vAlign w:val="center"/>
          </w:tcPr>
          <w:p>
            <w:pPr>
              <w:pStyle w:val="TableContents"/>
              <w:bidi w:val="0"/>
              <w:spacing w:lineRule="atLeast" w:line="228" w:before="0" w:after="0"/>
              <w:jc w:val="both"/>
              <w:rPr/>
            </w:pPr>
            <w:r>
              <w:rPr>
                <w:spacing w:val="0"/>
              </w:rPr>
              <w:t>Performance-based annual incentive compensation is a key component of our compensation program.</w:t>
            </w:r>
            <w:r>
              <w:rPr/>
              <w:t xml:space="preserve"> </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9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13" w:type="dxa"/>
            <w:tcBorders/>
            <w:vAlign w:val="center"/>
          </w:tcPr>
          <w:p>
            <w:pPr>
              <w:pStyle w:val="TableContents"/>
              <w:bidi w:val="0"/>
              <w:spacing w:before="0" w:after="0"/>
              <w:jc w:val="both"/>
              <w:rPr/>
            </w:pPr>
            <w:r>
              <w:rPr>
                <w:spacing w:val="-1"/>
              </w:rPr>
              <w:t>For fiscal 2025, annual performance is rewarded through annual incentive awards and is based on the Company’s operational performance and financial results and the individual NEO’s contribution to those results. NEO performance is judged against specific, predetermined financial and strategic goals established by the Compensation Committee. In addition, approximately 25% of each NEO’s annual incentive award is based on a subjective performance evaluation.</w:t>
            </w:r>
            <w:r>
              <w:rPr/>
              <w:t xml:space="preserve"> </w:t>
            </w:r>
          </w:p>
        </w:tc>
        <w:tc>
          <w:tcPr>
            <w:tcW w:w="155" w:type="dxa"/>
            <w:tcBorders/>
            <w:vAlign w:val="center"/>
          </w:tcPr>
          <w:p>
            <w:pPr>
              <w:pStyle w:val="TableContents"/>
              <w:bidi w:val="0"/>
              <w:spacing w:before="0" w:after="283"/>
              <w:jc w:val="left"/>
              <w:rPr/>
            </w:pPr>
            <w:r>
              <w:rPr/>
              <w:t>​</w:t>
            </w:r>
          </w:p>
        </w:tc>
      </w:tr>
    </w:tbl>
    <w:tbl>
      <w:tblPr>
        <w:tblW w:w="9304" w:type="dxa"/>
        <w:jc w:val="left"/>
        <w:tblInd w:w="901" w:type="dxa"/>
        <w:tblLayout w:type="fixed"/>
        <w:tblCellMar>
          <w:top w:w="0" w:type="dxa"/>
          <w:left w:w="0" w:type="dxa"/>
          <w:bottom w:w="0" w:type="dxa"/>
          <w:right w:w="0" w:type="dxa"/>
        </w:tblCellMar>
      </w:tblPr>
      <w:tblGrid>
        <w:gridCol w:w="124"/>
        <w:gridCol w:w="3106"/>
        <w:gridCol w:w="109"/>
        <w:gridCol w:w="109"/>
        <w:gridCol w:w="5701"/>
        <w:gridCol w:w="155"/>
      </w:tblGrid>
      <w:tr>
        <w:trPr/>
        <w:tc>
          <w:tcPr>
            <w:tcW w:w="124" w:type="dxa"/>
            <w:tcBorders/>
            <w:shd w:fill="BAD8EA" w:val="clear"/>
            <w:vAlign w:val="center"/>
          </w:tcPr>
          <w:p>
            <w:pPr>
              <w:pStyle w:val="TableContents"/>
              <w:bidi w:val="0"/>
              <w:spacing w:before="0" w:after="283"/>
              <w:jc w:val="left"/>
              <w:rPr/>
            </w:pPr>
            <w:r>
              <w:rPr/>
              <w:t>​</w:t>
            </w:r>
          </w:p>
        </w:tc>
        <w:tc>
          <w:tcPr>
            <w:tcW w:w="3106" w:type="dxa"/>
            <w:tcBorders/>
            <w:shd w:fill="BAD8EA" w:val="clear"/>
            <w:vAlign w:val="center"/>
          </w:tcPr>
          <w:p>
            <w:pPr>
              <w:pStyle w:val="TableContents"/>
              <w:bidi w:val="0"/>
              <w:spacing w:before="0" w:after="0"/>
              <w:jc w:val="both"/>
              <w:rPr/>
            </w:pPr>
            <w:r>
              <w:rPr>
                <w:spacing w:val="0"/>
              </w:rPr>
              <w:t>We Align Pay to Business Objectives and Long-Term Strategy.</w:t>
            </w:r>
            <w:r>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5701" w:type="dxa"/>
            <w:tcBorders/>
            <w:shd w:fill="E5E5E5" w:val="clear"/>
            <w:vAlign w:val="center"/>
          </w:tcPr>
          <w:p>
            <w:pPr>
              <w:pStyle w:val="TableContents"/>
              <w:bidi w:val="0"/>
              <w:spacing w:before="0" w:after="0"/>
              <w:jc w:val="both"/>
              <w:rPr/>
            </w:pPr>
            <w:r>
              <w:rPr>
                <w:spacing w:val="0"/>
              </w:rPr>
              <w:t>We grant long-term equity incentive awards under our equity incentive program.</w:t>
            </w:r>
            <w:r>
              <w:rPr/>
              <w:t xml:space="preserve"> </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bottom w:val="single" w:sz="8" w:space="0" w:color="7F7F7F"/>
            </w:tcBorders>
            <w:tcMar>
              <w:bottom w:w="28" w:type="dxa"/>
            </w:tcMar>
            <w:vAlign w:val="center"/>
          </w:tcPr>
          <w:p>
            <w:pPr>
              <w:pStyle w:val="TableContents"/>
              <w:bidi w:val="0"/>
              <w:spacing w:before="0" w:after="283"/>
              <w:jc w:val="left"/>
              <w:rPr/>
            </w:pPr>
            <w:r>
              <w:rPr/>
              <w:t>​</w:t>
            </w:r>
          </w:p>
        </w:tc>
        <w:tc>
          <w:tcPr>
            <w:tcW w:w="3106" w:type="dxa"/>
            <w:tcBorders>
              <w:bottom w:val="single" w:sz="8" w:space="0" w:color="7F7F7F"/>
            </w:tcBorders>
            <w:tcMar>
              <w:bottom w:w="43" w:type="dxa"/>
            </w:tcMar>
            <w:vAlign w:val="center"/>
          </w:tcPr>
          <w:p>
            <w:pPr>
              <w:pStyle w:val="TableContents"/>
              <w:bidi w:val="0"/>
              <w:spacing w:before="0" w:after="0"/>
              <w:jc w:val="both"/>
              <w:rPr>
                <w:spacing w:val="-1"/>
              </w:rPr>
            </w:pPr>
            <w:r>
              <w:rPr>
                <w:spacing w:val="-1"/>
              </w:rPr>
              <w:t xml:space="preserve">The compensation program is designed to reward and motivate both the performance of the Company overall, and, as described below, individual NEO performance in attaining business objectives and maximizing stockholder value. Compensation decisions are based on the principle that the long-term interests of our NEOs should be aligned with those of our stockholders.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5701" w:type="dxa"/>
            <w:tcBorders>
              <w:bottom w:val="single" w:sz="8" w:space="0" w:color="7F7F7F"/>
            </w:tcBorders>
            <w:tcMar>
              <w:bottom w:w="43" w:type="dxa"/>
            </w:tcMar>
            <w:vAlign w:val="center"/>
          </w:tcPr>
          <w:p>
            <w:pPr>
              <w:pStyle w:val="TableContents"/>
              <w:bidi w:val="0"/>
              <w:spacing w:before="0" w:after="0"/>
              <w:jc w:val="both"/>
              <w:rPr/>
            </w:pPr>
            <w:r>
              <w:rPr>
                <w:spacing w:val="-1"/>
              </w:rPr>
              <w:t>We use equity incentive awards as a recruitment and retention incentive and to align the interests of our NEOs with stockholder interests. In fiscal 2025, the Compensation Committee granted awards under our 2020 Equity Incentive Plan (which was succeeded by our 2025 Equity Incentive Plan upon approval by our stockholders at our 2025 Annual Meeting). Performance is a key component of our long-term equity incentive program.</w:t>
            </w:r>
            <w:r>
              <w:rPr/>
              <w:t xml:space="preserve"> </w:t>
            </w:r>
          </w:p>
          <w:p>
            <w:pPr>
              <w:pStyle w:val="TableContents"/>
              <w:bidi w:val="0"/>
              <w:spacing w:before="60" w:after="283"/>
              <w:jc w:val="both"/>
              <w:rPr/>
            </w:pPr>
            <w:r>
              <w:rPr>
                <w:spacing w:val="-1"/>
              </w:rPr>
              <w:t>Effective January 2026, the Compensation Committee agreed to an increase to (i) Mr. O’Reilly’s Annual LTIP Award (as defined in the O’Reilly Employment Agreement) from $4,500,000 to $5,500,000; (ii) Mr. Olea’s Annual LTIP Award (as defined in the Olea Employment Agreement) from $1,350,000 to $1,975,000; and (iii) Mr. Valane’s Annual LTIP Award (as defined in the Valane Employment Agreement) from $750,000 to $1,000,000.</w:t>
            </w:r>
            <w:r>
              <w:rPr/>
              <w:t xml:space="preserve"> </w:t>
            </w:r>
          </w:p>
          <w:p>
            <w:pPr>
              <w:pStyle w:val="TableContents"/>
              <w:bidi w:val="0"/>
              <w:spacing w:before="60" w:after="283"/>
              <w:jc w:val="both"/>
              <w:rPr/>
            </w:pPr>
            <w:r>
              <w:rPr>
                <w:spacing w:val="-1"/>
              </w:rPr>
              <w:t>From March 2023 through 2025, the Compensation Committee used net asset value (“</w:t>
            </w:r>
            <w:r>
              <w:rPr>
                <w:b/>
                <w:i/>
              </w:rPr>
              <w:t>NAV</w:t>
            </w:r>
            <w:r>
              <w:rPr>
                <w:spacing w:val="-1"/>
              </w:rPr>
              <w:t>”) growth as the sole metric for the performance-based component of our annual long-term equity awards to all employees. The Committee believes that NAV growth is a key fundamental indicator of the Company’s long-term value appreciation and that its use as a performance metric incentivizes strategic capital allocation, and will continue to use NAV growth as the sole performance metric for performance-based awards issued to Howard Hughes Communities employees going forward other than Messrs. O’Reilly, Olea, Valane, and Davis. Beginning in 2026, performance-based awards issued to these four individuals are based on absolute cumulative total stockholder return in light of the Company’s transformation into a diversified holding company.</w:t>
            </w:r>
            <w:r>
              <w:rPr/>
              <w:t xml:space="preserve"> </w:t>
            </w:r>
          </w:p>
        </w:tc>
        <w:tc>
          <w:tcPr>
            <w:tcW w:w="155" w:type="dxa"/>
            <w:tcBorders>
              <w:bottom w:val="single" w:sz="8" w:space="0" w:color="7F7F7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44" w:after="283"/>
        <w:ind w:left="901" w:right="0" w:hanging="0"/>
        <w:jc w:val="left"/>
        <w:rPr>
          <w:rFonts w:ascii="Arial;Helvetica;sans-serif" w:hAnsi="Arial;Helvetica;sans-serif"/>
          <w:b/>
          <w:i w:val="false"/>
          <w:caps w:val="false"/>
          <w:smallCaps w:val="false"/>
          <w:color w:val="2E2925"/>
          <w:sz w:val="20"/>
        </w:rPr>
      </w:pPr>
      <w:r>
        <w:rPr>
          <w:rFonts w:ascii="Arial;Helvetica;sans-serif" w:hAnsi="Arial;Helvetica;sans-serif"/>
          <w:b/>
          <w:i w:val="false"/>
          <w:caps/>
          <w:color w:val="2E2925"/>
          <w:spacing w:val="-3"/>
          <w:sz w:val="20"/>
        </w:rPr>
        <w:t>NEO PERSONAL INVESTMENT IN HOWARD HUGHES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NEOs have a significant ownership stake in the Company, as described under “</w:t>
      </w:r>
      <w:r>
        <w:rPr>
          <w:rFonts w:ascii="Arial;Helvetica;sans-serif" w:hAnsi="Arial;Helvetica;sans-serif"/>
          <w:b w:val="false"/>
          <w:i/>
          <w:caps w:val="false"/>
          <w:smallCaps w:val="false"/>
          <w:color w:val="000000"/>
          <w:sz w:val="20"/>
        </w:rPr>
        <w:t>Security Ownership of Directors, Executive Officers and Certain Beneficial Holders</w:t>
      </w:r>
      <w:r>
        <w:rPr>
          <w:rFonts w:ascii="Arial;Helvetica;sans-serif" w:hAnsi="Arial;Helvetica;sans-serif"/>
          <w:b w:val="false"/>
          <w:i w:val="false"/>
          <w:caps w:val="false"/>
          <w:smallCaps w:val="false"/>
          <w:color w:val="000000"/>
          <w:spacing w:val="-2"/>
          <w:sz w:val="20"/>
        </w:rPr>
        <w:t>.” Messrs. O’Reilly, Olea, and Valane are also (and, prior to September 16, 2025, Mr. Cross was) subject to the stock ownership requirements described below under “</w:t>
      </w:r>
      <w:r>
        <w:rPr>
          <w:rFonts w:ascii="Arial;Helvetica;sans-serif" w:hAnsi="Arial;Helvetica;sans-serif"/>
          <w:b w:val="false"/>
          <w:i/>
          <w:caps w:val="false"/>
          <w:smallCaps w:val="false"/>
          <w:color w:val="000000"/>
          <w:sz w:val="20"/>
        </w:rPr>
        <w:t>Other Components of Compensation – Stock Ownership Guidelines</w:t>
      </w:r>
      <w:r>
        <w:rPr>
          <w:rFonts w:ascii="Arial;Helvetica;sans-serif" w:hAnsi="Arial;Helvetica;sans-serif"/>
          <w:b w:val="false"/>
          <w:i w:val="false"/>
          <w:caps w:val="false"/>
          <w:smallCaps w:val="false"/>
          <w:color w:val="000000"/>
          <w:spacing w:val="-2"/>
          <w:sz w:val="20"/>
        </w:rPr>
        <w:t>” to further encourage the alignment of their interests with our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58 \ 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Compensation Discussion and Analysis</w:t>
      </w:r>
      <w:r>
        <w:rPr>
          <w:rFonts w:ascii="Arial;Helvetica;sans-serif" w:hAnsi="Arial;Helvetica;sans-serif"/>
          <w:b/>
          <w:i w:val="false"/>
          <w:caps w:val="false"/>
          <w:smallCaps w:val="false"/>
          <w:color w:val="7F7F7F"/>
          <w:sz w:val="22"/>
        </w:rPr>
        <w:t>​</w:t>
      </w:r>
    </w:p>
    <w:p>
      <w:pPr>
        <w:pStyle w:val="TextBody"/>
        <w:bidi w:val="0"/>
        <w:spacing w:lineRule="atLeast" w:line="240" w:before="120" w:after="283"/>
        <w:ind w:left="901" w:right="0" w:hanging="0"/>
        <w:jc w:val="left"/>
        <w:rPr>
          <w:rFonts w:ascii="Arial;Helvetica;sans-serif" w:hAnsi="Arial;Helvetica;sans-serif"/>
          <w:b/>
          <w:i w:val="false"/>
          <w:caps w:val="false"/>
          <w:smallCaps w:val="false"/>
          <w:color w:val="2E2925"/>
          <w:sz w:val="20"/>
        </w:rPr>
      </w:pPr>
      <w:r>
        <w:rPr>
          <w:rFonts w:ascii="Arial;Helvetica;sans-serif" w:hAnsi="Arial;Helvetica;sans-serif"/>
          <w:b/>
          <w:i w:val="false"/>
          <w:caps/>
          <w:color w:val="2E2925"/>
          <w:spacing w:val="-3"/>
          <w:sz w:val="20"/>
        </w:rPr>
        <w:t>ROLES AND RESPONSIBILITIES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Role of Compensation Committee</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Committee administers our executive compensation programs. The role of the Compensation Committee is to review and approve the compensation paid to our NEOs and certain other executive officers of the Company, and to review the compensation policies and practices for all of our employees to verify that the policies and practices do not create unreasonable risks for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establishing compensation for NEOs, the Compensation Committee considers, among other things, recommendations by our CEO and our compensation consultant, and the compensation of similarly situated executives of peer companies. In addition, the Compensation Committee, with the assistance of management, reviews total compensation paid to certain other executive officers annually, including long-term equity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Committee reviews internal evaluations of the NEOs, and certain other executive officers and market data provided by management and its compensation consultant, Meridian Compensation Partners, LLC (“Meridian”). The Compensation Committee believes that NEO compensation for 2025 reflects an appropriate allocation of compensation between salary, annual incentive compensation and long-term equity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Committee reviews and approves corporate goals and objectives relevant to the CEO’s compensation, evaluates his performance considering those goals and objectives and determines and approves his compensation level based on this evaluation.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Role of Executive Officers</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CEO makes compensation recommendations for the other NEOs to the Compensation Committee. Additionally, management provides financial and compensation data to the Compensation Committee for its review in setting compensation and gives guidance as to how the data impacts performance goals set by the Compensation Committee. This data includes: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0" w:after="0"/>
        <w:ind w:left="166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financial performance for the current year compared to the preceding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46050" distB="0" distL="254000" distR="0" simplePos="0" locked="0" layoutInCell="1" allowOverlap="1" relativeHeight="472">
                <wp:simplePos x="0" y="0"/>
                <wp:positionH relativeFrom="column">
                  <wp:align>left</wp:align>
                </wp:positionH>
                <wp:positionV relativeFrom="line">
                  <wp:align>top</wp:align>
                </wp:positionV>
                <wp:extent cx="228600" cy="350520"/>
                <wp:effectExtent l="0" t="0" r="0" b="0"/>
                <wp:wrapSquare wrapText="right"/>
                <wp:docPr id="480" name="Frame35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5pt;mso-wrap-distance-bottom:0pt;margin-top:11.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04"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performance evaluations of the NEOs (other than the CEO) including experience, prior performance and anticipated future performance;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9540" distB="0" distL="254000" distR="0" simplePos="0" locked="0" layoutInCell="1" allowOverlap="1" relativeHeight="473">
                <wp:simplePos x="0" y="0"/>
                <wp:positionH relativeFrom="column">
                  <wp:align>left</wp:align>
                </wp:positionH>
                <wp:positionV relativeFrom="line">
                  <wp:align>top</wp:align>
                </wp:positionV>
                <wp:extent cx="228600" cy="350520"/>
                <wp:effectExtent l="0" t="0" r="0" b="0"/>
                <wp:wrapSquare wrapText="right"/>
                <wp:docPr id="481" name="Frame35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0.2pt;mso-wrap-distance-bottom:0pt;margin-top:10.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04" w:after="0"/>
        <w:ind w:left="166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industry-wide business conditions;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9540" distB="0" distL="254000" distR="0" simplePos="0" locked="0" layoutInCell="1" allowOverlap="1" relativeHeight="474">
                <wp:simplePos x="0" y="0"/>
                <wp:positionH relativeFrom="column">
                  <wp:align>left</wp:align>
                </wp:positionH>
                <wp:positionV relativeFrom="line">
                  <wp:align>top</wp:align>
                </wp:positionV>
                <wp:extent cx="228600" cy="350520"/>
                <wp:effectExtent l="0" t="0" r="0" b="0"/>
                <wp:wrapSquare wrapText="right"/>
                <wp:docPr id="482" name="Frame35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0.2pt;mso-wrap-distance-bottom:0pt;margin-top:10.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02" w:after="0"/>
        <w:ind w:left="166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total compensation provided to the NEOs in previous years.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8270" distB="0" distL="254000" distR="0" simplePos="0" locked="0" layoutInCell="1" allowOverlap="1" relativeHeight="475">
                <wp:simplePos x="0" y="0"/>
                <wp:positionH relativeFrom="column">
                  <wp:align>left</wp:align>
                </wp:positionH>
                <wp:positionV relativeFrom="line">
                  <wp:align>top</wp:align>
                </wp:positionV>
                <wp:extent cx="228600" cy="350520"/>
                <wp:effectExtent l="0" t="0" r="0" b="0"/>
                <wp:wrapSquare wrapText="right"/>
                <wp:docPr id="483" name="Frame35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0.1pt;mso-wrap-distance-bottom:0pt;margin-top:10.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Role of Compensation Consultant</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scope of Meridian’s work included the following items in connection with 2025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0" w:after="0"/>
        <w:ind w:left="166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providing the Compensation Committee with relevant market data;</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46050" distB="0" distL="254000" distR="0" simplePos="0" locked="0" layoutInCell="1" allowOverlap="1" relativeHeight="476">
                <wp:simplePos x="0" y="0"/>
                <wp:positionH relativeFrom="column">
                  <wp:align>left</wp:align>
                </wp:positionH>
                <wp:positionV relativeFrom="line">
                  <wp:align>top</wp:align>
                </wp:positionV>
                <wp:extent cx="228600" cy="350520"/>
                <wp:effectExtent l="0" t="0" r="0" b="0"/>
                <wp:wrapSquare wrapText="right"/>
                <wp:docPr id="484" name="Frame36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5pt;mso-wrap-distance-bottom:0pt;margin-top:11.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02" w:after="0"/>
        <w:ind w:left="166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updating the Compensation Committee on related trends and developments;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8270" distB="0" distL="254000" distR="0" simplePos="0" locked="0" layoutInCell="1" allowOverlap="1" relativeHeight="477">
                <wp:simplePos x="0" y="0"/>
                <wp:positionH relativeFrom="column">
                  <wp:align>left</wp:align>
                </wp:positionH>
                <wp:positionV relativeFrom="line">
                  <wp:align>top</wp:align>
                </wp:positionV>
                <wp:extent cx="228600" cy="350520"/>
                <wp:effectExtent l="0" t="0" r="0" b="0"/>
                <wp:wrapSquare wrapText="right"/>
                <wp:docPr id="485" name="Frame36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0.1pt;mso-wrap-distance-bottom:0pt;margin-top:10.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02" w:after="0"/>
        <w:ind w:left="166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providing input on compensation decisions for the NEOs and other employees;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8270" distB="0" distL="254000" distR="0" simplePos="0" locked="0" layoutInCell="1" allowOverlap="1" relativeHeight="478">
                <wp:simplePos x="0" y="0"/>
                <wp:positionH relativeFrom="column">
                  <wp:align>left</wp:align>
                </wp:positionH>
                <wp:positionV relativeFrom="line">
                  <wp:align>top</wp:align>
                </wp:positionV>
                <wp:extent cx="228600" cy="350520"/>
                <wp:effectExtent l="0" t="0" r="0" b="0"/>
                <wp:wrapSquare wrapText="right"/>
                <wp:docPr id="486" name="Frame36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0.1pt;mso-wrap-distance-bottom:0pt;margin-top:10.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02"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providing input on various compensation matters and policies as requested by the Compensation Committee.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8270" distB="0" distL="254000" distR="0" simplePos="0" locked="0" layoutInCell="1" allowOverlap="1" relativeHeight="479">
                <wp:simplePos x="0" y="0"/>
                <wp:positionH relativeFrom="column">
                  <wp:align>left</wp:align>
                </wp:positionH>
                <wp:positionV relativeFrom="line">
                  <wp:align>top</wp:align>
                </wp:positionV>
                <wp:extent cx="228600" cy="350520"/>
                <wp:effectExtent l="0" t="0" r="0" b="0"/>
                <wp:wrapSquare wrapText="right"/>
                <wp:docPr id="487" name="Frame36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0.1pt;mso-wrap-distance-bottom:0pt;margin-top:10.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Meridian is independent and provides no services directly to the Company and no conflicts of interest exist between the Company and Meridian.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2E2925"/>
          <w:sz w:val="20"/>
        </w:rPr>
      </w:pPr>
      <w:r>
        <w:rPr>
          <w:rFonts w:ascii="Arial;Helvetica;sans-serif" w:hAnsi="Arial;Helvetica;sans-serif"/>
          <w:b/>
          <w:i w:val="false"/>
          <w:caps/>
          <w:color w:val="2E2925"/>
          <w:spacing w:val="-3"/>
          <w:sz w:val="20"/>
        </w:rPr>
        <w:t>RISK ASSESSMENT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Compensation Committee’s annual review and approval of the Company’s compensation strategy includes a review of compensation-related risk. In this regard, the Compensation Committee annually considers the relationship </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/ 59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Compensation Discussion and Analysis</w:t>
      </w:r>
      <w:r>
        <w:rPr>
          <w:rFonts w:ascii="Arial;Helvetica;sans-serif" w:hAnsi="Arial;Helvetica;sans-serif"/>
          <w:b/>
          <w:i w:val="false"/>
          <w:caps w:val="false"/>
          <w:smallCaps w:val="false"/>
          <w:color w:val="7F7F7F"/>
          <w:spacing w:val="-3"/>
          <w:sz w:val="22"/>
        </w:rPr>
        <w:t xml:space="preserve"> </w:t>
      </w:r>
    </w:p>
    <w:p>
      <w:pPr>
        <w:pStyle w:val="TextBody"/>
        <w:bidi w:val="0"/>
        <w:spacing w:lineRule="atLeast" w:line="230" w:before="120" w:after="283"/>
        <w:ind w:left="9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between the Company’s overall compensation policies and practices for employees, including executive officers, and risk, including whether such policies and practices give rise to risks that would be reasonably likely to have a material adverse effect on the Company. Based on this review in 2025, the Compensation Committee concluded that there are no compensation-related risks that are reasonably likely to have a material adverse effect on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2E2925"/>
          <w:sz w:val="20"/>
        </w:rPr>
      </w:pPr>
      <w:r>
        <w:rPr>
          <w:rFonts w:ascii="Arial;Helvetica;sans-serif" w:hAnsi="Arial;Helvetica;sans-serif"/>
          <w:b/>
          <w:i w:val="false"/>
          <w:caps/>
          <w:color w:val="2E2925"/>
          <w:spacing w:val="-3"/>
          <w:sz w:val="20"/>
        </w:rPr>
        <w:t>MARKET REVIEW AND COMPENSATION PEER GROUP</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2025 NEO performance, the Compensation Committee compared our executive compensation program with competitive market information regarding salary and incentive awards and programs. The purpose of this analysis is to provide a beginning reference point in evaluating the reasonableness and competitiveness of our executive compensation within the real estate development and operating industry and to ensure that our compensation program is generally comparable to companies of similar size and scope of operations.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Market pay levels are obtained from various sources, including published compensation surveys and information taken from SEC filings of 14 public companies recommended and benchmarked by Meridian and reviewed by the Compensation Committee. The Compensation Committee may also consider compensation paid at private real estate and investment companies and larger real estate companies as additional context but does not benchmark NEO compensation against them. The following companies constituted the benchmarking peer group analyzed by Meridian and provided to the Compensation Committee for purposes of its review and consideration of the 2025 compensation decisions approved for our NEOs: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Peer Group</w:t>
      </w:r>
      <w:r>
        <w:rPr>
          <w:rFonts w:ascii="Arial;Helvetica;sans-serif" w:hAnsi="Arial;Helvetica;sans-serif"/>
          <w:b/>
          <w:i/>
          <w:caps w:val="false"/>
          <w:smallCaps w:val="false"/>
          <w:color w:val="000000"/>
          <w:spacing w:val="4"/>
          <w:sz w:val="20"/>
        </w:rPr>
        <w:t xml:space="preserve"> </w:t>
      </w:r>
    </w:p>
    <w:tbl>
      <w:tblPr>
        <w:tblW w:w="9304" w:type="dxa"/>
        <w:jc w:val="left"/>
        <w:tblInd w:w="901" w:type="dxa"/>
        <w:tblLayout w:type="fixed"/>
        <w:tblCellMar>
          <w:top w:w="0" w:type="dxa"/>
          <w:left w:w="0" w:type="dxa"/>
          <w:bottom w:w="28" w:type="dxa"/>
          <w:right w:w="0" w:type="dxa"/>
        </w:tblCellMar>
      </w:tblPr>
      <w:tblGrid>
        <w:gridCol w:w="124"/>
        <w:gridCol w:w="2671"/>
        <w:gridCol w:w="109"/>
        <w:gridCol w:w="109"/>
        <w:gridCol w:w="3396"/>
        <w:gridCol w:w="109"/>
        <w:gridCol w:w="109"/>
        <w:gridCol w:w="2521"/>
        <w:gridCol w:w="156"/>
      </w:tblGrid>
      <w:tr>
        <w:trPr/>
        <w:tc>
          <w:tcPr>
            <w:tcW w:w="124" w:type="dxa"/>
            <w:tcBorders>
              <w:bottom w:val="single" w:sz="2" w:space="0" w:color="D5D4D3"/>
            </w:tcBorders>
            <w:vAlign w:val="center"/>
          </w:tcPr>
          <w:p>
            <w:pPr>
              <w:pStyle w:val="TableContents"/>
              <w:bidi w:val="0"/>
              <w:spacing w:before="0" w:after="283"/>
              <w:jc w:val="left"/>
              <w:rPr/>
            </w:pPr>
            <w:r>
              <w:rPr/>
              <w:t>​</w:t>
            </w:r>
          </w:p>
        </w:tc>
        <w:tc>
          <w:tcPr>
            <w:tcW w:w="2671" w:type="dxa"/>
            <w:tcBorders>
              <w:bottom w:val="single" w:sz="2" w:space="0" w:color="D5D4D3"/>
            </w:tcBorders>
            <w:tcMar>
              <w:bottom w:w="53" w:type="dxa"/>
            </w:tcMar>
            <w:vAlign w:val="center"/>
          </w:tcPr>
          <w:p>
            <w:pPr>
              <w:pStyle w:val="TableContents"/>
              <w:bidi w:val="0"/>
              <w:spacing w:lineRule="atLeast" w:line="180" w:before="0" w:after="0"/>
              <w:ind w:left="360" w:right="0" w:hanging="0"/>
              <w:jc w:val="left"/>
              <w:rPr>
                <w:spacing w:val="-1"/>
              </w:rPr>
            </w:pPr>
            <w:r>
              <w:rPr>
                <w:spacing w:val="-1"/>
              </w:rPr>
              <w:t xml:space="preserve">Camden Property Trust </w:t>
            </w:r>
            <w:r>
              <mc:AlternateContent>
                <mc:Choice Requires="wps">
                  <w:drawing>
                    <wp:anchor behindDoc="0" distT="0" distB="0" distL="0" distR="0" simplePos="0" locked="0" layoutInCell="1" allowOverlap="1" relativeHeight="480">
                      <wp:simplePos x="0" y="0"/>
                      <wp:positionH relativeFrom="column">
                        <wp:align>left</wp:align>
                      </wp:positionH>
                      <wp:positionV relativeFrom="line">
                        <wp:posOffset>635</wp:posOffset>
                      </wp:positionV>
                      <wp:extent cx="228600" cy="350520"/>
                      <wp:effectExtent l="0" t="0" r="0" b="0"/>
                      <wp:wrapSquare wrapText="right"/>
                      <wp:docPr id="488" name="Frame36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3396" w:type="dxa"/>
            <w:tcBorders>
              <w:bottom w:val="single" w:sz="2" w:space="0" w:color="D5D4D3"/>
            </w:tcBorders>
            <w:tcMar>
              <w:bottom w:w="53" w:type="dxa"/>
            </w:tcMar>
            <w:vAlign w:val="center"/>
          </w:tcPr>
          <w:p>
            <w:pPr>
              <w:pStyle w:val="TableContents"/>
              <w:bidi w:val="0"/>
              <w:spacing w:lineRule="atLeast" w:line="180" w:before="0" w:after="0"/>
              <w:ind w:left="360" w:right="0" w:hanging="0"/>
              <w:jc w:val="left"/>
              <w:rPr>
                <w:spacing w:val="-1"/>
              </w:rPr>
            </w:pPr>
            <w:r>
              <w:rPr>
                <w:spacing w:val="-1"/>
              </w:rPr>
              <w:t xml:space="preserve">JBG SMITH Properties </w:t>
            </w:r>
            <w:r>
              <mc:AlternateContent>
                <mc:Choice Requires="wps">
                  <w:drawing>
                    <wp:anchor behindDoc="0" distT="0" distB="0" distL="0" distR="0" simplePos="0" locked="0" layoutInCell="1" allowOverlap="1" relativeHeight="481">
                      <wp:simplePos x="0" y="0"/>
                      <wp:positionH relativeFrom="column">
                        <wp:align>left</wp:align>
                      </wp:positionH>
                      <wp:positionV relativeFrom="line">
                        <wp:posOffset>635</wp:posOffset>
                      </wp:positionV>
                      <wp:extent cx="228600" cy="350520"/>
                      <wp:effectExtent l="0" t="0" r="0" b="0"/>
                      <wp:wrapSquare wrapText="right"/>
                      <wp:docPr id="489" name="Frame36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2521" w:type="dxa"/>
            <w:tcBorders>
              <w:bottom w:val="single" w:sz="2" w:space="0" w:color="D5D4D3"/>
            </w:tcBorders>
            <w:tcMar>
              <w:bottom w:w="53" w:type="dxa"/>
            </w:tcMar>
            <w:vAlign w:val="center"/>
          </w:tcPr>
          <w:p>
            <w:pPr>
              <w:pStyle w:val="TableContents"/>
              <w:bidi w:val="0"/>
              <w:spacing w:lineRule="atLeast" w:line="180" w:before="0" w:after="0"/>
              <w:ind w:left="360" w:right="0" w:hanging="0"/>
              <w:jc w:val="left"/>
              <w:rPr>
                <w:spacing w:val="-1"/>
              </w:rPr>
            </w:pPr>
            <w:r>
              <w:rPr>
                <w:spacing w:val="-1"/>
              </w:rPr>
              <w:t xml:space="preserve">Tri Pointe Homes, Inc. </w:t>
            </w:r>
            <w:r>
              <mc:AlternateContent>
                <mc:Choice Requires="wps">
                  <w:drawing>
                    <wp:anchor behindDoc="0" distT="0" distB="0" distL="0" distR="0" simplePos="0" locked="0" layoutInCell="1" allowOverlap="1" relativeHeight="482">
                      <wp:simplePos x="0" y="0"/>
                      <wp:positionH relativeFrom="column">
                        <wp:align>left</wp:align>
                      </wp:positionH>
                      <wp:positionV relativeFrom="line">
                        <wp:posOffset>635</wp:posOffset>
                      </wp:positionV>
                      <wp:extent cx="228600" cy="350520"/>
                      <wp:effectExtent l="0" t="0" r="0" b="0"/>
                      <wp:wrapSquare wrapText="right"/>
                      <wp:docPr id="490" name="Frame36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2" w:space="0" w:color="D5D4D3"/>
            </w:tcBorders>
            <w:vAlign w:val="center"/>
          </w:tcPr>
          <w:p>
            <w:pPr>
              <w:pStyle w:val="TableContents"/>
              <w:bidi w:val="0"/>
              <w:spacing w:before="0" w:after="283"/>
              <w:jc w:val="left"/>
              <w:rPr/>
            </w:pPr>
            <w:r>
              <w:rPr/>
              <w:t>​</w:t>
            </w:r>
          </w:p>
        </w:tc>
      </w:tr>
      <w:tr>
        <w:trPr/>
        <w:tc>
          <w:tcPr>
            <w:tcW w:w="124" w:type="dxa"/>
            <w:tcBorders>
              <w:bottom w:val="single" w:sz="2" w:space="0" w:color="D5D4D3"/>
            </w:tcBorders>
            <w:vAlign w:val="center"/>
          </w:tcPr>
          <w:p>
            <w:pPr>
              <w:pStyle w:val="TableContents"/>
              <w:bidi w:val="0"/>
              <w:spacing w:before="0" w:after="283"/>
              <w:jc w:val="left"/>
              <w:rPr/>
            </w:pPr>
            <w:r>
              <w:rPr/>
              <w:t>​</w:t>
            </w:r>
          </w:p>
        </w:tc>
        <w:tc>
          <w:tcPr>
            <w:tcW w:w="2671" w:type="dxa"/>
            <w:tcBorders>
              <w:bottom w:val="single" w:sz="2" w:space="0" w:color="D5D4D3"/>
            </w:tcBorders>
            <w:tcMar>
              <w:bottom w:w="53" w:type="dxa"/>
            </w:tcMar>
            <w:vAlign w:val="center"/>
          </w:tcPr>
          <w:p>
            <w:pPr>
              <w:pStyle w:val="TableContents"/>
              <w:bidi w:val="0"/>
              <w:spacing w:lineRule="atLeast" w:line="180" w:before="0" w:after="0"/>
              <w:ind w:left="360" w:right="0" w:hanging="0"/>
              <w:jc w:val="left"/>
              <w:rPr>
                <w:spacing w:val="-1"/>
              </w:rPr>
            </w:pPr>
            <w:r>
              <w:rPr>
                <w:spacing w:val="-1"/>
              </w:rPr>
              <w:t xml:space="preserve">Brixmor Property Group Inc. </w:t>
            </w:r>
            <w:r>
              <mc:AlternateContent>
                <mc:Choice Requires="wps">
                  <w:drawing>
                    <wp:anchor behindDoc="0" distT="0" distB="0" distL="0" distR="0" simplePos="0" locked="0" layoutInCell="1" allowOverlap="1" relativeHeight="483">
                      <wp:simplePos x="0" y="0"/>
                      <wp:positionH relativeFrom="column">
                        <wp:align>left</wp:align>
                      </wp:positionH>
                      <wp:positionV relativeFrom="line">
                        <wp:posOffset>635</wp:posOffset>
                      </wp:positionV>
                      <wp:extent cx="228600" cy="350520"/>
                      <wp:effectExtent l="0" t="0" r="0" b="0"/>
                      <wp:wrapSquare wrapText="right"/>
                      <wp:docPr id="491" name="Frame36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3396" w:type="dxa"/>
            <w:tcBorders>
              <w:bottom w:val="single" w:sz="2" w:space="0" w:color="D5D4D3"/>
            </w:tcBorders>
            <w:tcMar>
              <w:bottom w:w="53" w:type="dxa"/>
            </w:tcMar>
            <w:vAlign w:val="center"/>
          </w:tcPr>
          <w:p>
            <w:pPr>
              <w:pStyle w:val="TableContents"/>
              <w:bidi w:val="0"/>
              <w:spacing w:lineRule="atLeast" w:line="180" w:before="0" w:after="0"/>
              <w:ind w:left="360" w:right="0" w:hanging="0"/>
              <w:jc w:val="left"/>
              <w:rPr>
                <w:spacing w:val="-1"/>
              </w:rPr>
            </w:pPr>
            <w:r>
              <w:rPr>
                <w:spacing w:val="-1"/>
              </w:rPr>
              <w:t xml:space="preserve">Kilroy Realty Corporation </w:t>
            </w:r>
            <w:r>
              <mc:AlternateContent>
                <mc:Choice Requires="wps">
                  <w:drawing>
                    <wp:anchor behindDoc="0" distT="0" distB="0" distL="0" distR="0" simplePos="0" locked="0" layoutInCell="1" allowOverlap="1" relativeHeight="484">
                      <wp:simplePos x="0" y="0"/>
                      <wp:positionH relativeFrom="column">
                        <wp:align>left</wp:align>
                      </wp:positionH>
                      <wp:positionV relativeFrom="line">
                        <wp:posOffset>635</wp:posOffset>
                      </wp:positionV>
                      <wp:extent cx="228600" cy="350520"/>
                      <wp:effectExtent l="0" t="0" r="0" b="0"/>
                      <wp:wrapSquare wrapText="right"/>
                      <wp:docPr id="492" name="Frame36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2521" w:type="dxa"/>
            <w:tcBorders>
              <w:bottom w:val="single" w:sz="2" w:space="0" w:color="D5D4D3"/>
            </w:tcBorders>
            <w:tcMar>
              <w:bottom w:w="53" w:type="dxa"/>
            </w:tcMar>
            <w:vAlign w:val="center"/>
          </w:tcPr>
          <w:p>
            <w:pPr>
              <w:pStyle w:val="TableContents"/>
              <w:bidi w:val="0"/>
              <w:spacing w:lineRule="atLeast" w:line="180" w:before="0" w:after="0"/>
              <w:ind w:left="360" w:right="0" w:hanging="0"/>
              <w:jc w:val="left"/>
              <w:rPr>
                <w:spacing w:val="-1"/>
              </w:rPr>
            </w:pPr>
            <w:r>
              <w:rPr>
                <w:spacing w:val="-1"/>
              </w:rPr>
              <w:t xml:space="preserve">Regency Centers Corporation </w:t>
            </w:r>
            <w:r>
              <mc:AlternateContent>
                <mc:Choice Requires="wps">
                  <w:drawing>
                    <wp:anchor behindDoc="0" distT="0" distB="0" distL="0" distR="0" simplePos="0" locked="0" layoutInCell="1" allowOverlap="1" relativeHeight="485">
                      <wp:simplePos x="0" y="0"/>
                      <wp:positionH relativeFrom="column">
                        <wp:align>left</wp:align>
                      </wp:positionH>
                      <wp:positionV relativeFrom="line">
                        <wp:posOffset>635</wp:posOffset>
                      </wp:positionV>
                      <wp:extent cx="228600" cy="350520"/>
                      <wp:effectExtent l="0" t="0" r="0" b="0"/>
                      <wp:wrapSquare wrapText="right"/>
                      <wp:docPr id="493" name="Frame36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2" w:space="0" w:color="D5D4D3"/>
            </w:tcBorders>
            <w:vAlign w:val="center"/>
          </w:tcPr>
          <w:p>
            <w:pPr>
              <w:pStyle w:val="TableContents"/>
              <w:bidi w:val="0"/>
              <w:spacing w:before="0" w:after="283"/>
              <w:jc w:val="left"/>
              <w:rPr/>
            </w:pPr>
            <w:r>
              <w:rPr/>
              <w:t>​</w:t>
            </w:r>
          </w:p>
        </w:tc>
      </w:tr>
      <w:tr>
        <w:trPr/>
        <w:tc>
          <w:tcPr>
            <w:tcW w:w="124" w:type="dxa"/>
            <w:tcBorders>
              <w:bottom w:val="single" w:sz="2" w:space="0" w:color="D5D4D3"/>
            </w:tcBorders>
            <w:vAlign w:val="center"/>
          </w:tcPr>
          <w:p>
            <w:pPr>
              <w:pStyle w:val="TableContents"/>
              <w:bidi w:val="0"/>
              <w:spacing w:before="0" w:after="283"/>
              <w:jc w:val="left"/>
              <w:rPr/>
            </w:pPr>
            <w:r>
              <w:rPr/>
              <w:t>​</w:t>
            </w:r>
          </w:p>
        </w:tc>
        <w:tc>
          <w:tcPr>
            <w:tcW w:w="2671" w:type="dxa"/>
            <w:tcBorders>
              <w:bottom w:val="single" w:sz="2" w:space="0" w:color="D5D4D3"/>
            </w:tcBorders>
            <w:tcMar>
              <w:bottom w:w="41" w:type="dxa"/>
            </w:tcMar>
            <w:vAlign w:val="center"/>
          </w:tcPr>
          <w:p>
            <w:pPr>
              <w:pStyle w:val="TableContents"/>
              <w:bidi w:val="0"/>
              <w:spacing w:lineRule="atLeast" w:line="216" w:before="0" w:after="0"/>
              <w:ind w:left="360" w:right="0" w:hanging="0"/>
              <w:jc w:val="left"/>
              <w:rPr>
                <w:spacing w:val="-1"/>
              </w:rPr>
            </w:pPr>
            <w:r>
              <w:rPr>
                <w:spacing w:val="-1"/>
              </w:rPr>
              <w:t xml:space="preserve">Cousins Properties </w:t>
              <w:br/>
              <w:t xml:space="preserve">Incorporated </w:t>
            </w:r>
            <w:r>
              <mc:AlternateContent>
                <mc:Choice Requires="wps">
                  <w:drawing>
                    <wp:anchor behindDoc="0" distT="0" distB="0" distL="0" distR="0" simplePos="0" locked="0" layoutInCell="1" allowOverlap="1" relativeHeight="486">
                      <wp:simplePos x="0" y="0"/>
                      <wp:positionH relativeFrom="column">
                        <wp:align>left</wp:align>
                      </wp:positionH>
                      <wp:positionV relativeFrom="line">
                        <wp:posOffset>635</wp:posOffset>
                      </wp:positionV>
                      <wp:extent cx="228600" cy="350520"/>
                      <wp:effectExtent l="0" t="0" r="0" b="0"/>
                      <wp:wrapSquare wrapText="right"/>
                      <wp:docPr id="494" name="Frame37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16"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6"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3396" w:type="dxa"/>
            <w:tcBorders>
              <w:bottom w:val="single" w:sz="2" w:space="0" w:color="D5D4D3"/>
            </w:tcBorders>
            <w:tcMar>
              <w:bottom w:w="41" w:type="dxa"/>
            </w:tcMar>
            <w:vAlign w:val="center"/>
          </w:tcPr>
          <w:p>
            <w:pPr>
              <w:pStyle w:val="TableContents"/>
              <w:bidi w:val="0"/>
              <w:spacing w:lineRule="atLeast" w:line="180" w:before="0" w:after="0"/>
              <w:ind w:left="360" w:right="0" w:hanging="0"/>
              <w:jc w:val="left"/>
              <w:rPr>
                <w:spacing w:val="-1"/>
              </w:rPr>
            </w:pPr>
            <w:r>
              <w:rPr>
                <w:spacing w:val="-1"/>
              </w:rPr>
              <w:t xml:space="preserve">Meritage Homes Corporation </w:t>
            </w:r>
            <w:r>
              <mc:AlternateContent>
                <mc:Choice Requires="wps">
                  <w:drawing>
                    <wp:anchor behindDoc="0" distT="0" distB="0" distL="0" distR="0" simplePos="0" locked="0" layoutInCell="1" allowOverlap="1" relativeHeight="487">
                      <wp:simplePos x="0" y="0"/>
                      <wp:positionH relativeFrom="column">
                        <wp:align>left</wp:align>
                      </wp:positionH>
                      <wp:positionV relativeFrom="line">
                        <wp:posOffset>635</wp:posOffset>
                      </wp:positionV>
                      <wp:extent cx="228600" cy="350520"/>
                      <wp:effectExtent l="0" t="0" r="0" b="0"/>
                      <wp:wrapSquare wrapText="right"/>
                      <wp:docPr id="495" name="Frame37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2521" w:type="dxa"/>
            <w:tcBorders>
              <w:bottom w:val="single" w:sz="2" w:space="0" w:color="D5D4D3"/>
            </w:tcBorders>
            <w:tcMar>
              <w:bottom w:w="41" w:type="dxa"/>
            </w:tcMar>
            <w:vAlign w:val="center"/>
          </w:tcPr>
          <w:p>
            <w:pPr>
              <w:pStyle w:val="TableContents"/>
              <w:bidi w:val="0"/>
              <w:spacing w:lineRule="atLeast" w:line="180" w:before="0" w:after="0"/>
              <w:ind w:left="360" w:right="0" w:hanging="0"/>
              <w:jc w:val="left"/>
              <w:rPr>
                <w:spacing w:val="-1"/>
              </w:rPr>
            </w:pPr>
            <w:r>
              <w:rPr>
                <w:spacing w:val="-1"/>
              </w:rPr>
              <w:t xml:space="preserve">Toll Brothers, Inc. </w:t>
            </w:r>
            <w:r>
              <mc:AlternateContent>
                <mc:Choice Requires="wps">
                  <w:drawing>
                    <wp:anchor behindDoc="0" distT="0" distB="0" distL="0" distR="0" simplePos="0" locked="0" layoutInCell="1" allowOverlap="1" relativeHeight="488">
                      <wp:simplePos x="0" y="0"/>
                      <wp:positionH relativeFrom="column">
                        <wp:align>left</wp:align>
                      </wp:positionH>
                      <wp:positionV relativeFrom="line">
                        <wp:posOffset>635</wp:posOffset>
                      </wp:positionV>
                      <wp:extent cx="228600" cy="350520"/>
                      <wp:effectExtent l="0" t="0" r="0" b="0"/>
                      <wp:wrapSquare wrapText="right"/>
                      <wp:docPr id="496" name="Frame37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2" w:space="0" w:color="D5D4D3"/>
            </w:tcBorders>
            <w:vAlign w:val="center"/>
          </w:tcPr>
          <w:p>
            <w:pPr>
              <w:pStyle w:val="TableContents"/>
              <w:bidi w:val="0"/>
              <w:spacing w:before="0" w:after="283"/>
              <w:jc w:val="left"/>
              <w:rPr/>
            </w:pPr>
            <w:r>
              <w:rPr/>
              <w:t>​</w:t>
            </w:r>
          </w:p>
        </w:tc>
      </w:tr>
      <w:tr>
        <w:trPr/>
        <w:tc>
          <w:tcPr>
            <w:tcW w:w="124" w:type="dxa"/>
            <w:tcBorders>
              <w:bottom w:val="single" w:sz="2" w:space="0" w:color="D5D4D3"/>
            </w:tcBorders>
            <w:vAlign w:val="center"/>
          </w:tcPr>
          <w:p>
            <w:pPr>
              <w:pStyle w:val="TableContents"/>
              <w:bidi w:val="0"/>
              <w:spacing w:before="0" w:after="283"/>
              <w:jc w:val="left"/>
              <w:rPr/>
            </w:pPr>
            <w:r>
              <w:rPr/>
              <w:t>​</w:t>
            </w:r>
          </w:p>
        </w:tc>
        <w:tc>
          <w:tcPr>
            <w:tcW w:w="2671" w:type="dxa"/>
            <w:tcBorders>
              <w:bottom w:val="single" w:sz="2" w:space="0" w:color="D5D4D3"/>
            </w:tcBorders>
            <w:tcMar>
              <w:bottom w:w="53" w:type="dxa"/>
            </w:tcMar>
            <w:vAlign w:val="center"/>
          </w:tcPr>
          <w:p>
            <w:pPr>
              <w:pStyle w:val="TableContents"/>
              <w:bidi w:val="0"/>
              <w:spacing w:lineRule="atLeast" w:line="180" w:before="0" w:after="0"/>
              <w:ind w:left="360" w:right="0" w:hanging="0"/>
              <w:jc w:val="left"/>
              <w:rPr>
                <w:spacing w:val="-1"/>
              </w:rPr>
            </w:pPr>
            <w:r>
              <w:rPr>
                <w:spacing w:val="-1"/>
              </w:rPr>
              <w:t xml:space="preserve">Douglas Emmett, Inc. </w:t>
            </w:r>
            <w:r>
              <mc:AlternateContent>
                <mc:Choice Requires="wps">
                  <w:drawing>
                    <wp:anchor behindDoc="0" distT="0" distB="0" distL="0" distR="0" simplePos="0" locked="0" layoutInCell="1" allowOverlap="1" relativeHeight="489">
                      <wp:simplePos x="0" y="0"/>
                      <wp:positionH relativeFrom="column">
                        <wp:align>left</wp:align>
                      </wp:positionH>
                      <wp:positionV relativeFrom="line">
                        <wp:posOffset>635</wp:posOffset>
                      </wp:positionV>
                      <wp:extent cx="228600" cy="350520"/>
                      <wp:effectExtent l="0" t="0" r="0" b="0"/>
                      <wp:wrapSquare wrapText="right"/>
                      <wp:docPr id="497" name="Frame37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3396" w:type="dxa"/>
            <w:tcBorders>
              <w:bottom w:val="single" w:sz="2" w:space="0" w:color="D5D4D3"/>
            </w:tcBorders>
            <w:tcMar>
              <w:bottom w:w="53" w:type="dxa"/>
            </w:tcMar>
            <w:vAlign w:val="center"/>
          </w:tcPr>
          <w:p>
            <w:pPr>
              <w:pStyle w:val="TableContents"/>
              <w:bidi w:val="0"/>
              <w:spacing w:lineRule="atLeast" w:line="180" w:before="0" w:after="0"/>
              <w:ind w:left="360" w:right="0" w:hanging="0"/>
              <w:jc w:val="left"/>
              <w:rPr>
                <w:spacing w:val="-1"/>
              </w:rPr>
            </w:pPr>
            <w:r>
              <w:rPr>
                <w:spacing w:val="-1"/>
              </w:rPr>
              <w:t xml:space="preserve">Mid-America Apartment Communities, Inc. </w:t>
            </w:r>
            <w:r>
              <mc:AlternateContent>
                <mc:Choice Requires="wps">
                  <w:drawing>
                    <wp:anchor behindDoc="0" distT="0" distB="0" distL="0" distR="0" simplePos="0" locked="0" layoutInCell="1" allowOverlap="1" relativeHeight="490">
                      <wp:simplePos x="0" y="0"/>
                      <wp:positionH relativeFrom="column">
                        <wp:align>left</wp:align>
                      </wp:positionH>
                      <wp:positionV relativeFrom="line">
                        <wp:posOffset>635</wp:posOffset>
                      </wp:positionV>
                      <wp:extent cx="228600" cy="350520"/>
                      <wp:effectExtent l="0" t="0" r="0" b="0"/>
                      <wp:wrapSquare wrapText="right"/>
                      <wp:docPr id="498" name="Frame37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2521" w:type="dxa"/>
            <w:tcBorders>
              <w:bottom w:val="single" w:sz="2" w:space="0" w:color="D5D4D3"/>
            </w:tcBorders>
            <w:tcMar>
              <w:bottom w:w="53" w:type="dxa"/>
            </w:tcMar>
            <w:vAlign w:val="center"/>
          </w:tcPr>
          <w:p>
            <w:pPr>
              <w:pStyle w:val="TableContents"/>
              <w:bidi w:val="0"/>
              <w:spacing w:lineRule="atLeast" w:line="180" w:before="0" w:after="0"/>
              <w:ind w:left="360" w:right="0" w:hanging="0"/>
              <w:jc w:val="left"/>
              <w:rPr>
                <w:spacing w:val="-1"/>
              </w:rPr>
            </w:pPr>
            <w:r>
              <w:rPr>
                <w:spacing w:val="-1"/>
              </w:rPr>
              <w:t xml:space="preserve">UDR, Inc. </w:t>
            </w:r>
            <w:r>
              <mc:AlternateContent>
                <mc:Choice Requires="wps">
                  <w:drawing>
                    <wp:anchor behindDoc="0" distT="0" distB="0" distL="0" distR="0" simplePos="0" locked="0" layoutInCell="1" allowOverlap="1" relativeHeight="491">
                      <wp:simplePos x="0" y="0"/>
                      <wp:positionH relativeFrom="column">
                        <wp:align>left</wp:align>
                      </wp:positionH>
                      <wp:positionV relativeFrom="line">
                        <wp:posOffset>635</wp:posOffset>
                      </wp:positionV>
                      <wp:extent cx="228600" cy="350520"/>
                      <wp:effectExtent l="0" t="0" r="0" b="0"/>
                      <wp:wrapSquare wrapText="right"/>
                      <wp:docPr id="499" name="Frame37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2" w:space="0" w:color="D5D4D3"/>
            </w:tcBorders>
            <w:vAlign w:val="center"/>
          </w:tcPr>
          <w:p>
            <w:pPr>
              <w:pStyle w:val="TableContents"/>
              <w:bidi w:val="0"/>
              <w:spacing w:before="0" w:after="283"/>
              <w:jc w:val="left"/>
              <w:rPr/>
            </w:pPr>
            <w:r>
              <w:rPr/>
              <w:t>​</w:t>
            </w:r>
          </w:p>
        </w:tc>
      </w:tr>
      <w:tr>
        <w:trPr/>
        <w:tc>
          <w:tcPr>
            <w:tcW w:w="124" w:type="dxa"/>
            <w:tcBorders>
              <w:bottom w:val="single" w:sz="2" w:space="0" w:color="D5D4D3"/>
            </w:tcBorders>
            <w:vAlign w:val="center"/>
          </w:tcPr>
          <w:p>
            <w:pPr>
              <w:pStyle w:val="TableContents"/>
              <w:bidi w:val="0"/>
              <w:spacing w:before="0" w:after="283"/>
              <w:jc w:val="left"/>
              <w:rPr/>
            </w:pPr>
            <w:r>
              <w:rPr/>
              <w:t>​</w:t>
            </w:r>
          </w:p>
        </w:tc>
        <w:tc>
          <w:tcPr>
            <w:tcW w:w="2671" w:type="dxa"/>
            <w:tcBorders>
              <w:bottom w:val="single" w:sz="2" w:space="0" w:color="D5D4D3"/>
            </w:tcBorders>
            <w:tcMar>
              <w:bottom w:w="53" w:type="dxa"/>
            </w:tcMar>
            <w:vAlign w:val="center"/>
          </w:tcPr>
          <w:p>
            <w:pPr>
              <w:pStyle w:val="TableContents"/>
              <w:bidi w:val="0"/>
              <w:spacing w:lineRule="atLeast" w:line="180" w:before="0" w:after="0"/>
              <w:ind w:left="360" w:right="0" w:hanging="0"/>
              <w:jc w:val="both"/>
              <w:rPr>
                <w:spacing w:val="-1"/>
              </w:rPr>
            </w:pPr>
            <w:r>
              <w:rPr>
                <w:spacing w:val="-1"/>
              </w:rPr>
              <w:t xml:space="preserve">Federal Realty Investment Trust </w:t>
            </w:r>
            <w:r>
              <mc:AlternateContent>
                <mc:Choice Requires="wps">
                  <w:drawing>
                    <wp:anchor behindDoc="0" distT="0" distB="0" distL="0" distR="0" simplePos="0" locked="0" layoutInCell="1" allowOverlap="1" relativeHeight="492">
                      <wp:simplePos x="0" y="0"/>
                      <wp:positionH relativeFrom="column">
                        <wp:align>left</wp:align>
                      </wp:positionH>
                      <wp:positionV relativeFrom="line">
                        <wp:posOffset>635</wp:posOffset>
                      </wp:positionV>
                      <wp:extent cx="228600" cy="350520"/>
                      <wp:effectExtent l="0" t="0" r="0" b="0"/>
                      <wp:wrapSquare wrapText="right"/>
                      <wp:docPr id="500" name="Frame37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3396" w:type="dxa"/>
            <w:tcBorders>
              <w:bottom w:val="single" w:sz="2" w:space="0" w:color="D5D4D3"/>
            </w:tcBorders>
            <w:tcMar>
              <w:bottom w:w="53" w:type="dxa"/>
            </w:tcMar>
            <w:vAlign w:val="center"/>
          </w:tcPr>
          <w:p>
            <w:pPr>
              <w:pStyle w:val="TableContents"/>
              <w:bidi w:val="0"/>
              <w:spacing w:lineRule="atLeast" w:line="180" w:before="0" w:after="0"/>
              <w:ind w:left="360" w:right="0" w:hanging="0"/>
              <w:jc w:val="left"/>
              <w:rPr/>
            </w:pPr>
            <w:r>
              <w:rPr>
                <w:spacing w:val="-1"/>
              </w:rPr>
              <w:t>Taylor Morrison Home Corporation</w:t>
            </w:r>
            <w:r>
              <w:rPr/>
              <w:t xml:space="preserve"> </w:t>
            </w:r>
            <w:r>
              <mc:AlternateContent>
                <mc:Choice Requires="wps">
                  <w:drawing>
                    <wp:anchor behindDoc="0" distT="0" distB="0" distL="0" distR="0" simplePos="0" locked="0" layoutInCell="1" allowOverlap="1" relativeHeight="493">
                      <wp:simplePos x="0" y="0"/>
                      <wp:positionH relativeFrom="column">
                        <wp:align>left</wp:align>
                      </wp:positionH>
                      <wp:positionV relativeFrom="line">
                        <wp:posOffset>635</wp:posOffset>
                      </wp:positionV>
                      <wp:extent cx="228600" cy="350520"/>
                      <wp:effectExtent l="0" t="0" r="0" b="0"/>
                      <wp:wrapSquare wrapText="right"/>
                      <wp:docPr id="501" name="Frame37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2786" w:type="dxa"/>
            <w:gridSpan w:val="3"/>
            <w:tcBorders/>
            <w:tcMar>
              <w:top w:w="28" w:type="dxa"/>
              <w:left w:w="28" w:type="dxa"/>
              <w:right w:w="28" w:type="dxa"/>
            </w:tcMar>
            <w:vAlign w:val="center"/>
          </w:tcPr>
          <w:p>
            <w:pPr>
              <w:pStyle w:val="TableContents"/>
              <w:bidi w:val="0"/>
              <w:spacing w:before="0" w:after="283"/>
              <w:jc w:val="left"/>
              <w:rPr/>
            </w:pPr>
            <w:r>
              <w:rPr/>
              <w:t>​</w:t>
            </w:r>
          </w:p>
        </w:tc>
      </w:tr>
    </w:tbl>
    <w:p>
      <w:pPr>
        <w:pStyle w:val="TextBody"/>
        <w:bidi w:val="0"/>
        <w:spacing w:lineRule="atLeast" w:line="230" w:before="136" w:after="283"/>
        <w:ind w:left="9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peer group consists of the same companies reviewed in 2024, with the exceptions of: (i) the removals of (a) Highwoods Properties, Inc. (“Highwoods”), (b) Hudson Pacific Properties, Inc. (“Hudson Pacific”), and (c) Beazer Homes USA, Inc. (“Beazer”); and (ii) the additions of (x) Taylor Morrison Home Corporation (“Taylor Morrison”), and (y) JBG SMITH Properties (“JBG Smith”). Highwoods, Hudson Pacific and Beazer were removed due to size considerations. Beazer was replaced by Taylor Morrison, a single family homebuilder. JBG Smith was added in light of its multiple asset classes and focus on development.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2E2925"/>
          <w:sz w:val="20"/>
        </w:rPr>
      </w:pPr>
      <w:r>
        <w:rPr>
          <w:rFonts w:ascii="Arial;Helvetica;sans-serif" w:hAnsi="Arial;Helvetica;sans-serif"/>
          <w:b/>
          <w:i w:val="false"/>
          <w:caps/>
          <w:color w:val="2E2925"/>
          <w:spacing w:val="-3"/>
          <w:sz w:val="20"/>
        </w:rPr>
        <w:t>EMPLOYMENT AGREEMENTS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of Messrs. O’Reilly, Olea, and Valane has an employment agreement with the Company. Mr. Cross also had such an agreement prior to retiring from the Company on September 16, 2025. These agreements provide for a minimum annual base salary, target annual incentive compensation under plans approved by the Compensation Committee, as well as severance and other benefits. The Compensation Committee approved the terms of the employment agreements based upon (a) its assessment of the terms necessary to retain highly qualified executives, and (b) arm’s-length negotiations with each of these executives. For a description of the material terms of these employment agreements and employment arrangements, see “</w:t>
      </w:r>
      <w:r>
        <w:rPr>
          <w:rFonts w:ascii="Arial;Helvetica;sans-serif" w:hAnsi="Arial;Helvetica;sans-serif"/>
          <w:b w:val="false"/>
          <w:i/>
          <w:caps w:val="false"/>
          <w:smallCaps w:val="false"/>
          <w:color w:val="000000"/>
          <w:sz w:val="20"/>
        </w:rPr>
        <w:t>Executive Compensation – Employment Agreements and Arrangements with the NEOs</w:t>
      </w:r>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Johnstone commenced his employment with the Company in November 2012. Mr. Johnstone served as HHC’s President, Hawaii Region from January 2020 to June 2025, and has served as HHC’s President, Hawaii Region &amp; National Condominium Development since July 2025. Mr. Johnstone is employed on an at-will basis.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Davis commenced his employment with the Company in May 2011. Mr. Davis served as Senior Vice President, Head of Investments from February 2021 to December 2024, Executive Vice President, Head of Investments and Operations from December 2024 to January 2026, and has served as HHC’s Chief Operating Officer since February 2026. Mr. Davis is employed on an at-will basis.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60 \ 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KEOE"/>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Compensation Discussion and Analysis</w:t>
      </w:r>
      <w:r>
        <w:rPr>
          <w:rFonts w:ascii="Arial;Helvetica;sans-serif" w:hAnsi="Arial;Helvetica;sans-serif"/>
          <w:b/>
          <w:i w:val="false"/>
          <w:caps w:val="false"/>
          <w:smallCaps w:val="false"/>
          <w:color w:val="7F7F7F"/>
          <w:sz w:val="22"/>
        </w:rPr>
        <w:t>​</w:t>
      </w:r>
    </w:p>
    <w:p>
      <w:pPr>
        <w:pStyle w:val="TextBody"/>
        <w:bidi w:val="0"/>
        <w:spacing w:lineRule="atLeast" w:line="340" w:before="120" w:after="5027"/>
        <w:ind w:left="901" w:right="0" w:hanging="0"/>
        <w:jc w:val="left"/>
        <w:rPr>
          <w:rFonts w:ascii="Arial;Helvetica;sans-serif" w:hAnsi="Arial;Helvetica;sans-serif"/>
          <w:b/>
          <w:i w:val="false"/>
          <w:caps w:val="false"/>
          <w:smallCaps w:val="false"/>
          <w:color w:val="7F7F7F"/>
          <w:sz w:val="30"/>
        </w:rPr>
      </w:pPr>
      <w:r>
        <w:rPr>
          <w:rFonts w:ascii="Arial;Helvetica;sans-serif" w:hAnsi="Arial;Helvetica;sans-serif"/>
          <w:b/>
          <w:i w:val="false"/>
          <w:caps w:val="false"/>
          <w:smallCaps w:val="false"/>
          <w:color w:val="7F7F7F"/>
          <w:spacing w:val="-1"/>
          <w:sz w:val="30"/>
        </w:rPr>
        <w:t>Key Elements of Executive Compensation Program</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following table outlines certain information regarding the key elements of our executive compensation program: </w:t>
      </w:r>
    </w:p>
    <w:tbl>
      <w:tblPr>
        <w:tblW w:w="9304" w:type="dxa"/>
        <w:jc w:val="left"/>
        <w:tblInd w:w="901" w:type="dxa"/>
        <w:tblLayout w:type="fixed"/>
        <w:tblCellMar>
          <w:top w:w="0" w:type="dxa"/>
          <w:left w:w="0" w:type="dxa"/>
          <w:bottom w:w="0" w:type="dxa"/>
          <w:right w:w="0" w:type="dxa"/>
        </w:tblCellMar>
      </w:tblPr>
      <w:tblGrid>
        <w:gridCol w:w="124"/>
        <w:gridCol w:w="1700"/>
        <w:gridCol w:w="109"/>
        <w:gridCol w:w="109"/>
        <w:gridCol w:w="2524"/>
        <w:gridCol w:w="109"/>
        <w:gridCol w:w="109"/>
        <w:gridCol w:w="4365"/>
        <w:gridCol w:w="155"/>
      </w:tblGrid>
      <w:tr>
        <w:trPr/>
        <w:tc>
          <w:tcPr>
            <w:tcW w:w="124" w:type="dxa"/>
            <w:tcBorders/>
            <w:shd w:fill="BAD8EA" w:val="clear"/>
            <w:vAlign w:val="center"/>
          </w:tcPr>
          <w:p>
            <w:pPr>
              <w:pStyle w:val="TableContents"/>
              <w:bidi w:val="0"/>
              <w:spacing w:before="0" w:after="283"/>
              <w:jc w:val="left"/>
              <w:rPr/>
            </w:pPr>
            <w:r>
              <w:rPr/>
              <w:t>​</w:t>
            </w:r>
          </w:p>
        </w:tc>
        <w:tc>
          <w:tcPr>
            <w:tcW w:w="1700" w:type="dxa"/>
            <w:tcBorders/>
            <w:shd w:fill="BAD8EA" w:val="clear"/>
            <w:vAlign w:val="center"/>
          </w:tcPr>
          <w:p>
            <w:pPr>
              <w:pStyle w:val="TableContents"/>
              <w:bidi w:val="0"/>
              <w:spacing w:before="0" w:after="0"/>
              <w:jc w:val="left"/>
              <w:rPr>
                <w:spacing w:val="0"/>
              </w:rPr>
            </w:pPr>
            <w:r>
              <w:rPr>
                <w:spacing w:val="0"/>
              </w:rPr>
              <w:t xml:space="preserve">Element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2524" w:type="dxa"/>
            <w:tcBorders/>
            <w:shd w:fill="BAD8EA" w:val="clear"/>
            <w:vAlign w:val="center"/>
          </w:tcPr>
          <w:p>
            <w:pPr>
              <w:pStyle w:val="TableContents"/>
              <w:bidi w:val="0"/>
              <w:spacing w:before="0" w:after="0"/>
              <w:jc w:val="left"/>
              <w:rPr>
                <w:spacing w:val="0"/>
              </w:rPr>
            </w:pPr>
            <w:r>
              <w:rPr>
                <w:spacing w:val="0"/>
              </w:rPr>
              <w:t xml:space="preserve">Form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4365" w:type="dxa"/>
            <w:tcBorders/>
            <w:shd w:fill="BAD8EA" w:val="clear"/>
            <w:vAlign w:val="center"/>
          </w:tcPr>
          <w:p>
            <w:pPr>
              <w:pStyle w:val="TableContents"/>
              <w:bidi w:val="0"/>
              <w:spacing w:before="0" w:after="0"/>
              <w:jc w:val="left"/>
              <w:rPr>
                <w:spacing w:val="0"/>
              </w:rPr>
            </w:pPr>
            <w:r>
              <w:rPr>
                <w:spacing w:val="0"/>
              </w:rPr>
              <w:t xml:space="preserve">Objectives and Basis </w:t>
            </w:r>
          </w:p>
        </w:tc>
        <w:tc>
          <w:tcPr>
            <w:tcW w:w="155"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969492"/>
            </w:tcBorders>
            <w:shd w:fill="E5E5E5" w:val="clear"/>
            <w:tcMar>
              <w:bottom w:w="28" w:type="dxa"/>
            </w:tcMar>
            <w:vAlign w:val="center"/>
          </w:tcPr>
          <w:p>
            <w:pPr>
              <w:pStyle w:val="TableContents"/>
              <w:bidi w:val="0"/>
              <w:spacing w:before="0" w:after="283"/>
              <w:jc w:val="left"/>
              <w:rPr/>
            </w:pPr>
            <w:r>
              <w:rPr/>
              <w:t>​</w:t>
            </w:r>
          </w:p>
        </w:tc>
        <w:tc>
          <w:tcPr>
            <w:tcW w:w="1700" w:type="dxa"/>
            <w:tcBorders>
              <w:bottom w:val="single" w:sz="2" w:space="0" w:color="969492"/>
            </w:tcBorders>
            <w:shd w:fill="E5E5E5" w:val="clear"/>
            <w:tcMar>
              <w:bottom w:w="28" w:type="dxa"/>
            </w:tcMar>
            <w:vAlign w:val="center"/>
          </w:tcPr>
          <w:p>
            <w:pPr>
              <w:pStyle w:val="TableContents"/>
              <w:bidi w:val="0"/>
              <w:spacing w:before="0" w:after="0"/>
              <w:jc w:val="left"/>
              <w:rPr>
                <w:b/>
              </w:rPr>
            </w:pPr>
            <w:r>
              <w:rPr>
                <w:b/>
                <w:spacing w:val="0"/>
              </w:rPr>
              <w:t>Base Salary</w:t>
            </w:r>
            <w:r>
              <w:rPr>
                <w:b/>
              </w:rPr>
              <w:t xml:space="preserve"> </w:t>
            </w:r>
          </w:p>
        </w:tc>
        <w:tc>
          <w:tcPr>
            <w:tcW w:w="109" w:type="dxa"/>
            <w:tcBorders>
              <w:bottom w:val="single" w:sz="2" w:space="0" w:color="969492"/>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969492"/>
            </w:tcBorders>
            <w:tcMar>
              <w:bottom w:w="28" w:type="dxa"/>
            </w:tcMar>
            <w:vAlign w:val="center"/>
          </w:tcPr>
          <w:p>
            <w:pPr>
              <w:pStyle w:val="TableContents"/>
              <w:bidi w:val="0"/>
              <w:spacing w:before="0" w:after="283"/>
              <w:jc w:val="left"/>
              <w:rPr/>
            </w:pPr>
            <w:r>
              <w:rPr/>
              <w:t>​</w:t>
            </w:r>
          </w:p>
        </w:tc>
        <w:tc>
          <w:tcPr>
            <w:tcW w:w="2524" w:type="dxa"/>
            <w:tcBorders>
              <w:bottom w:val="single" w:sz="2" w:space="0" w:color="969492"/>
            </w:tcBorders>
            <w:tcMar>
              <w:bottom w:w="28" w:type="dxa"/>
            </w:tcMar>
            <w:vAlign w:val="center"/>
          </w:tcPr>
          <w:p>
            <w:pPr>
              <w:pStyle w:val="TableContents"/>
              <w:bidi w:val="0"/>
              <w:spacing w:before="0" w:after="283"/>
              <w:jc w:val="left"/>
              <w:rPr>
                <w:spacing w:val="-2"/>
              </w:rPr>
            </w:pPr>
            <w:r>
              <w:rPr>
                <w:spacing w:val="-2"/>
              </w:rPr>
              <w:t xml:space="preserve">Cash </w:t>
            </w:r>
          </w:p>
        </w:tc>
        <w:tc>
          <w:tcPr>
            <w:tcW w:w="109" w:type="dxa"/>
            <w:tcBorders>
              <w:bottom w:val="single" w:sz="2" w:space="0" w:color="969492"/>
            </w:tcBorders>
            <w:tcMar>
              <w:bottom w:w="28" w:type="dxa"/>
            </w:tcMar>
            <w:vAlign w:val="center"/>
          </w:tcPr>
          <w:p>
            <w:pPr>
              <w:pStyle w:val="TableContents"/>
              <w:bidi w:val="0"/>
              <w:spacing w:before="0" w:after="283"/>
              <w:jc w:val="left"/>
              <w:rPr/>
            </w:pPr>
            <w:r>
              <w:rPr/>
              <w:t>​</w:t>
            </w:r>
          </w:p>
        </w:tc>
        <w:tc>
          <w:tcPr>
            <w:tcW w:w="109" w:type="dxa"/>
            <w:tcBorders>
              <w:bottom w:val="single" w:sz="2" w:space="0" w:color="969492"/>
            </w:tcBorders>
            <w:tcMar>
              <w:bottom w:w="28" w:type="dxa"/>
            </w:tcMar>
            <w:vAlign w:val="center"/>
          </w:tcPr>
          <w:p>
            <w:pPr>
              <w:pStyle w:val="TableContents"/>
              <w:bidi w:val="0"/>
              <w:spacing w:before="0" w:after="283"/>
              <w:jc w:val="left"/>
              <w:rPr/>
            </w:pPr>
            <w:r>
              <w:rPr/>
              <w:t>​</w:t>
            </w:r>
          </w:p>
        </w:tc>
        <w:tc>
          <w:tcPr>
            <w:tcW w:w="4365" w:type="dxa"/>
            <w:tcBorders>
              <w:bottom w:val="single" w:sz="2" w:space="0" w:color="969492"/>
            </w:tcBorders>
            <w:tcMar>
              <w:bottom w:w="28" w:type="dxa"/>
            </w:tcMar>
            <w:vAlign w:val="center"/>
          </w:tcPr>
          <w:p>
            <w:pPr>
              <w:pStyle w:val="TableContents"/>
              <w:bidi w:val="0"/>
              <w:spacing w:lineRule="atLeast" w:line="240" w:before="0" w:after="0"/>
              <w:ind w:left="360" w:right="0" w:hanging="0"/>
              <w:jc w:val="both"/>
              <w:rPr>
                <w:spacing w:val="-2"/>
              </w:rPr>
            </w:pPr>
            <w:r>
              <w:rPr>
                <w:spacing w:val="-2"/>
              </w:rPr>
              <w:t xml:space="preserve">Attract and retain highly qualified executives to drive our success </w:t>
            </w:r>
            <w:r>
              <mc:AlternateContent>
                <mc:Choice Requires="wps">
                  <w:drawing>
                    <wp:anchor behindDoc="0" distT="0" distB="0" distL="0" distR="0" simplePos="0" locked="0" layoutInCell="1" allowOverlap="1" relativeHeight="494">
                      <wp:simplePos x="0" y="0"/>
                      <wp:positionH relativeFrom="column">
                        <wp:align>left</wp:align>
                      </wp:positionH>
                      <wp:positionV relativeFrom="line">
                        <wp:posOffset>635</wp:posOffset>
                      </wp:positionV>
                      <wp:extent cx="228600" cy="350520"/>
                      <wp:effectExtent l="0" t="0" r="0" b="0"/>
                      <wp:wrapSquare wrapText="right"/>
                      <wp:docPr id="502" name="Frame37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969492"/>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700" w:type="dxa"/>
            <w:tcBorders>
              <w:bottom w:val="single" w:sz="2" w:space="0" w:color="E5E5E5"/>
            </w:tcBorders>
            <w:shd w:fill="E5E5E5" w:val="clear"/>
            <w:tcMar>
              <w:bottom w:w="28" w:type="dxa"/>
            </w:tcMar>
            <w:vAlign w:val="center"/>
          </w:tcPr>
          <w:p>
            <w:pPr>
              <w:pStyle w:val="TableContents"/>
              <w:bidi w:val="0"/>
              <w:spacing w:before="0" w:after="0"/>
              <w:jc w:val="left"/>
              <w:rPr>
                <w:b/>
              </w:rPr>
            </w:pPr>
            <w:r>
              <w:rPr>
                <w:b/>
                <w:spacing w:val="0"/>
              </w:rPr>
              <w:t>Annual Incentive</w:t>
            </w:r>
            <w:r>
              <w:rPr>
                <w:b/>
              </w:rPr>
              <w:t xml:space="preserve"> </w:t>
            </w:r>
          </w:p>
        </w:tc>
        <w:tc>
          <w:tcPr>
            <w:tcW w:w="109"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2524" w:type="dxa"/>
            <w:tcBorders>
              <w:bottom w:val="single" w:sz="12" w:space="0" w:color="FFFFFF"/>
            </w:tcBorders>
            <w:tcMar>
              <w:bottom w:w="28" w:type="dxa"/>
            </w:tcMar>
            <w:vAlign w:val="center"/>
          </w:tcPr>
          <w:p>
            <w:pPr>
              <w:pStyle w:val="TableContents"/>
              <w:bidi w:val="0"/>
              <w:spacing w:before="0" w:after="283"/>
              <w:jc w:val="left"/>
              <w:rPr>
                <w:spacing w:val="-2"/>
              </w:rPr>
            </w:pPr>
            <w:r>
              <w:rPr>
                <w:spacing w:val="-2"/>
              </w:rPr>
              <w:t xml:space="preserve">Cash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4" w:space="0" w:color="6E561B"/>
            </w:tcBorders>
            <w:tcMar>
              <w:bottom w:w="28" w:type="dxa"/>
            </w:tcMar>
            <w:vAlign w:val="center"/>
          </w:tcPr>
          <w:p>
            <w:pPr>
              <w:pStyle w:val="TableContents"/>
              <w:bidi w:val="0"/>
              <w:spacing w:before="0" w:after="283"/>
              <w:jc w:val="left"/>
              <w:rPr/>
            </w:pPr>
            <w:r>
              <w:rPr/>
              <w:t>​</w:t>
            </w:r>
          </w:p>
        </w:tc>
        <w:tc>
          <w:tcPr>
            <w:tcW w:w="4365" w:type="dxa"/>
            <w:tcBorders>
              <w:bottom w:val="single" w:sz="4" w:space="0" w:color="6E561B"/>
            </w:tcBorders>
            <w:tcMar>
              <w:bottom w:w="28" w:type="dxa"/>
            </w:tcMar>
            <w:vAlign w:val="center"/>
          </w:tcPr>
          <w:p>
            <w:pPr>
              <w:pStyle w:val="TableContents"/>
              <w:bidi w:val="0"/>
              <w:spacing w:lineRule="atLeast" w:line="200" w:before="0" w:after="0"/>
              <w:ind w:left="360" w:right="0" w:hanging="0"/>
              <w:jc w:val="left"/>
              <w:rPr>
                <w:spacing w:val="-2"/>
              </w:rPr>
            </w:pPr>
            <w:r>
              <w:rPr>
                <w:spacing w:val="-2"/>
              </w:rPr>
              <w:t xml:space="preserve">Drive Company and segment results </w:t>
            </w:r>
            <w:r>
              <mc:AlternateContent>
                <mc:Choice Requires="wps">
                  <w:drawing>
                    <wp:anchor behindDoc="0" distT="0" distB="0" distL="0" distR="0" simplePos="0" locked="0" layoutInCell="1" allowOverlap="1" relativeHeight="495">
                      <wp:simplePos x="0" y="0"/>
                      <wp:positionH relativeFrom="column">
                        <wp:align>left</wp:align>
                      </wp:positionH>
                      <wp:positionV relativeFrom="line">
                        <wp:posOffset>635</wp:posOffset>
                      </wp:positionV>
                      <wp:extent cx="228600" cy="350520"/>
                      <wp:effectExtent l="0" t="0" r="0" b="0"/>
                      <wp:wrapSquare wrapText="right"/>
                      <wp:docPr id="503" name="Frame37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4" w:space="0" w:color="6E561B"/>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969492"/>
            </w:tcBorders>
            <w:shd w:fill="E5E5E5" w:val="clear"/>
            <w:tcMar>
              <w:bottom w:w="28" w:type="dxa"/>
            </w:tcMar>
            <w:vAlign w:val="center"/>
          </w:tcPr>
          <w:p>
            <w:pPr>
              <w:pStyle w:val="TableContents"/>
              <w:bidi w:val="0"/>
              <w:spacing w:before="0" w:after="283"/>
              <w:jc w:val="left"/>
              <w:rPr/>
            </w:pPr>
            <w:r>
              <w:rPr/>
              <w:t>​</w:t>
            </w:r>
          </w:p>
        </w:tc>
        <w:tc>
          <w:tcPr>
            <w:tcW w:w="1700" w:type="dxa"/>
            <w:tcBorders>
              <w:bottom w:val="single" w:sz="2" w:space="0" w:color="969492"/>
            </w:tcBorders>
            <w:shd w:fill="E5E5E5" w:val="clear"/>
            <w:tcMar>
              <w:bottom w:w="28" w:type="dxa"/>
            </w:tcMar>
            <w:vAlign w:val="center"/>
          </w:tcPr>
          <w:p>
            <w:pPr>
              <w:pStyle w:val="TableContents"/>
              <w:bidi w:val="0"/>
              <w:spacing w:before="0" w:after="0"/>
              <w:jc w:val="left"/>
              <w:rPr>
                <w:b/>
                <w:spacing w:val="0"/>
              </w:rPr>
            </w:pPr>
            <w:r>
              <w:rPr>
                <w:b/>
                <w:spacing w:val="0"/>
              </w:rPr>
              <w:t xml:space="preserve">Compensation </w:t>
            </w:r>
          </w:p>
        </w:tc>
        <w:tc>
          <w:tcPr>
            <w:tcW w:w="109" w:type="dxa"/>
            <w:tcBorders>
              <w:bottom w:val="single" w:sz="2" w:space="0" w:color="969492"/>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969492"/>
            </w:tcBorders>
            <w:tcMar>
              <w:bottom w:w="28" w:type="dxa"/>
            </w:tcMar>
            <w:vAlign w:val="center"/>
          </w:tcPr>
          <w:p>
            <w:pPr>
              <w:pStyle w:val="TableContents"/>
              <w:bidi w:val="0"/>
              <w:spacing w:before="0" w:after="283"/>
              <w:jc w:val="left"/>
              <w:rPr/>
            </w:pPr>
            <w:r>
              <w:rPr/>
              <w:t>​</w:t>
            </w:r>
          </w:p>
        </w:tc>
        <w:tc>
          <w:tcPr>
            <w:tcW w:w="2524" w:type="dxa"/>
            <w:tcBorders>
              <w:bottom w:val="single" w:sz="2" w:space="0" w:color="969492"/>
            </w:tcBorders>
            <w:tcMar>
              <w:bottom w:w="28" w:type="dxa"/>
            </w:tcMar>
            <w:vAlign w:val="center"/>
          </w:tcPr>
          <w:p>
            <w:pPr>
              <w:pStyle w:val="TableContents"/>
              <w:bidi w:val="0"/>
              <w:spacing w:before="0" w:after="283"/>
              <w:jc w:val="left"/>
              <w:rPr/>
            </w:pPr>
            <w:r>
              <w:rPr/>
              <w:t>​</w:t>
            </w:r>
          </w:p>
        </w:tc>
        <w:tc>
          <w:tcPr>
            <w:tcW w:w="109" w:type="dxa"/>
            <w:tcBorders>
              <w:bottom w:val="single" w:sz="2" w:space="0" w:color="969492"/>
            </w:tcBorders>
            <w:tcMar>
              <w:bottom w:w="28" w:type="dxa"/>
            </w:tcMar>
            <w:vAlign w:val="center"/>
          </w:tcPr>
          <w:p>
            <w:pPr>
              <w:pStyle w:val="TableContents"/>
              <w:bidi w:val="0"/>
              <w:spacing w:before="0" w:after="283"/>
              <w:jc w:val="left"/>
              <w:rPr/>
            </w:pPr>
            <w:r>
              <w:rPr/>
              <w:t>​</w:t>
            </w:r>
          </w:p>
        </w:tc>
        <w:tc>
          <w:tcPr>
            <w:tcW w:w="109" w:type="dxa"/>
            <w:tcBorders>
              <w:bottom w:val="single" w:sz="2" w:space="0" w:color="969492"/>
            </w:tcBorders>
            <w:tcMar>
              <w:bottom w:w="28" w:type="dxa"/>
            </w:tcMar>
            <w:vAlign w:val="center"/>
          </w:tcPr>
          <w:p>
            <w:pPr>
              <w:pStyle w:val="TableContents"/>
              <w:bidi w:val="0"/>
              <w:spacing w:before="0" w:after="283"/>
              <w:jc w:val="left"/>
              <w:rPr/>
            </w:pPr>
            <w:r>
              <w:rPr/>
              <w:t>​</w:t>
            </w:r>
          </w:p>
        </w:tc>
        <w:tc>
          <w:tcPr>
            <w:tcW w:w="4365" w:type="dxa"/>
            <w:tcBorders>
              <w:bottom w:val="single" w:sz="2" w:space="0" w:color="969492"/>
            </w:tcBorders>
            <w:tcMar>
              <w:bottom w:w="28" w:type="dxa"/>
            </w:tcMar>
            <w:vAlign w:val="center"/>
          </w:tcPr>
          <w:p>
            <w:pPr>
              <w:pStyle w:val="TableContents"/>
              <w:bidi w:val="0"/>
              <w:spacing w:lineRule="atLeast" w:line="240" w:before="0" w:after="0"/>
              <w:ind w:left="360" w:right="0" w:hanging="0"/>
              <w:jc w:val="both"/>
              <w:rPr>
                <w:spacing w:val="-2"/>
              </w:rPr>
            </w:pPr>
            <w:r>
              <w:rPr>
                <w:spacing w:val="-2"/>
              </w:rPr>
              <w:t xml:space="preserve">Actual payout determined by the Compensation Committee based on the achievement of specific financial and operational goals and objectives established by the Compensation Committee during the first quarter of each calendar year </w:t>
            </w:r>
            <w:r>
              <mc:AlternateContent>
                <mc:Choice Requires="wps">
                  <w:drawing>
                    <wp:anchor behindDoc="0" distT="0" distB="0" distL="0" distR="0" simplePos="0" locked="0" layoutInCell="1" allowOverlap="1" relativeHeight="496">
                      <wp:simplePos x="0" y="0"/>
                      <wp:positionH relativeFrom="column">
                        <wp:align>left</wp:align>
                      </wp:positionH>
                      <wp:positionV relativeFrom="line">
                        <wp:posOffset>635</wp:posOffset>
                      </wp:positionV>
                      <wp:extent cx="228600" cy="350520"/>
                      <wp:effectExtent l="0" t="0" r="0" b="0"/>
                      <wp:wrapSquare wrapText="right"/>
                      <wp:docPr id="504" name="Frame38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969492"/>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700" w:type="dxa"/>
            <w:tcBorders>
              <w:bottom w:val="single" w:sz="2" w:space="0" w:color="E5E5E5"/>
            </w:tcBorders>
            <w:shd w:fill="E5E5E5" w:val="clear"/>
            <w:tcMar>
              <w:bottom w:w="28" w:type="dxa"/>
            </w:tcMar>
            <w:vAlign w:val="center"/>
          </w:tcPr>
          <w:p>
            <w:pPr>
              <w:pStyle w:val="TableContents"/>
              <w:bidi w:val="0"/>
              <w:spacing w:lineRule="atLeast" w:line="240" w:before="0" w:after="0"/>
              <w:jc w:val="left"/>
              <w:rPr>
                <w:b/>
              </w:rPr>
            </w:pPr>
            <w:r>
              <w:rPr>
                <w:b/>
                <w:spacing w:val="0"/>
              </w:rPr>
              <w:t>Long-Term Equity</w:t>
            </w:r>
            <w:r>
              <w:rPr>
                <w:b/>
              </w:rPr>
              <w:t xml:space="preserve"> </w:t>
            </w:r>
          </w:p>
        </w:tc>
        <w:tc>
          <w:tcPr>
            <w:tcW w:w="109"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2524" w:type="dxa"/>
            <w:vMerge w:val="restart"/>
            <w:tcBorders/>
            <w:vAlign w:val="center"/>
          </w:tcPr>
          <w:p>
            <w:pPr>
              <w:pStyle w:val="TableContents"/>
              <w:bidi w:val="0"/>
              <w:spacing w:lineRule="atLeast" w:line="240" w:before="0" w:after="0"/>
              <w:jc w:val="left"/>
              <w:rPr>
                <w:spacing w:val="-2"/>
              </w:rPr>
            </w:pPr>
            <w:r>
              <w:rPr>
                <w:spacing w:val="-2"/>
              </w:rPr>
              <w:t xml:space="preserve">Annual Restricted Stock Grants (time-based and performance-based vesting) </w:t>
            </w:r>
          </w:p>
        </w:tc>
        <w:tc>
          <w:tcPr>
            <w:tcW w:w="109" w:type="dxa"/>
            <w:vMerge w:val="restart"/>
            <w:tcBorders/>
            <w:vAlign w:val="center"/>
          </w:tcPr>
          <w:p>
            <w:pPr>
              <w:pStyle w:val="TableContents"/>
              <w:bidi w:val="0"/>
              <w:spacing w:before="0" w:after="283"/>
              <w:jc w:val="left"/>
              <w:rPr/>
            </w:pPr>
            <w:r>
              <w:rPr/>
              <w:t>​</w:t>
            </w:r>
          </w:p>
        </w:tc>
        <w:tc>
          <w:tcPr>
            <w:tcW w:w="109" w:type="dxa"/>
            <w:tcBorders>
              <w:bottom w:val="single" w:sz="4" w:space="0" w:color="6E561B"/>
            </w:tcBorders>
            <w:tcMar>
              <w:bottom w:w="28" w:type="dxa"/>
            </w:tcMar>
            <w:vAlign w:val="center"/>
          </w:tcPr>
          <w:p>
            <w:pPr>
              <w:pStyle w:val="TableContents"/>
              <w:bidi w:val="0"/>
              <w:spacing w:before="0" w:after="283"/>
              <w:jc w:val="left"/>
              <w:rPr/>
            </w:pPr>
            <w:r>
              <w:rPr/>
              <w:t>​</w:t>
            </w:r>
          </w:p>
        </w:tc>
        <w:tc>
          <w:tcPr>
            <w:tcW w:w="4365" w:type="dxa"/>
            <w:tcBorders>
              <w:bottom w:val="single" w:sz="4" w:space="0" w:color="6E561B"/>
            </w:tcBorders>
            <w:tcMar>
              <w:bottom w:w="28" w:type="dxa"/>
            </w:tcMar>
            <w:vAlign w:val="center"/>
          </w:tcPr>
          <w:p>
            <w:pPr>
              <w:pStyle w:val="TableContents"/>
              <w:bidi w:val="0"/>
              <w:spacing w:lineRule="atLeast" w:line="200" w:before="0" w:after="0"/>
              <w:ind w:left="360" w:right="0" w:hanging="0"/>
              <w:jc w:val="left"/>
              <w:rPr>
                <w:spacing w:val="-2"/>
              </w:rPr>
            </w:pPr>
            <w:r>
              <w:rPr>
                <w:spacing w:val="-2"/>
              </w:rPr>
              <w:t xml:space="preserve">Drive Company performance </w:t>
            </w:r>
            <w:r>
              <mc:AlternateContent>
                <mc:Choice Requires="wps">
                  <w:drawing>
                    <wp:anchor behindDoc="0" distT="0" distB="0" distL="0" distR="0" simplePos="0" locked="0" layoutInCell="1" allowOverlap="1" relativeHeight="497">
                      <wp:simplePos x="0" y="0"/>
                      <wp:positionH relativeFrom="column">
                        <wp:align>left</wp:align>
                      </wp:positionH>
                      <wp:positionV relativeFrom="line">
                        <wp:posOffset>635</wp:posOffset>
                      </wp:positionV>
                      <wp:extent cx="228600" cy="350520"/>
                      <wp:effectExtent l="0" t="0" r="0" b="0"/>
                      <wp:wrapSquare wrapText="right"/>
                      <wp:docPr id="505" name="Frame38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4" w:space="0" w:color="6E561B"/>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700" w:type="dxa"/>
            <w:tcBorders>
              <w:bottom w:val="single" w:sz="2" w:space="0" w:color="E5E5E5"/>
            </w:tcBorders>
            <w:shd w:fill="E5E5E5" w:val="clear"/>
            <w:tcMar>
              <w:bottom w:w="28" w:type="dxa"/>
            </w:tcMar>
            <w:vAlign w:val="center"/>
          </w:tcPr>
          <w:p>
            <w:pPr>
              <w:pStyle w:val="TableContents"/>
              <w:bidi w:val="0"/>
              <w:spacing w:before="0" w:after="0"/>
              <w:jc w:val="left"/>
              <w:rPr>
                <w:b/>
              </w:rPr>
            </w:pPr>
            <w:r>
              <w:rPr>
                <w:b/>
                <w:spacing w:val="0"/>
              </w:rPr>
              <w:t>Incentive</w:t>
            </w:r>
            <w:r>
              <w:rPr>
                <w:b/>
              </w:rPr>
              <w:t xml:space="preserve"> </w:t>
            </w:r>
          </w:p>
        </w:tc>
        <w:tc>
          <w:tcPr>
            <w:tcW w:w="109"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25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bottom w:val="single" w:sz="4" w:space="0" w:color="6E561B"/>
            </w:tcBorders>
            <w:tcMar>
              <w:bottom w:w="28" w:type="dxa"/>
            </w:tcMar>
            <w:vAlign w:val="center"/>
          </w:tcPr>
          <w:p>
            <w:pPr>
              <w:pStyle w:val="TableContents"/>
              <w:bidi w:val="0"/>
              <w:spacing w:before="0" w:after="283"/>
              <w:jc w:val="left"/>
              <w:rPr/>
            </w:pPr>
            <w:r>
              <w:rPr/>
              <w:t>​</w:t>
            </w:r>
          </w:p>
        </w:tc>
        <w:tc>
          <w:tcPr>
            <w:tcW w:w="4365" w:type="dxa"/>
            <w:tcBorders>
              <w:bottom w:val="single" w:sz="4" w:space="0" w:color="6E561B"/>
            </w:tcBorders>
            <w:tcMar>
              <w:bottom w:w="28" w:type="dxa"/>
            </w:tcMar>
            <w:vAlign w:val="center"/>
          </w:tcPr>
          <w:p>
            <w:pPr>
              <w:pStyle w:val="TableContents"/>
              <w:bidi w:val="0"/>
              <w:spacing w:lineRule="atLeast" w:line="240" w:before="0" w:after="0"/>
              <w:ind w:left="360" w:right="0" w:hanging="0"/>
              <w:jc w:val="both"/>
              <w:rPr>
                <w:spacing w:val="-2"/>
              </w:rPr>
            </w:pPr>
            <w:r>
              <w:rPr>
                <w:spacing w:val="-2"/>
              </w:rPr>
              <w:t xml:space="preserve">Align interests of executives with those of our stockholders </w:t>
            </w:r>
            <w:r>
              <mc:AlternateContent>
                <mc:Choice Requires="wps">
                  <w:drawing>
                    <wp:anchor behindDoc="0" distT="0" distB="0" distL="0" distR="0" simplePos="0" locked="0" layoutInCell="1" allowOverlap="1" relativeHeight="498">
                      <wp:simplePos x="0" y="0"/>
                      <wp:positionH relativeFrom="column">
                        <wp:align>left</wp:align>
                      </wp:positionH>
                      <wp:positionV relativeFrom="line">
                        <wp:posOffset>635</wp:posOffset>
                      </wp:positionV>
                      <wp:extent cx="228600" cy="350520"/>
                      <wp:effectExtent l="0" t="0" r="0" b="0"/>
                      <wp:wrapSquare wrapText="right"/>
                      <wp:docPr id="506" name="Frame38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4" w:space="0" w:color="6E561B"/>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700"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2524"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4" w:space="0" w:color="6E561B"/>
            </w:tcBorders>
            <w:tcMar>
              <w:bottom w:w="28" w:type="dxa"/>
            </w:tcMar>
            <w:vAlign w:val="center"/>
          </w:tcPr>
          <w:p>
            <w:pPr>
              <w:pStyle w:val="TableContents"/>
              <w:bidi w:val="0"/>
              <w:spacing w:before="0" w:after="283"/>
              <w:jc w:val="left"/>
              <w:rPr/>
            </w:pPr>
            <w:r>
              <w:rPr/>
              <w:t>​</w:t>
            </w:r>
          </w:p>
        </w:tc>
        <w:tc>
          <w:tcPr>
            <w:tcW w:w="4365" w:type="dxa"/>
            <w:tcBorders>
              <w:bottom w:val="single" w:sz="4" w:space="0" w:color="6E561B"/>
            </w:tcBorders>
            <w:tcMar>
              <w:bottom w:w="30" w:type="dxa"/>
            </w:tcMar>
            <w:vAlign w:val="center"/>
          </w:tcPr>
          <w:p>
            <w:pPr>
              <w:pStyle w:val="TableContents"/>
              <w:bidi w:val="0"/>
              <w:spacing w:lineRule="atLeast" w:line="200" w:before="0" w:after="0"/>
              <w:ind w:left="360" w:right="0" w:hanging="0"/>
              <w:jc w:val="left"/>
              <w:rPr>
                <w:spacing w:val="-2"/>
              </w:rPr>
            </w:pPr>
            <w:r>
              <w:rPr>
                <w:spacing w:val="-2"/>
              </w:rPr>
              <w:t xml:space="preserve">Retain executives through long-term vesting </w:t>
            </w:r>
            <w:r>
              <mc:AlternateContent>
                <mc:Choice Requires="wps">
                  <w:drawing>
                    <wp:anchor behindDoc="0" distT="0" distB="0" distL="0" distR="0" simplePos="0" locked="0" layoutInCell="1" allowOverlap="1" relativeHeight="499">
                      <wp:simplePos x="0" y="0"/>
                      <wp:positionH relativeFrom="column">
                        <wp:align>left</wp:align>
                      </wp:positionH>
                      <wp:positionV relativeFrom="line">
                        <wp:posOffset>635</wp:posOffset>
                      </wp:positionV>
                      <wp:extent cx="228600" cy="350520"/>
                      <wp:effectExtent l="0" t="0" r="0" b="0"/>
                      <wp:wrapSquare wrapText="right"/>
                      <wp:docPr id="507" name="Frame38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4" w:space="0" w:color="6E561B"/>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969492"/>
            </w:tcBorders>
            <w:shd w:fill="E5E5E5" w:val="clear"/>
            <w:tcMar>
              <w:bottom w:w="28" w:type="dxa"/>
            </w:tcMar>
            <w:vAlign w:val="center"/>
          </w:tcPr>
          <w:p>
            <w:pPr>
              <w:pStyle w:val="TableContents"/>
              <w:bidi w:val="0"/>
              <w:spacing w:before="0" w:after="283"/>
              <w:jc w:val="left"/>
              <w:rPr/>
            </w:pPr>
            <w:r>
              <w:rPr/>
              <w:t>​</w:t>
            </w:r>
          </w:p>
        </w:tc>
        <w:tc>
          <w:tcPr>
            <w:tcW w:w="1700" w:type="dxa"/>
            <w:tcBorders>
              <w:bottom w:val="single" w:sz="2" w:space="0" w:color="969492"/>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969492"/>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969492"/>
            </w:tcBorders>
            <w:tcMar>
              <w:bottom w:w="28" w:type="dxa"/>
            </w:tcMar>
            <w:vAlign w:val="center"/>
          </w:tcPr>
          <w:p>
            <w:pPr>
              <w:pStyle w:val="TableContents"/>
              <w:bidi w:val="0"/>
              <w:spacing w:before="0" w:after="283"/>
              <w:jc w:val="left"/>
              <w:rPr/>
            </w:pPr>
            <w:r>
              <w:rPr/>
              <w:t>​</w:t>
            </w:r>
          </w:p>
        </w:tc>
        <w:tc>
          <w:tcPr>
            <w:tcW w:w="2524" w:type="dxa"/>
            <w:tcBorders>
              <w:bottom w:val="single" w:sz="2" w:space="0" w:color="969492"/>
            </w:tcBorders>
            <w:tcMar>
              <w:bottom w:w="28" w:type="dxa"/>
            </w:tcMar>
            <w:vAlign w:val="center"/>
          </w:tcPr>
          <w:p>
            <w:pPr>
              <w:pStyle w:val="TableContents"/>
              <w:bidi w:val="0"/>
              <w:spacing w:before="0" w:after="283"/>
              <w:jc w:val="left"/>
              <w:rPr/>
            </w:pPr>
            <w:r>
              <w:rPr/>
              <w:t>​</w:t>
            </w:r>
          </w:p>
        </w:tc>
        <w:tc>
          <w:tcPr>
            <w:tcW w:w="109" w:type="dxa"/>
            <w:tcBorders>
              <w:bottom w:val="single" w:sz="2" w:space="0" w:color="969492"/>
            </w:tcBorders>
            <w:tcMar>
              <w:bottom w:w="28" w:type="dxa"/>
            </w:tcMar>
            <w:vAlign w:val="center"/>
          </w:tcPr>
          <w:p>
            <w:pPr>
              <w:pStyle w:val="TableContents"/>
              <w:bidi w:val="0"/>
              <w:spacing w:before="0" w:after="283"/>
              <w:jc w:val="left"/>
              <w:rPr/>
            </w:pPr>
            <w:r>
              <w:rPr/>
              <w:t>​</w:t>
            </w:r>
          </w:p>
        </w:tc>
        <w:tc>
          <w:tcPr>
            <w:tcW w:w="109" w:type="dxa"/>
            <w:tcBorders>
              <w:bottom w:val="single" w:sz="2" w:space="0" w:color="969492"/>
            </w:tcBorders>
            <w:tcMar>
              <w:bottom w:w="28" w:type="dxa"/>
            </w:tcMar>
            <w:vAlign w:val="center"/>
          </w:tcPr>
          <w:p>
            <w:pPr>
              <w:pStyle w:val="TableContents"/>
              <w:bidi w:val="0"/>
              <w:spacing w:before="0" w:after="283"/>
              <w:jc w:val="left"/>
              <w:rPr/>
            </w:pPr>
            <w:r>
              <w:rPr/>
              <w:t>​</w:t>
            </w:r>
          </w:p>
        </w:tc>
        <w:tc>
          <w:tcPr>
            <w:tcW w:w="4365" w:type="dxa"/>
            <w:tcBorders>
              <w:bottom w:val="single" w:sz="2" w:space="0" w:color="969492"/>
            </w:tcBorders>
            <w:tcMar>
              <w:bottom w:w="28" w:type="dxa"/>
            </w:tcMar>
            <w:vAlign w:val="center"/>
          </w:tcPr>
          <w:p>
            <w:pPr>
              <w:pStyle w:val="TableContents"/>
              <w:bidi w:val="0"/>
              <w:spacing w:lineRule="atLeast" w:line="240" w:before="0" w:after="0"/>
              <w:ind w:left="360" w:right="0" w:hanging="0"/>
              <w:jc w:val="both"/>
              <w:rPr>
                <w:spacing w:val="-2"/>
              </w:rPr>
            </w:pPr>
            <w:r>
              <w:rPr>
                <w:spacing w:val="-2"/>
              </w:rPr>
              <w:t xml:space="preserve">Provide stockholder-aligned wealth accumulation opportunities </w:t>
            </w:r>
            <w:r>
              <mc:AlternateContent>
                <mc:Choice Requires="wps">
                  <w:drawing>
                    <wp:anchor behindDoc="0" distT="0" distB="0" distL="0" distR="0" simplePos="0" locked="0" layoutInCell="1" allowOverlap="1" relativeHeight="500">
                      <wp:simplePos x="0" y="0"/>
                      <wp:positionH relativeFrom="column">
                        <wp:align>left</wp:align>
                      </wp:positionH>
                      <wp:positionV relativeFrom="line">
                        <wp:posOffset>635</wp:posOffset>
                      </wp:positionV>
                      <wp:extent cx="228600" cy="350520"/>
                      <wp:effectExtent l="0" t="0" r="0" b="0"/>
                      <wp:wrapSquare wrapText="right"/>
                      <wp:docPr id="508" name="Frame38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969492"/>
            </w:tcBorders>
            <w:tcMar>
              <w:bottom w:w="28" w:type="dxa"/>
            </w:tcMar>
            <w:vAlign w:val="center"/>
          </w:tcPr>
          <w:p>
            <w:pPr>
              <w:pStyle w:val="TableContents"/>
              <w:bidi w:val="0"/>
              <w:spacing w:before="0" w:after="283"/>
              <w:jc w:val="left"/>
              <w:rPr/>
            </w:pPr>
            <w:r>
              <w:rPr/>
              <w:t>​</w:t>
            </w:r>
          </w:p>
        </w:tc>
      </w:tr>
      <w:tr>
        <w:trPr/>
        <w:tc>
          <w:tcPr>
            <w:tcW w:w="124"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700" w:type="dxa"/>
            <w:tcBorders>
              <w:bottom w:val="single" w:sz="8" w:space="0" w:color="7F7F7F"/>
            </w:tcBorders>
            <w:shd w:fill="E5E5E5" w:val="clear"/>
            <w:tcMar>
              <w:bottom w:w="80" w:type="dxa"/>
            </w:tcMar>
            <w:vAlign w:val="center"/>
          </w:tcPr>
          <w:p>
            <w:pPr>
              <w:pStyle w:val="TableContents"/>
              <w:bidi w:val="0"/>
              <w:spacing w:before="0" w:after="0"/>
              <w:jc w:val="both"/>
              <w:rPr>
                <w:b/>
              </w:rPr>
            </w:pPr>
            <w:r>
              <w:rPr>
                <w:b/>
                <w:spacing w:val="0"/>
              </w:rPr>
              <w:t>Deferred Compensation</w:t>
            </w:r>
            <w:r>
              <w:rPr>
                <w:b/>
              </w:rPr>
              <w:t xml:space="preserve"> </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2524" w:type="dxa"/>
            <w:tcBorders>
              <w:bottom w:val="single" w:sz="8" w:space="0" w:color="7F7F7F"/>
            </w:tcBorders>
            <w:tcMar>
              <w:bottom w:w="80" w:type="dxa"/>
            </w:tcMar>
            <w:vAlign w:val="center"/>
          </w:tcPr>
          <w:p>
            <w:pPr>
              <w:pStyle w:val="TableContents"/>
              <w:bidi w:val="0"/>
              <w:spacing w:before="0" w:after="283"/>
              <w:jc w:val="left"/>
              <w:rPr>
                <w:spacing w:val="-2"/>
              </w:rPr>
            </w:pPr>
            <w:r>
              <w:rPr>
                <w:spacing w:val="-2"/>
              </w:rPr>
              <w:t xml:space="preserve">401(k) plan, non-qualified deferred compensation plan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4365" w:type="dxa"/>
            <w:tcBorders>
              <w:bottom w:val="single" w:sz="8" w:space="0" w:color="7F7F7F"/>
            </w:tcBorders>
            <w:tcMar>
              <w:bottom w:w="80" w:type="dxa"/>
            </w:tcMar>
            <w:vAlign w:val="center"/>
          </w:tcPr>
          <w:p>
            <w:pPr>
              <w:pStyle w:val="TableContents"/>
              <w:bidi w:val="0"/>
              <w:spacing w:lineRule="atLeast" w:line="240" w:before="0" w:after="0"/>
              <w:ind w:left="360" w:right="0" w:hanging="0"/>
              <w:jc w:val="both"/>
              <w:rPr/>
            </w:pPr>
            <w:r>
              <w:rPr>
                <w:spacing w:val="-2"/>
              </w:rPr>
              <w:t>Provide tax-deferred methods for general savings and retirement</w:t>
            </w:r>
            <w:r>
              <w:rPr/>
              <w:t xml:space="preserve"> </w:t>
            </w:r>
            <w:r>
              <mc:AlternateContent>
                <mc:Choice Requires="wps">
                  <w:drawing>
                    <wp:anchor behindDoc="0" distT="0" distB="0" distL="0" distR="0" simplePos="0" locked="0" layoutInCell="1" allowOverlap="1" relativeHeight="501">
                      <wp:simplePos x="0" y="0"/>
                      <wp:positionH relativeFrom="column">
                        <wp:align>left</wp:align>
                      </wp:positionH>
                      <wp:positionV relativeFrom="line">
                        <wp:posOffset>635</wp:posOffset>
                      </wp:positionV>
                      <wp:extent cx="228600" cy="350520"/>
                      <wp:effectExtent l="0" t="0" r="0" b="0"/>
                      <wp:wrapSquare wrapText="right"/>
                      <wp:docPr id="509" name="Frame38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8" w:space="0" w:color="7F7F7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64" w:after="283"/>
        <w:ind w:left="9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also provide other general benefits and limited perquisites, which are described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304" w:after="283"/>
        <w:jc w:val="left"/>
        <w:rPr>
          <w:rFonts w:ascii="Arial;Helvetica;sans-serif" w:hAnsi="Arial;Helvetica;sans-serif"/>
          <w:b/>
          <w:i w:val="false"/>
          <w:caps w:val="false"/>
          <w:smallCaps w:val="false"/>
          <w:color w:val="2E2925"/>
          <w:sz w:val="20"/>
        </w:rPr>
      </w:pPr>
      <w:r>
        <w:rPr>
          <w:rFonts w:ascii="Arial;Helvetica;sans-serif" w:hAnsi="Arial;Helvetica;sans-serif"/>
          <w:b/>
          <w:i w:val="false"/>
          <w:caps/>
          <w:color w:val="2E2925"/>
          <w:spacing w:val="-3"/>
          <w:sz w:val="20"/>
        </w:rPr>
        <w:t>2025 ANNUAL COMPENSATION MIX</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Consistent with the Compensation Committee’s compensation philosophy and objectives, the following sets forth the 2025 compensation decisions that were approved for our NEOs because of Company and individual performance achievements, as reflected in the Summary Compensation Table under the header “Executive Compensation” and elsewhere in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/ 61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Compensation Discussion and Analysis</w:t>
      </w:r>
      <w:r>
        <w:rPr>
          <w:rFonts w:ascii="Arial;Helvetica;sans-serif" w:hAnsi="Arial;Helvetica;sans-serif"/>
          <w:b/>
          <w:i w:val="false"/>
          <w:caps w:val="false"/>
          <w:smallCaps w:val="false"/>
          <w:color w:val="7F7F7F"/>
          <w:spacing w:val="-3"/>
          <w:sz w:val="22"/>
        </w:rPr>
        <w:t xml:space="preserve"> </w:t>
      </w:r>
    </w:p>
    <w:tbl>
      <w:tblPr>
        <w:tblW w:w="9304" w:type="dxa"/>
        <w:jc w:val="left"/>
        <w:tblInd w:w="901" w:type="dxa"/>
        <w:tblLayout w:type="fixed"/>
        <w:tblCellMar>
          <w:top w:w="0" w:type="dxa"/>
          <w:left w:w="0" w:type="dxa"/>
          <w:bottom w:w="0" w:type="dxa"/>
          <w:right w:w="0" w:type="dxa"/>
        </w:tblCellMar>
      </w:tblPr>
      <w:tblGrid>
        <w:gridCol w:w="124"/>
        <w:gridCol w:w="1785"/>
        <w:gridCol w:w="109"/>
        <w:gridCol w:w="109"/>
        <w:gridCol w:w="4019"/>
        <w:gridCol w:w="188"/>
        <w:gridCol w:w="188"/>
        <w:gridCol w:w="188"/>
        <w:gridCol w:w="188"/>
        <w:gridCol w:w="2057"/>
        <w:gridCol w:w="188"/>
        <w:gridCol w:w="161"/>
      </w:tblGrid>
      <w:tr>
        <w:trPr/>
        <w:tc>
          <w:tcPr>
            <w:tcW w:w="124" w:type="dxa"/>
            <w:tcBorders/>
            <w:shd w:fill="E5E5E5" w:val="clear"/>
            <w:vAlign w:val="center"/>
          </w:tcPr>
          <w:p>
            <w:pPr>
              <w:pStyle w:val="TableContents"/>
              <w:bidi w:val="0"/>
              <w:spacing w:before="0" w:after="283"/>
              <w:jc w:val="left"/>
              <w:rPr/>
            </w:pPr>
            <w:r>
              <w:rPr/>
              <w:t>​</w:t>
            </w:r>
          </w:p>
        </w:tc>
        <w:tc>
          <w:tcPr>
            <w:tcW w:w="1785"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7016" w:type="dxa"/>
            <w:gridSpan w:val="7"/>
            <w:tcBorders/>
            <w:shd w:fill="BAD8EA" w:val="clear"/>
            <w:vAlign w:val="center"/>
          </w:tcPr>
          <w:p>
            <w:pPr>
              <w:pStyle w:val="TableContents"/>
              <w:bidi w:val="0"/>
              <w:spacing w:before="0" w:after="0"/>
              <w:jc w:val="left"/>
              <w:rPr>
                <w:spacing w:val="0"/>
              </w:rPr>
            </w:pPr>
            <w:r>
              <w:rPr>
                <w:spacing w:val="0"/>
              </w:rPr>
              <w:t xml:space="preserve">Key Responsibilities </w:t>
            </w:r>
          </w:p>
        </w:tc>
        <w:tc>
          <w:tcPr>
            <w:tcW w:w="161" w:type="dxa"/>
            <w:tcBorders/>
            <w:shd w:fill="BAD8EA" w:val="clear"/>
            <w:vAlign w:val="center"/>
          </w:tcPr>
          <w:p>
            <w:pPr>
              <w:pStyle w:val="TableContents"/>
              <w:bidi w:val="0"/>
              <w:spacing w:before="0" w:after="283"/>
              <w:jc w:val="left"/>
              <w:rPr/>
            </w:pPr>
            <w:r>
              <w:rPr/>
              <w:t>​</w:t>
            </w:r>
          </w:p>
        </w:tc>
      </w:tr>
      <w:tr>
        <w:trPr/>
        <w:tc>
          <w:tcPr>
            <w:tcW w:w="124" w:type="dxa"/>
            <w:vMerge w:val="restart"/>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785" w:type="dxa"/>
            <w:vMerge w:val="restart"/>
            <w:tcBorders>
              <w:bottom w:val="single" w:sz="8" w:space="0" w:color="7F7F7F"/>
            </w:tcBorders>
            <w:shd w:fill="E5E5E5" w:val="clear"/>
            <w:tcMar>
              <w:bottom w:w="28" w:type="dxa"/>
            </w:tcMar>
            <w:vAlign w:val="center"/>
          </w:tcPr>
          <w:p>
            <w:pPr>
              <w:pStyle w:val="TableContents"/>
              <w:bidi w:val="0"/>
              <w:spacing w:before="0" w:after="0"/>
              <w:jc w:val="left"/>
              <w:rPr/>
            </w:pPr>
            <w:r>
              <w:rPr/>
              <w:drawing>
                <wp:inline distT="0" distB="0" distL="0" distR="0">
                  <wp:extent cx="1019175" cy="1019175"/>
                  <wp:effectExtent l="0" t="0" r="0" b="0"/>
                  <wp:docPr id="510"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104" descr=""/>
                          <pic:cNvPicPr>
                            <a:picLocks noChangeAspect="1" noChangeArrowheads="1"/>
                          </pic:cNvPicPr>
                        </pic:nvPicPr>
                        <pic:blipFill>
                          <a:blip r:embed="rId126"/>
                          <a:stretch>
                            <a:fillRect/>
                          </a:stretch>
                        </pic:blipFill>
                        <pic:spPr bwMode="auto">
                          <a:xfrm>
                            <a:off x="0" y="0"/>
                            <a:ext cx="1019175" cy="1019175"/>
                          </a:xfrm>
                          <a:prstGeom prst="rect">
                            <a:avLst/>
                          </a:prstGeom>
                        </pic:spPr>
                      </pic:pic>
                    </a:graphicData>
                  </a:graphic>
                </wp:inline>
              </w:drawing>
            </w:r>
            <w:r>
              <w:rPr/>
              <w:t xml:space="preserve"> </w:t>
            </w:r>
          </w:p>
          <w:p>
            <w:pPr>
              <w:pStyle w:val="TableContents"/>
              <w:bidi w:val="0"/>
              <w:spacing w:lineRule="atLeast" w:line="210" w:before="107" w:after="283"/>
              <w:jc w:val="left"/>
              <w:rPr>
                <w:b/>
              </w:rPr>
            </w:pPr>
            <w:r>
              <w:rPr>
                <w:b/>
                <w:spacing w:val="0"/>
              </w:rPr>
              <w:t>David O’Reilly</w:t>
            </w:r>
            <w:r>
              <w:rPr>
                <w:b/>
              </w:rPr>
              <w:t xml:space="preserve"> </w:t>
              <w:br/>
            </w:r>
            <w:r>
              <w:rPr>
                <w:b w:val="false"/>
                <w:spacing w:val="-2"/>
              </w:rPr>
              <w:t xml:space="preserve">Chief Executive Officer </w:t>
            </w:r>
          </w:p>
        </w:tc>
        <w:tc>
          <w:tcPr>
            <w:tcW w:w="109" w:type="dxa"/>
            <w:vMerge w:val="restart"/>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16" w:type="dxa"/>
            <w:gridSpan w:val="7"/>
            <w:tcBorders/>
            <w:vAlign w:val="center"/>
          </w:tcPr>
          <w:p>
            <w:pPr>
              <w:pStyle w:val="TableContents"/>
              <w:bidi w:val="0"/>
              <w:spacing w:lineRule="atLeast" w:line="210" w:before="0" w:after="0"/>
              <w:jc w:val="both"/>
              <w:rPr>
                <w:spacing w:val="-2"/>
              </w:rPr>
            </w:pPr>
            <w:r>
              <w:rPr>
                <w:spacing w:val="-2"/>
              </w:rPr>
              <w:t xml:space="preserve">Our Chief Executive Officer is responsible for driving the sustainable growth of the Company’s assets and unlocking meaningful long-term value across the Company’s portfolio. </w:t>
            </w:r>
          </w:p>
        </w:tc>
        <w:tc>
          <w:tcPr>
            <w:tcW w:w="161" w:type="dxa"/>
            <w:tcBorders/>
            <w:vAlign w:val="center"/>
          </w:tcPr>
          <w:p>
            <w:pPr>
              <w:pStyle w:val="TableContents"/>
              <w:bidi w:val="0"/>
              <w:spacing w:before="0" w:after="283"/>
              <w:jc w:val="left"/>
              <w:rPr/>
            </w:pPr>
            <w:r>
              <w:rPr/>
              <w:t>​</w:t>
            </w:r>
          </w:p>
        </w:tc>
      </w:tr>
      <w:tr>
        <w:trPr/>
        <w:tc>
          <w:tcPr>
            <w:tcW w:w="12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785"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tcBorders/>
            <w:shd w:fill="BAD8EA" w:val="clear"/>
            <w:vAlign w:val="center"/>
          </w:tcPr>
          <w:p>
            <w:pPr>
              <w:pStyle w:val="TableContents"/>
              <w:bidi w:val="0"/>
              <w:spacing w:before="0" w:after="283"/>
              <w:jc w:val="left"/>
              <w:rPr/>
            </w:pPr>
            <w:r>
              <w:rPr/>
              <w:t>​</w:t>
            </w:r>
          </w:p>
        </w:tc>
        <w:tc>
          <w:tcPr>
            <w:tcW w:w="7016" w:type="dxa"/>
            <w:gridSpan w:val="7"/>
            <w:tcBorders/>
            <w:shd w:fill="BAD8EA" w:val="clear"/>
            <w:vAlign w:val="center"/>
          </w:tcPr>
          <w:p>
            <w:pPr>
              <w:pStyle w:val="TableContents"/>
              <w:bidi w:val="0"/>
              <w:spacing w:before="0" w:after="283"/>
              <w:jc w:val="left"/>
              <w:rPr>
                <w:spacing w:val="0"/>
              </w:rPr>
            </w:pPr>
            <w:r>
              <w:rPr>
                <w:spacing w:val="0"/>
              </w:rPr>
              <w:t xml:space="preserve">Key 2025 Performance Achievements </w:t>
            </w:r>
          </w:p>
        </w:tc>
        <w:tc>
          <w:tcPr>
            <w:tcW w:w="161" w:type="dxa"/>
            <w:tcBorders/>
            <w:shd w:fill="BAD8EA" w:val="clear"/>
            <w:vAlign w:val="center"/>
          </w:tcPr>
          <w:p>
            <w:pPr>
              <w:pStyle w:val="TableContents"/>
              <w:bidi w:val="0"/>
              <w:spacing w:before="0" w:after="283"/>
              <w:jc w:val="left"/>
              <w:rPr/>
            </w:pPr>
            <w:r>
              <w:rPr/>
              <w:t>​</w:t>
            </w:r>
          </w:p>
        </w:tc>
      </w:tr>
      <w:tr>
        <w:trPr/>
        <w:tc>
          <w:tcPr>
            <w:tcW w:w="12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785"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7016" w:type="dxa"/>
            <w:gridSpan w:val="7"/>
            <w:tcBorders/>
            <w:vAlign w:val="center"/>
          </w:tcPr>
          <w:p>
            <w:pPr>
              <w:pStyle w:val="TableContents"/>
              <w:bidi w:val="0"/>
              <w:spacing w:lineRule="atLeast" w:line="210" w:before="0" w:after="0"/>
              <w:ind w:left="480" w:right="0" w:hanging="0"/>
              <w:jc w:val="both"/>
              <w:rPr/>
            </w:pPr>
            <w:r>
              <w:rPr>
                <w:spacing w:val="-2"/>
              </w:rPr>
              <w:t>Led the Company’s strategic transformation into a diversified holding company, including execution of the agreement to acquire Vantage, for approximately $2.1 billion, and advancing the integration and scaling of new operating platforms to support long-term value creation.</w:t>
            </w:r>
            <w:r>
              <w:rPr/>
              <w:t xml:space="preserve"> </w:t>
            </w:r>
            <w:r>
              <mc:AlternateContent>
                <mc:Choice Requires="wps">
                  <w:drawing>
                    <wp:anchor behindDoc="0" distT="0" distB="0" distL="76200" distR="0" simplePos="0" locked="0" layoutInCell="1" allowOverlap="1" relativeHeight="502">
                      <wp:simplePos x="0" y="0"/>
                      <wp:positionH relativeFrom="column">
                        <wp:align>left</wp:align>
                      </wp:positionH>
                      <wp:positionV relativeFrom="line">
                        <wp:posOffset>635</wp:posOffset>
                      </wp:positionV>
                      <wp:extent cx="228600" cy="350520"/>
                      <wp:effectExtent l="0" t="0" r="0" b="0"/>
                      <wp:wrapSquare wrapText="right"/>
                      <wp:docPr id="511" name="Frame38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1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6pt;mso-wrap-distance-right:0pt;mso-wrap-distance-top:0pt;mso-wrap-distance-bottom:0pt;margin-top:0pt;mso-position-vertical:top;mso-position-vertical-relative:text;margin-left:6pt;mso-position-horizontal:left;mso-position-horizontal-relative:text">
                      <v:textbox>
                        <w:txbxContent>
                          <w:p>
                            <w:pPr>
                              <w:pStyle w:val="TextBody"/>
                              <w:bidi w:val="0"/>
                              <w:spacing w:lineRule="atLeast" w:line="21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90" w:after="0"/>
              <w:ind w:left="480" w:right="0" w:hanging="0"/>
              <w:jc w:val="both"/>
              <w:rPr/>
            </w:pPr>
            <w:r>
              <w:rPr>
                <w:spacing w:val="-2"/>
              </w:rPr>
              <w:t>Delivered record financial and operating performance across the Company’s core businesses, with MPC EBT reaching an all-time high of approximately $476 million, representing a 36% increase year-over-year, and Operating Assets achieving record NOI of $276 million, driven by strong office leasing and multifamily performance.</w:t>
            </w:r>
            <w:r>
              <w:rPr/>
              <w:t xml:space="preserve"> </w:t>
            </w:r>
            <w:r>
              <mc:AlternateContent>
                <mc:Choice Requires="wps">
                  <w:drawing>
                    <wp:anchor behindDoc="0" distT="57150" distB="0" distL="76200" distR="0" simplePos="0" locked="0" layoutInCell="1" allowOverlap="1" relativeHeight="503">
                      <wp:simplePos x="0" y="0"/>
                      <wp:positionH relativeFrom="column">
                        <wp:align>left</wp:align>
                      </wp:positionH>
                      <wp:positionV relativeFrom="line">
                        <wp:align>top</wp:align>
                      </wp:positionV>
                      <wp:extent cx="228600" cy="350520"/>
                      <wp:effectExtent l="0" t="0" r="0" b="0"/>
                      <wp:wrapSquare wrapText="right"/>
                      <wp:docPr id="512" name="Frame38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1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6pt;mso-wrap-distance-right:0pt;mso-wrap-distance-top:4.5pt;mso-wrap-distance-bottom:0pt;margin-top:4.5pt;mso-position-vertical:top;mso-position-vertical-relative:text;margin-left:6pt;mso-position-horizontal:left;mso-position-horizontal-relative:text">
                      <v:textbox>
                        <w:txbxContent>
                          <w:p>
                            <w:pPr>
                              <w:pStyle w:val="TextBody"/>
                              <w:bidi w:val="0"/>
                              <w:spacing w:lineRule="atLeast" w:line="21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90" w:after="0"/>
              <w:ind w:left="480" w:right="0" w:hanging="0"/>
              <w:jc w:val="both"/>
              <w:rPr/>
            </w:pPr>
            <w:r>
              <w:rPr>
                <w:spacing w:val="-2"/>
              </w:rPr>
              <w:t>Advanced the monetization of high-value residential land through accelerated condominium development and sales, contributing meaningfully to earnings growth and demonstrating the long-term value embedded within the Company’s MPC portfolio.</w:t>
            </w:r>
            <w:r>
              <w:rPr/>
              <w:t xml:space="preserve"> </w:t>
            </w:r>
            <w:r>
              <mc:AlternateContent>
                <mc:Choice Requires="wps">
                  <w:drawing>
                    <wp:anchor behindDoc="0" distT="57150" distB="0" distL="76200" distR="0" simplePos="0" locked="0" layoutInCell="1" allowOverlap="1" relativeHeight="504">
                      <wp:simplePos x="0" y="0"/>
                      <wp:positionH relativeFrom="column">
                        <wp:align>left</wp:align>
                      </wp:positionH>
                      <wp:positionV relativeFrom="line">
                        <wp:align>top</wp:align>
                      </wp:positionV>
                      <wp:extent cx="228600" cy="350520"/>
                      <wp:effectExtent l="0" t="0" r="0" b="0"/>
                      <wp:wrapSquare wrapText="right"/>
                      <wp:docPr id="513" name="Frame38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1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6pt;mso-wrap-distance-right:0pt;mso-wrap-distance-top:4.5pt;mso-wrap-distance-bottom:0pt;margin-top:4.5pt;mso-position-vertical:top;mso-position-vertical-relative:text;margin-left:6pt;mso-position-horizontal:left;mso-position-horizontal-relative:text">
                      <v:textbox>
                        <w:txbxContent>
                          <w:p>
                            <w:pPr>
                              <w:pStyle w:val="TextBody"/>
                              <w:bidi w:val="0"/>
                              <w:spacing w:lineRule="atLeast" w:line="21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90" w:after="0"/>
              <w:ind w:left="480" w:right="0" w:hanging="0"/>
              <w:jc w:val="both"/>
              <w:rPr/>
            </w:pPr>
            <w:r>
              <w:rPr>
                <w:spacing w:val="-2"/>
              </w:rPr>
              <w:t>Launched Teravalis™, a 37,000-acre master planned community in Arizona, marking a significant milestone in the expansion of the Company’s next-generation MPC platform and long-term growth pipeline.</w:t>
            </w:r>
            <w:r>
              <w:rPr/>
              <w:t xml:space="preserve"> </w:t>
            </w:r>
            <w:r>
              <mc:AlternateContent>
                <mc:Choice Requires="wps">
                  <w:drawing>
                    <wp:anchor behindDoc="0" distT="57150" distB="0" distL="76200" distR="0" simplePos="0" locked="0" layoutInCell="1" allowOverlap="1" relativeHeight="505">
                      <wp:simplePos x="0" y="0"/>
                      <wp:positionH relativeFrom="column">
                        <wp:align>left</wp:align>
                      </wp:positionH>
                      <wp:positionV relativeFrom="line">
                        <wp:align>top</wp:align>
                      </wp:positionV>
                      <wp:extent cx="228600" cy="350520"/>
                      <wp:effectExtent l="0" t="0" r="0" b="0"/>
                      <wp:wrapSquare wrapText="right"/>
                      <wp:docPr id="514" name="Frame38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1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6pt;mso-wrap-distance-right:0pt;mso-wrap-distance-top:4.5pt;mso-wrap-distance-bottom:0pt;margin-top:4.5pt;mso-position-vertical:top;mso-position-vertical-relative:text;margin-left:6pt;mso-position-horizontal:left;mso-position-horizontal-relative:text">
                      <v:textbox>
                        <w:txbxContent>
                          <w:p>
                            <w:pPr>
                              <w:pStyle w:val="TextBody"/>
                              <w:bidi w:val="0"/>
                              <w:spacing w:lineRule="atLeast" w:line="21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61" w:type="dxa"/>
            <w:tcBorders/>
            <w:vAlign w:val="center"/>
          </w:tcPr>
          <w:p>
            <w:pPr>
              <w:pStyle w:val="TableContents"/>
              <w:bidi w:val="0"/>
              <w:spacing w:before="0" w:after="283"/>
              <w:jc w:val="left"/>
              <w:rPr/>
            </w:pPr>
            <w:r>
              <w:rPr/>
              <w:t>​</w:t>
            </w:r>
          </w:p>
        </w:tc>
      </w:tr>
      <w:tr>
        <w:trPr/>
        <w:tc>
          <w:tcPr>
            <w:tcW w:w="12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785"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tcBorders/>
            <w:shd w:fill="BAD8EA" w:val="clear"/>
            <w:vAlign w:val="center"/>
          </w:tcPr>
          <w:p>
            <w:pPr>
              <w:pStyle w:val="TableContents"/>
              <w:bidi w:val="0"/>
              <w:spacing w:before="0" w:after="283"/>
              <w:jc w:val="left"/>
              <w:rPr/>
            </w:pPr>
            <w:r>
              <w:rPr/>
              <w:t>​</w:t>
            </w:r>
          </w:p>
        </w:tc>
        <w:tc>
          <w:tcPr>
            <w:tcW w:w="7016" w:type="dxa"/>
            <w:gridSpan w:val="7"/>
            <w:tcBorders/>
            <w:shd w:fill="BAD8EA" w:val="clear"/>
            <w:vAlign w:val="center"/>
          </w:tcPr>
          <w:p>
            <w:pPr>
              <w:pStyle w:val="TableContents"/>
              <w:bidi w:val="0"/>
              <w:spacing w:before="0" w:after="283"/>
              <w:jc w:val="left"/>
              <w:rPr>
                <w:spacing w:val="0"/>
              </w:rPr>
            </w:pPr>
            <w:r>
              <w:rPr>
                <w:spacing w:val="0"/>
              </w:rPr>
              <w:t xml:space="preserve">Compensation Decisions </w:t>
            </w:r>
          </w:p>
        </w:tc>
        <w:tc>
          <w:tcPr>
            <w:tcW w:w="161" w:type="dxa"/>
            <w:tcBorders/>
            <w:shd w:fill="BAD8EA" w:val="clear"/>
            <w:vAlign w:val="center"/>
          </w:tcPr>
          <w:p>
            <w:pPr>
              <w:pStyle w:val="TableContents"/>
              <w:bidi w:val="0"/>
              <w:spacing w:before="0" w:after="283"/>
              <w:jc w:val="left"/>
              <w:rPr/>
            </w:pPr>
            <w:r>
              <w:rPr/>
              <w:t>​</w:t>
            </w:r>
          </w:p>
        </w:tc>
      </w:tr>
      <w:tr>
        <w:trPr/>
        <w:tc>
          <w:tcPr>
            <w:tcW w:w="12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785"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4019" w:type="dxa"/>
            <w:tcBorders/>
            <w:vAlign w:val="center"/>
          </w:tcPr>
          <w:p>
            <w:pPr>
              <w:pStyle w:val="TableContents"/>
              <w:bidi w:val="0"/>
              <w:spacing w:before="0" w:after="0"/>
              <w:jc w:val="left"/>
              <w:rPr>
                <w:spacing w:val="-2"/>
              </w:rPr>
            </w:pPr>
            <w:r>
              <w:rPr>
                <w:spacing w:val="-2"/>
              </w:rPr>
              <w:t xml:space="preserve">Base Salary </w:t>
            </w:r>
          </w:p>
        </w:tc>
        <w:tc>
          <w:tcPr>
            <w:tcW w:w="188" w:type="dxa"/>
            <w:tcBorders/>
            <w:vAlign w:val="center"/>
          </w:tcPr>
          <w:p>
            <w:pPr>
              <w:pStyle w:val="TableContents"/>
              <w:bidi w:val="0"/>
              <w:spacing w:before="0" w:after="283"/>
              <w:jc w:val="left"/>
              <w:rPr/>
            </w:pPr>
            <w:r>
              <w:rPr/>
              <w:t>​</w:t>
            </w:r>
          </w:p>
        </w:tc>
        <w:tc>
          <w:tcPr>
            <w:tcW w:w="188" w:type="dxa"/>
            <w:tcBorders/>
            <w:vAlign w:val="center"/>
          </w:tcPr>
          <w:p>
            <w:pPr>
              <w:pStyle w:val="TableContents"/>
              <w:bidi w:val="0"/>
              <w:spacing w:before="0" w:after="283"/>
              <w:jc w:val="left"/>
              <w:rPr/>
            </w:pPr>
            <w:r>
              <w:rPr/>
              <w:t>​</w:t>
            </w:r>
          </w:p>
        </w:tc>
        <w:tc>
          <w:tcPr>
            <w:tcW w:w="188" w:type="dxa"/>
            <w:tcBorders/>
            <w:vAlign w:val="center"/>
          </w:tcPr>
          <w:p>
            <w:pPr>
              <w:pStyle w:val="TableContents"/>
              <w:bidi w:val="0"/>
              <w:spacing w:before="0" w:after="283"/>
              <w:jc w:val="left"/>
              <w:rPr/>
            </w:pPr>
            <w:r>
              <w:rPr/>
              <w:t>​</w:t>
            </w:r>
          </w:p>
        </w:tc>
        <w:tc>
          <w:tcPr>
            <w:tcW w:w="188" w:type="dxa"/>
            <w:tcBorders/>
            <w:vAlign w:val="center"/>
          </w:tcPr>
          <w:p>
            <w:pPr>
              <w:pStyle w:val="TableContents"/>
              <w:bidi w:val="0"/>
              <w:spacing w:before="0" w:after="283"/>
              <w:jc w:val="right"/>
              <w:rPr/>
            </w:pPr>
            <w:r>
              <w:rPr/>
              <w:t>​</w:t>
            </w:r>
          </w:p>
        </w:tc>
        <w:tc>
          <w:tcPr>
            <w:tcW w:w="2057" w:type="dxa"/>
            <w:tcBorders/>
            <w:vAlign w:val="center"/>
          </w:tcPr>
          <w:p>
            <w:pPr>
              <w:pStyle w:val="TableContents"/>
              <w:bidi w:val="0"/>
              <w:spacing w:before="0" w:after="283"/>
              <w:jc w:val="right"/>
              <w:rPr/>
            </w:pPr>
            <w:r>
              <w:rPr/>
              <w:t>$1,000,000</w:t>
            </w:r>
          </w:p>
        </w:tc>
        <w:tc>
          <w:tcPr>
            <w:tcW w:w="188"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785"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4019" w:type="dxa"/>
            <w:tcBorders/>
            <w:vAlign w:val="center"/>
          </w:tcPr>
          <w:p>
            <w:pPr>
              <w:pStyle w:val="TableContents"/>
              <w:bidi w:val="0"/>
              <w:spacing w:before="0" w:after="0"/>
              <w:jc w:val="left"/>
              <w:rPr>
                <w:spacing w:val="-2"/>
              </w:rPr>
            </w:pPr>
            <w:r>
              <w:rPr>
                <w:spacing w:val="-2"/>
              </w:rPr>
              <w:t xml:space="preserve">Annual Incentive Compensation </w:t>
            </w:r>
          </w:p>
        </w:tc>
        <w:tc>
          <w:tcPr>
            <w:tcW w:w="188" w:type="dxa"/>
            <w:tcBorders/>
            <w:vAlign w:val="center"/>
          </w:tcPr>
          <w:p>
            <w:pPr>
              <w:pStyle w:val="TableContents"/>
              <w:bidi w:val="0"/>
              <w:spacing w:before="0" w:after="283"/>
              <w:jc w:val="left"/>
              <w:rPr/>
            </w:pPr>
            <w:r>
              <w:rPr/>
              <w:t>​</w:t>
            </w:r>
          </w:p>
        </w:tc>
        <w:tc>
          <w:tcPr>
            <w:tcW w:w="188" w:type="dxa"/>
            <w:tcBorders/>
            <w:vAlign w:val="center"/>
          </w:tcPr>
          <w:p>
            <w:pPr>
              <w:pStyle w:val="TableContents"/>
              <w:bidi w:val="0"/>
              <w:spacing w:before="0" w:after="283"/>
              <w:jc w:val="left"/>
              <w:rPr/>
            </w:pPr>
            <w:r>
              <w:rPr/>
              <w:t>​</w:t>
            </w:r>
          </w:p>
        </w:tc>
        <w:tc>
          <w:tcPr>
            <w:tcW w:w="188" w:type="dxa"/>
            <w:tcBorders/>
            <w:vAlign w:val="center"/>
          </w:tcPr>
          <w:p>
            <w:pPr>
              <w:pStyle w:val="TableContents"/>
              <w:bidi w:val="0"/>
              <w:spacing w:before="0" w:after="283"/>
              <w:jc w:val="left"/>
              <w:rPr/>
            </w:pPr>
            <w:r>
              <w:rPr/>
              <w:t>​</w:t>
            </w:r>
          </w:p>
        </w:tc>
        <w:tc>
          <w:tcPr>
            <w:tcW w:w="188" w:type="dxa"/>
            <w:tcBorders/>
            <w:vAlign w:val="center"/>
          </w:tcPr>
          <w:p>
            <w:pPr>
              <w:pStyle w:val="TableContents"/>
              <w:bidi w:val="0"/>
              <w:spacing w:before="0" w:after="283"/>
              <w:jc w:val="right"/>
              <w:rPr/>
            </w:pPr>
            <w:r>
              <w:rPr/>
              <w:t>​</w:t>
            </w:r>
          </w:p>
        </w:tc>
        <w:tc>
          <w:tcPr>
            <w:tcW w:w="2057" w:type="dxa"/>
            <w:tcBorders/>
            <w:vAlign w:val="center"/>
          </w:tcPr>
          <w:p>
            <w:pPr>
              <w:pStyle w:val="TableContents"/>
              <w:bidi w:val="0"/>
              <w:spacing w:before="0" w:after="283"/>
              <w:jc w:val="right"/>
              <w:rPr/>
            </w:pPr>
            <w:r>
              <w:rPr/>
              <w:t>$2,100,000</w:t>
            </w:r>
          </w:p>
        </w:tc>
        <w:tc>
          <w:tcPr>
            <w:tcW w:w="188"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785"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4019" w:type="dxa"/>
            <w:tcBorders/>
            <w:vAlign w:val="center"/>
          </w:tcPr>
          <w:p>
            <w:pPr>
              <w:pStyle w:val="TableContents"/>
              <w:bidi w:val="0"/>
              <w:spacing w:before="0" w:after="0"/>
              <w:jc w:val="left"/>
              <w:rPr>
                <w:spacing w:val="-2"/>
              </w:rPr>
            </w:pPr>
            <w:r>
              <w:rPr>
                <w:spacing w:val="-2"/>
              </w:rPr>
              <w:t xml:space="preserve">Long-Term Equity Incentives </w:t>
            </w:r>
          </w:p>
        </w:tc>
        <w:tc>
          <w:tcPr>
            <w:tcW w:w="188" w:type="dxa"/>
            <w:tcBorders/>
            <w:vAlign w:val="center"/>
          </w:tcPr>
          <w:p>
            <w:pPr>
              <w:pStyle w:val="TableContents"/>
              <w:bidi w:val="0"/>
              <w:spacing w:before="0" w:after="283"/>
              <w:jc w:val="left"/>
              <w:rPr/>
            </w:pPr>
            <w:r>
              <w:rPr/>
              <w:t>​</w:t>
            </w:r>
          </w:p>
        </w:tc>
        <w:tc>
          <w:tcPr>
            <w:tcW w:w="188" w:type="dxa"/>
            <w:tcBorders/>
            <w:vAlign w:val="center"/>
          </w:tcPr>
          <w:p>
            <w:pPr>
              <w:pStyle w:val="TableContents"/>
              <w:bidi w:val="0"/>
              <w:spacing w:before="0" w:after="283"/>
              <w:jc w:val="left"/>
              <w:rPr/>
            </w:pPr>
            <w:r>
              <w:rPr/>
              <w:t>​</w:t>
            </w:r>
          </w:p>
        </w:tc>
        <w:tc>
          <w:tcPr>
            <w:tcW w:w="188" w:type="dxa"/>
            <w:tcBorders/>
            <w:vAlign w:val="center"/>
          </w:tcPr>
          <w:p>
            <w:pPr>
              <w:pStyle w:val="TableContents"/>
              <w:bidi w:val="0"/>
              <w:spacing w:before="0" w:after="283"/>
              <w:jc w:val="left"/>
              <w:rPr/>
            </w:pPr>
            <w:r>
              <w:rPr/>
              <w:t>​</w:t>
            </w:r>
          </w:p>
        </w:tc>
        <w:tc>
          <w:tcPr>
            <w:tcW w:w="188" w:type="dxa"/>
            <w:tcBorders/>
            <w:vAlign w:val="center"/>
          </w:tcPr>
          <w:p>
            <w:pPr>
              <w:pStyle w:val="TableContents"/>
              <w:bidi w:val="0"/>
              <w:spacing w:before="0" w:after="283"/>
              <w:jc w:val="right"/>
              <w:rPr/>
            </w:pPr>
            <w:r>
              <w:rPr/>
              <w:t>​</w:t>
            </w:r>
          </w:p>
        </w:tc>
        <w:tc>
          <w:tcPr>
            <w:tcW w:w="2057" w:type="dxa"/>
            <w:tcBorders/>
            <w:vAlign w:val="center"/>
          </w:tcPr>
          <w:p>
            <w:pPr>
              <w:pStyle w:val="TableContents"/>
              <w:bidi w:val="0"/>
              <w:spacing w:before="0" w:after="283"/>
              <w:jc w:val="right"/>
              <w:rPr/>
            </w:pPr>
            <w:r>
              <w:rPr/>
              <w:t>$4,677,785</w:t>
            </w:r>
          </w:p>
        </w:tc>
        <w:tc>
          <w:tcPr>
            <w:tcW w:w="188"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bl>
    <w:tbl>
      <w:tblPr>
        <w:tblW w:w="9304" w:type="dxa"/>
        <w:jc w:val="left"/>
        <w:tblInd w:w="901" w:type="dxa"/>
        <w:tblLayout w:type="fixed"/>
        <w:tblCellMar>
          <w:top w:w="0" w:type="dxa"/>
          <w:left w:w="0" w:type="dxa"/>
          <w:bottom w:w="0" w:type="dxa"/>
          <w:right w:w="0" w:type="dxa"/>
        </w:tblCellMar>
      </w:tblPr>
      <w:tblGrid>
        <w:gridCol w:w="124"/>
        <w:gridCol w:w="1764"/>
        <w:gridCol w:w="109"/>
        <w:gridCol w:w="109"/>
        <w:gridCol w:w="4021"/>
        <w:gridCol w:w="190"/>
        <w:gridCol w:w="190"/>
        <w:gridCol w:w="190"/>
        <w:gridCol w:w="190"/>
        <w:gridCol w:w="2070"/>
        <w:gridCol w:w="190"/>
        <w:gridCol w:w="157"/>
      </w:tblGrid>
      <w:tr>
        <w:trPr/>
        <w:tc>
          <w:tcPr>
            <w:tcW w:w="124" w:type="dxa"/>
            <w:tcBorders/>
            <w:shd w:fill="E5E5E5" w:val="clear"/>
            <w:vAlign w:val="center"/>
          </w:tcPr>
          <w:p>
            <w:pPr>
              <w:pStyle w:val="TableContents"/>
              <w:bidi w:val="0"/>
              <w:spacing w:before="0" w:after="283"/>
              <w:jc w:val="left"/>
              <w:rPr/>
            </w:pPr>
            <w:r>
              <w:rPr/>
              <w:t>​</w:t>
            </w:r>
          </w:p>
        </w:tc>
        <w:tc>
          <w:tcPr>
            <w:tcW w:w="176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7041" w:type="dxa"/>
            <w:gridSpan w:val="7"/>
            <w:tcBorders/>
            <w:shd w:fill="BAD8EA" w:val="clear"/>
            <w:vAlign w:val="center"/>
          </w:tcPr>
          <w:p>
            <w:pPr>
              <w:pStyle w:val="TableContents"/>
              <w:bidi w:val="0"/>
              <w:spacing w:before="0" w:after="0"/>
              <w:jc w:val="left"/>
              <w:rPr>
                <w:spacing w:val="0"/>
              </w:rPr>
            </w:pPr>
            <w:r>
              <w:rPr>
                <w:spacing w:val="0"/>
              </w:rPr>
              <w:t xml:space="preserve">Key Responsibilities </w:t>
            </w:r>
          </w:p>
        </w:tc>
        <w:tc>
          <w:tcPr>
            <w:tcW w:w="157" w:type="dxa"/>
            <w:tcBorders/>
            <w:shd w:fill="BAD8EA" w:val="clear"/>
            <w:vAlign w:val="center"/>
          </w:tcPr>
          <w:p>
            <w:pPr>
              <w:pStyle w:val="TableContents"/>
              <w:bidi w:val="0"/>
              <w:spacing w:before="0" w:after="283"/>
              <w:jc w:val="left"/>
              <w:rPr/>
            </w:pPr>
            <w:r>
              <w:rPr/>
              <w:t>​</w:t>
            </w:r>
          </w:p>
        </w:tc>
      </w:tr>
      <w:tr>
        <w:trPr/>
        <w:tc>
          <w:tcPr>
            <w:tcW w:w="124" w:type="dxa"/>
            <w:vMerge w:val="restart"/>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764" w:type="dxa"/>
            <w:vMerge w:val="restart"/>
            <w:tcBorders>
              <w:bottom w:val="single" w:sz="8" w:space="0" w:color="7F7F7F"/>
            </w:tcBorders>
            <w:shd w:fill="E5E5E5" w:val="clear"/>
            <w:tcMar>
              <w:bottom w:w="28" w:type="dxa"/>
            </w:tcMar>
            <w:vAlign w:val="center"/>
          </w:tcPr>
          <w:p>
            <w:pPr>
              <w:pStyle w:val="TableContents"/>
              <w:bidi w:val="0"/>
              <w:spacing w:before="0" w:after="0"/>
              <w:jc w:val="left"/>
              <w:rPr/>
            </w:pPr>
            <w:r>
              <w:rPr/>
              <w:drawing>
                <wp:inline distT="0" distB="0" distL="0" distR="0">
                  <wp:extent cx="1019175" cy="1019175"/>
                  <wp:effectExtent l="0" t="0" r="0" b="0"/>
                  <wp:docPr id="51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Image105" descr=""/>
                          <pic:cNvPicPr>
                            <a:picLocks noChangeAspect="1" noChangeArrowheads="1"/>
                          </pic:cNvPicPr>
                        </pic:nvPicPr>
                        <pic:blipFill>
                          <a:blip r:embed="rId127"/>
                          <a:stretch>
                            <a:fillRect/>
                          </a:stretch>
                        </pic:blipFill>
                        <pic:spPr bwMode="auto">
                          <a:xfrm>
                            <a:off x="0" y="0"/>
                            <a:ext cx="1019175" cy="1019175"/>
                          </a:xfrm>
                          <a:prstGeom prst="rect">
                            <a:avLst/>
                          </a:prstGeom>
                        </pic:spPr>
                      </pic:pic>
                    </a:graphicData>
                  </a:graphic>
                </wp:inline>
              </w:drawing>
            </w:r>
            <w:r>
              <w:rPr/>
              <w:t xml:space="preserve"> </w:t>
            </w:r>
          </w:p>
          <w:p>
            <w:pPr>
              <w:pStyle w:val="TableContents"/>
              <w:bidi w:val="0"/>
              <w:spacing w:lineRule="atLeast" w:line="210" w:before="107" w:after="283"/>
              <w:jc w:val="left"/>
              <w:rPr>
                <w:b/>
              </w:rPr>
            </w:pPr>
            <w:r>
              <w:rPr>
                <w:b/>
                <w:spacing w:val="0"/>
              </w:rPr>
              <w:t>Carlos Olea</w:t>
            </w:r>
            <w:r>
              <w:rPr>
                <w:b/>
              </w:rPr>
              <w:t xml:space="preserve"> </w:t>
              <w:br/>
            </w:r>
            <w:r>
              <w:rPr>
                <w:b w:val="false"/>
                <w:spacing w:val="-2"/>
              </w:rPr>
              <w:t xml:space="preserve">Chief Financial Officer </w:t>
            </w:r>
          </w:p>
        </w:tc>
        <w:tc>
          <w:tcPr>
            <w:tcW w:w="109" w:type="dxa"/>
            <w:vMerge w:val="restart"/>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4320" w:type="dxa"/>
            <w:gridSpan w:val="3"/>
            <w:tcBorders/>
            <w:tcMar>
              <w:top w:w="28" w:type="dxa"/>
              <w:left w:w="28" w:type="dxa"/>
              <w:bottom w:w="28" w:type="dxa"/>
              <w:right w:w="28" w:type="dxa"/>
            </w:tcMar>
            <w:vAlign w:val="center"/>
          </w:tcPr>
          <w:p>
            <w:pPr>
              <w:pStyle w:val="TableContents"/>
              <w:bidi w:val="0"/>
              <w:spacing w:lineRule="atLeast" w:line="142" w:before="0" w:after="283"/>
              <w:jc w:val="left"/>
              <w:rPr/>
            </w:pPr>
            <w:r>
              <w:rPr/>
              <w:t>​</w:t>
            </w:r>
          </w:p>
        </w:tc>
        <w:tc>
          <w:tcPr>
            <w:tcW w:w="2987" w:type="dxa"/>
            <w:gridSpan w:val="6"/>
            <w:tcBorders/>
            <w:tcMar>
              <w:top w:w="28" w:type="dxa"/>
              <w:left w:w="28" w:type="dxa"/>
              <w:bottom w:w="28" w:type="dxa"/>
              <w:right w:w="28" w:type="dxa"/>
            </w:tcMar>
            <w:vAlign w:val="center"/>
          </w:tcPr>
          <w:p>
            <w:pPr>
              <w:pStyle w:val="TableContents"/>
              <w:bidi w:val="0"/>
              <w:spacing w:lineRule="atLeast" w:line="142" w:before="0" w:after="283"/>
              <w:jc w:val="left"/>
              <w:rPr/>
            </w:pPr>
            <w:r>
              <w:rPr/>
              <w:t>​</w:t>
            </w:r>
          </w:p>
        </w:tc>
      </w:tr>
      <w:tr>
        <w:trPr/>
        <w:tc>
          <w:tcPr>
            <w:tcW w:w="12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76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7041" w:type="dxa"/>
            <w:gridSpan w:val="7"/>
            <w:tcBorders/>
            <w:vAlign w:val="center"/>
          </w:tcPr>
          <w:p>
            <w:pPr>
              <w:pStyle w:val="TableContents"/>
              <w:bidi w:val="0"/>
              <w:spacing w:before="0" w:after="0"/>
              <w:jc w:val="both"/>
              <w:rPr>
                <w:spacing w:val="-2"/>
              </w:rPr>
            </w:pPr>
            <w:r>
              <w:rPr>
                <w:spacing w:val="-2"/>
              </w:rPr>
              <w:t xml:space="preserve">Our Chief Financial Officer is responsible for overseeing the Company’s investment, accounting and financial strategy, and working with the executive team to unlock meaningful long-term value across the Company’s portfolio. </w:t>
            </w:r>
          </w:p>
        </w:tc>
        <w:tc>
          <w:tcPr>
            <w:tcW w:w="157" w:type="dxa"/>
            <w:tcBorders/>
            <w:vAlign w:val="center"/>
          </w:tcPr>
          <w:p>
            <w:pPr>
              <w:pStyle w:val="TableContents"/>
              <w:bidi w:val="0"/>
              <w:spacing w:before="0" w:after="283"/>
              <w:jc w:val="left"/>
              <w:rPr/>
            </w:pPr>
            <w:r>
              <w:rPr/>
              <w:t>​</w:t>
            </w:r>
          </w:p>
        </w:tc>
      </w:tr>
      <w:tr>
        <w:trPr/>
        <w:tc>
          <w:tcPr>
            <w:tcW w:w="12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76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tcBorders/>
            <w:shd w:fill="BAD8EA" w:val="clear"/>
            <w:vAlign w:val="center"/>
          </w:tcPr>
          <w:p>
            <w:pPr>
              <w:pStyle w:val="TableContents"/>
              <w:bidi w:val="0"/>
              <w:spacing w:before="0" w:after="283"/>
              <w:jc w:val="left"/>
              <w:rPr/>
            </w:pPr>
            <w:r>
              <w:rPr/>
              <w:t>​</w:t>
            </w:r>
          </w:p>
        </w:tc>
        <w:tc>
          <w:tcPr>
            <w:tcW w:w="7041" w:type="dxa"/>
            <w:gridSpan w:val="7"/>
            <w:tcBorders/>
            <w:shd w:fill="BAD8EA" w:val="clear"/>
            <w:vAlign w:val="center"/>
          </w:tcPr>
          <w:p>
            <w:pPr>
              <w:pStyle w:val="TableContents"/>
              <w:bidi w:val="0"/>
              <w:spacing w:before="0" w:after="283"/>
              <w:jc w:val="left"/>
              <w:rPr>
                <w:spacing w:val="0"/>
              </w:rPr>
            </w:pPr>
            <w:r>
              <w:rPr>
                <w:spacing w:val="0"/>
              </w:rPr>
              <w:t xml:space="preserve">Key 2025 Performance Achievements </w:t>
            </w:r>
          </w:p>
        </w:tc>
        <w:tc>
          <w:tcPr>
            <w:tcW w:w="157" w:type="dxa"/>
            <w:tcBorders/>
            <w:shd w:fill="BAD8EA" w:val="clear"/>
            <w:vAlign w:val="center"/>
          </w:tcPr>
          <w:p>
            <w:pPr>
              <w:pStyle w:val="TableContents"/>
              <w:bidi w:val="0"/>
              <w:spacing w:before="0" w:after="283"/>
              <w:jc w:val="left"/>
              <w:rPr/>
            </w:pPr>
            <w:r>
              <w:rPr/>
              <w:t>​</w:t>
            </w:r>
          </w:p>
        </w:tc>
      </w:tr>
      <w:tr>
        <w:trPr/>
        <w:tc>
          <w:tcPr>
            <w:tcW w:w="12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76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7041" w:type="dxa"/>
            <w:gridSpan w:val="7"/>
            <w:tcBorders/>
            <w:vAlign w:val="center"/>
          </w:tcPr>
          <w:p>
            <w:pPr>
              <w:pStyle w:val="TableContents"/>
              <w:bidi w:val="0"/>
              <w:spacing w:lineRule="atLeast" w:line="210" w:before="0" w:after="0"/>
              <w:ind w:left="480" w:right="0" w:hanging="0"/>
              <w:jc w:val="both"/>
              <w:rPr/>
            </w:pPr>
            <w:r>
              <w:rPr>
                <w:spacing w:val="-2"/>
              </w:rPr>
              <w:t>Led the Company’s capital markets strategy and execution across a transformative year, completing approximately $920 million of financing, acquisition, and disposition activity, including the refinancing of six office and multifamily properties totaling $339 million and the extension and upsizing of the $365 million Floreo credit facility, adding $200 million of incremental liquidity.</w:t>
            </w:r>
            <w:r>
              <w:rPr/>
              <w:t xml:space="preserve"> </w:t>
            </w:r>
            <w:r>
              <mc:AlternateContent>
                <mc:Choice Requires="wps">
                  <w:drawing>
                    <wp:anchor behindDoc="0" distT="0" distB="0" distL="76200" distR="0" simplePos="0" locked="0" layoutInCell="1" allowOverlap="1" relativeHeight="506">
                      <wp:simplePos x="0" y="0"/>
                      <wp:positionH relativeFrom="column">
                        <wp:align>left</wp:align>
                      </wp:positionH>
                      <wp:positionV relativeFrom="line">
                        <wp:posOffset>635</wp:posOffset>
                      </wp:positionV>
                      <wp:extent cx="228600" cy="350520"/>
                      <wp:effectExtent l="0" t="0" r="0" b="0"/>
                      <wp:wrapSquare wrapText="right"/>
                      <wp:docPr id="516" name="Frame39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1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6pt;mso-wrap-distance-right:0pt;mso-wrap-distance-top:0pt;mso-wrap-distance-bottom:0pt;margin-top:0pt;mso-position-vertical:top;mso-position-vertical-relative:text;margin-left:6pt;mso-position-horizontal:left;mso-position-horizontal-relative:text">
                      <v:textbox>
                        <w:txbxContent>
                          <w:p>
                            <w:pPr>
                              <w:pStyle w:val="TextBody"/>
                              <w:bidi w:val="0"/>
                              <w:spacing w:lineRule="atLeast" w:line="21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90" w:after="0"/>
              <w:ind w:left="480" w:right="0" w:hanging="0"/>
              <w:jc w:val="both"/>
              <w:rPr/>
            </w:pPr>
            <w:r>
              <w:rPr>
                <w:spacing w:val="-2"/>
              </w:rPr>
              <w:t>Enhanced the Company’s financial flexibility and balance sheet positioning, supporting strategic initiatives including the Company’s evolution into a diversified holding company and its expansion into new business lines.</w:t>
            </w:r>
            <w:r>
              <w:rPr/>
              <w:t xml:space="preserve"> </w:t>
            </w:r>
            <w:r>
              <mc:AlternateContent>
                <mc:Choice Requires="wps">
                  <w:drawing>
                    <wp:anchor behindDoc="0" distT="57150" distB="0" distL="76200" distR="0" simplePos="0" locked="0" layoutInCell="1" allowOverlap="1" relativeHeight="507">
                      <wp:simplePos x="0" y="0"/>
                      <wp:positionH relativeFrom="column">
                        <wp:align>left</wp:align>
                      </wp:positionH>
                      <wp:positionV relativeFrom="line">
                        <wp:align>top</wp:align>
                      </wp:positionV>
                      <wp:extent cx="228600" cy="350520"/>
                      <wp:effectExtent l="0" t="0" r="0" b="0"/>
                      <wp:wrapSquare wrapText="right"/>
                      <wp:docPr id="517" name="Frame39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1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6pt;mso-wrap-distance-right:0pt;mso-wrap-distance-top:4.5pt;mso-wrap-distance-bottom:0pt;margin-top:4.5pt;mso-position-vertical:top;mso-position-vertical-relative:text;margin-left:6pt;mso-position-horizontal:left;mso-position-horizontal-relative:text">
                      <v:textbox>
                        <w:txbxContent>
                          <w:p>
                            <w:pPr>
                              <w:pStyle w:val="TextBody"/>
                              <w:bidi w:val="0"/>
                              <w:spacing w:lineRule="atLeast" w:line="21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90" w:after="0"/>
              <w:ind w:left="480" w:right="0" w:hanging="0"/>
              <w:jc w:val="both"/>
              <w:rPr/>
            </w:pPr>
            <w:r>
              <w:rPr>
                <w:spacing w:val="-2"/>
              </w:rPr>
              <w:t>Modernized the Company’s financial and operating infrastructure, replacing fragmented legacy systems with integrated enterprise platforms and launching secure, internal AI-enabled capabilities to improve decision-making, efficiency, and scalability.</w:t>
            </w:r>
            <w:r>
              <w:rPr/>
              <w:t xml:space="preserve"> </w:t>
            </w:r>
            <w:r>
              <mc:AlternateContent>
                <mc:Choice Requires="wps">
                  <w:drawing>
                    <wp:anchor behindDoc="0" distT="57150" distB="0" distL="76200" distR="0" simplePos="0" locked="0" layoutInCell="1" allowOverlap="1" relativeHeight="508">
                      <wp:simplePos x="0" y="0"/>
                      <wp:positionH relativeFrom="column">
                        <wp:align>left</wp:align>
                      </wp:positionH>
                      <wp:positionV relativeFrom="line">
                        <wp:align>top</wp:align>
                      </wp:positionV>
                      <wp:extent cx="228600" cy="350520"/>
                      <wp:effectExtent l="0" t="0" r="0" b="0"/>
                      <wp:wrapSquare wrapText="right"/>
                      <wp:docPr id="518" name="Frame39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1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6pt;mso-wrap-distance-right:0pt;mso-wrap-distance-top:4.5pt;mso-wrap-distance-bottom:0pt;margin-top:4.5pt;mso-position-vertical:top;mso-position-vertical-relative:text;margin-left:6pt;mso-position-horizontal:left;mso-position-horizontal-relative:text">
                      <v:textbox>
                        <w:txbxContent>
                          <w:p>
                            <w:pPr>
                              <w:pStyle w:val="TextBody"/>
                              <w:bidi w:val="0"/>
                              <w:spacing w:lineRule="atLeast" w:line="21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90" w:after="0"/>
              <w:ind w:left="480" w:right="0" w:hanging="0"/>
              <w:jc w:val="both"/>
              <w:rPr/>
            </w:pPr>
            <w:r>
              <w:rPr>
                <w:spacing w:val="-2"/>
              </w:rPr>
              <w:t>Streamlined financial operations and reduced structural costs, including centralizing the FP&amp;A function, implementing automation, and executing organizational enhancements within the accounting function, resulting in recurring G&amp;A savings and improved operating leverage.</w:t>
            </w:r>
            <w:r>
              <w:rPr/>
              <w:t xml:space="preserve"> </w:t>
            </w:r>
            <w:r>
              <mc:AlternateContent>
                <mc:Choice Requires="wps">
                  <w:drawing>
                    <wp:anchor behindDoc="0" distT="57150" distB="0" distL="76200" distR="0" simplePos="0" locked="0" layoutInCell="1" allowOverlap="1" relativeHeight="509">
                      <wp:simplePos x="0" y="0"/>
                      <wp:positionH relativeFrom="column">
                        <wp:align>left</wp:align>
                      </wp:positionH>
                      <wp:positionV relativeFrom="line">
                        <wp:align>top</wp:align>
                      </wp:positionV>
                      <wp:extent cx="228600" cy="350520"/>
                      <wp:effectExtent l="0" t="0" r="0" b="0"/>
                      <wp:wrapSquare wrapText="right"/>
                      <wp:docPr id="519" name="Frame39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1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6pt;mso-wrap-distance-right:0pt;mso-wrap-distance-top:4.5pt;mso-wrap-distance-bottom:0pt;margin-top:4.5pt;mso-position-vertical:top;mso-position-vertical-relative:text;margin-left:6pt;mso-position-horizontal:left;mso-position-horizontal-relative:text">
                      <v:textbox>
                        <w:txbxContent>
                          <w:p>
                            <w:pPr>
                              <w:pStyle w:val="TextBody"/>
                              <w:bidi w:val="0"/>
                              <w:spacing w:lineRule="atLeast" w:line="21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90" w:after="0"/>
              <w:ind w:left="480" w:right="0" w:hanging="0"/>
              <w:jc w:val="both"/>
              <w:rPr/>
            </w:pPr>
            <w:r>
              <w:rPr>
                <w:spacing w:val="-2"/>
              </w:rPr>
              <w:t>Achieved a multi-year transformation of the financial close process, reducing month-end close cycles by approximately 50% while maintaining accuracy and strengthening internal controls.</w:t>
            </w:r>
            <w:r>
              <w:rPr/>
              <w:t xml:space="preserve"> </w:t>
            </w:r>
            <w:r>
              <mc:AlternateContent>
                <mc:Choice Requires="wps">
                  <w:drawing>
                    <wp:anchor behindDoc="0" distT="57150" distB="0" distL="76200" distR="0" simplePos="0" locked="0" layoutInCell="1" allowOverlap="1" relativeHeight="510">
                      <wp:simplePos x="0" y="0"/>
                      <wp:positionH relativeFrom="column">
                        <wp:align>left</wp:align>
                      </wp:positionH>
                      <wp:positionV relativeFrom="line">
                        <wp:align>top</wp:align>
                      </wp:positionV>
                      <wp:extent cx="228600" cy="350520"/>
                      <wp:effectExtent l="0" t="0" r="0" b="0"/>
                      <wp:wrapSquare wrapText="right"/>
                      <wp:docPr id="520" name="Frame39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1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6pt;mso-wrap-distance-right:0pt;mso-wrap-distance-top:4.5pt;mso-wrap-distance-bottom:0pt;margin-top:4.5pt;mso-position-vertical:top;mso-position-vertical-relative:text;margin-left:6pt;mso-position-horizontal:left;mso-position-horizontal-relative:text">
                      <v:textbox>
                        <w:txbxContent>
                          <w:p>
                            <w:pPr>
                              <w:pStyle w:val="TextBody"/>
                              <w:bidi w:val="0"/>
                              <w:spacing w:lineRule="atLeast" w:line="21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76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tcBorders/>
            <w:shd w:fill="BAD8EA" w:val="clear"/>
            <w:vAlign w:val="center"/>
          </w:tcPr>
          <w:p>
            <w:pPr>
              <w:pStyle w:val="TableContents"/>
              <w:bidi w:val="0"/>
              <w:spacing w:before="0" w:after="283"/>
              <w:jc w:val="left"/>
              <w:rPr/>
            </w:pPr>
            <w:r>
              <w:rPr/>
              <w:t>​</w:t>
            </w:r>
          </w:p>
        </w:tc>
        <w:tc>
          <w:tcPr>
            <w:tcW w:w="7041" w:type="dxa"/>
            <w:gridSpan w:val="7"/>
            <w:tcBorders/>
            <w:shd w:fill="BAD8EA" w:val="clear"/>
            <w:vAlign w:val="center"/>
          </w:tcPr>
          <w:p>
            <w:pPr>
              <w:pStyle w:val="TableContents"/>
              <w:bidi w:val="0"/>
              <w:spacing w:before="0" w:after="283"/>
              <w:jc w:val="left"/>
              <w:rPr>
                <w:spacing w:val="0"/>
              </w:rPr>
            </w:pPr>
            <w:r>
              <w:rPr>
                <w:spacing w:val="0"/>
              </w:rPr>
              <w:t xml:space="preserve">Compensation Decisions </w:t>
            </w:r>
          </w:p>
        </w:tc>
        <w:tc>
          <w:tcPr>
            <w:tcW w:w="157" w:type="dxa"/>
            <w:tcBorders/>
            <w:shd w:fill="BAD8EA" w:val="clear"/>
            <w:vAlign w:val="center"/>
          </w:tcPr>
          <w:p>
            <w:pPr>
              <w:pStyle w:val="TableContents"/>
              <w:bidi w:val="0"/>
              <w:spacing w:before="0" w:after="283"/>
              <w:jc w:val="left"/>
              <w:rPr/>
            </w:pPr>
            <w:r>
              <w:rPr/>
              <w:t>​</w:t>
            </w:r>
          </w:p>
        </w:tc>
      </w:tr>
      <w:tr>
        <w:trPr/>
        <w:tc>
          <w:tcPr>
            <w:tcW w:w="12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76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0"/>
              <w:jc w:val="left"/>
              <w:rPr>
                <w:spacing w:val="-2"/>
              </w:rPr>
            </w:pPr>
            <w:r>
              <w:rPr>
                <w:spacing w:val="-2"/>
              </w:rPr>
              <w:t xml:space="preserve">Base Salary </w:t>
            </w:r>
          </w:p>
        </w:tc>
        <w:tc>
          <w:tcPr>
            <w:tcW w:w="190" w:type="dxa"/>
            <w:tcBorders/>
            <w:vAlign w:val="center"/>
          </w:tcPr>
          <w:p>
            <w:pPr>
              <w:pStyle w:val="TableContents"/>
              <w:bidi w:val="0"/>
              <w:spacing w:before="0" w:after="283"/>
              <w:jc w:val="left"/>
              <w:rPr/>
            </w:pPr>
            <w:r>
              <w:rPr/>
              <w:t>​</w:t>
            </w:r>
          </w:p>
        </w:tc>
        <w:tc>
          <w:tcPr>
            <w:tcW w:w="190" w:type="dxa"/>
            <w:tcBorders/>
            <w:vAlign w:val="center"/>
          </w:tcPr>
          <w:p>
            <w:pPr>
              <w:pStyle w:val="TableContents"/>
              <w:bidi w:val="0"/>
              <w:spacing w:before="0" w:after="283"/>
              <w:jc w:val="left"/>
              <w:rPr/>
            </w:pPr>
            <w:r>
              <w:rPr/>
              <w:t>​</w:t>
            </w:r>
          </w:p>
        </w:tc>
        <w:tc>
          <w:tcPr>
            <w:tcW w:w="190" w:type="dxa"/>
            <w:tcBorders/>
            <w:vAlign w:val="center"/>
          </w:tcPr>
          <w:p>
            <w:pPr>
              <w:pStyle w:val="TableContents"/>
              <w:bidi w:val="0"/>
              <w:spacing w:before="0" w:after="283"/>
              <w:jc w:val="left"/>
              <w:rPr/>
            </w:pPr>
            <w:r>
              <w:rPr/>
              <w:t>​</w:t>
            </w:r>
          </w:p>
        </w:tc>
        <w:tc>
          <w:tcPr>
            <w:tcW w:w="190" w:type="dxa"/>
            <w:tcBorders/>
            <w:vAlign w:val="center"/>
          </w:tcPr>
          <w:p>
            <w:pPr>
              <w:pStyle w:val="TableContents"/>
              <w:bidi w:val="0"/>
              <w:spacing w:before="0" w:after="283"/>
              <w:jc w:val="right"/>
              <w:rPr/>
            </w:pPr>
            <w:r>
              <w:rPr/>
              <w:t>​</w:t>
            </w:r>
          </w:p>
        </w:tc>
        <w:tc>
          <w:tcPr>
            <w:tcW w:w="2070" w:type="dxa"/>
            <w:tcBorders/>
            <w:vAlign w:val="center"/>
          </w:tcPr>
          <w:p>
            <w:pPr>
              <w:pStyle w:val="TableContents"/>
              <w:bidi w:val="0"/>
              <w:spacing w:before="0" w:after="283"/>
              <w:jc w:val="right"/>
              <w:rPr/>
            </w:pPr>
            <w:r>
              <w:rPr/>
              <w:t>$550,000</w:t>
            </w:r>
          </w:p>
        </w:tc>
        <w:tc>
          <w:tcPr>
            <w:tcW w:w="190"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76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0"/>
              <w:jc w:val="left"/>
              <w:rPr>
                <w:spacing w:val="-2"/>
              </w:rPr>
            </w:pPr>
            <w:r>
              <w:rPr>
                <w:spacing w:val="-2"/>
              </w:rPr>
              <w:t xml:space="preserve">Annual Incentive Compensation </w:t>
            </w:r>
          </w:p>
        </w:tc>
        <w:tc>
          <w:tcPr>
            <w:tcW w:w="190" w:type="dxa"/>
            <w:tcBorders/>
            <w:vAlign w:val="center"/>
          </w:tcPr>
          <w:p>
            <w:pPr>
              <w:pStyle w:val="TableContents"/>
              <w:bidi w:val="0"/>
              <w:spacing w:before="0" w:after="283"/>
              <w:jc w:val="left"/>
              <w:rPr/>
            </w:pPr>
            <w:r>
              <w:rPr/>
              <w:t>​</w:t>
            </w:r>
          </w:p>
        </w:tc>
        <w:tc>
          <w:tcPr>
            <w:tcW w:w="190" w:type="dxa"/>
            <w:tcBorders/>
            <w:vAlign w:val="center"/>
          </w:tcPr>
          <w:p>
            <w:pPr>
              <w:pStyle w:val="TableContents"/>
              <w:bidi w:val="0"/>
              <w:spacing w:before="0" w:after="283"/>
              <w:jc w:val="left"/>
              <w:rPr/>
            </w:pPr>
            <w:r>
              <w:rPr/>
              <w:t>​</w:t>
            </w:r>
          </w:p>
        </w:tc>
        <w:tc>
          <w:tcPr>
            <w:tcW w:w="190" w:type="dxa"/>
            <w:tcBorders/>
            <w:vAlign w:val="center"/>
          </w:tcPr>
          <w:p>
            <w:pPr>
              <w:pStyle w:val="TableContents"/>
              <w:bidi w:val="0"/>
              <w:spacing w:before="0" w:after="283"/>
              <w:jc w:val="left"/>
              <w:rPr/>
            </w:pPr>
            <w:r>
              <w:rPr/>
              <w:t>​</w:t>
            </w:r>
          </w:p>
        </w:tc>
        <w:tc>
          <w:tcPr>
            <w:tcW w:w="190" w:type="dxa"/>
            <w:tcBorders/>
            <w:vAlign w:val="center"/>
          </w:tcPr>
          <w:p>
            <w:pPr>
              <w:pStyle w:val="TableContents"/>
              <w:bidi w:val="0"/>
              <w:spacing w:before="0" w:after="283"/>
              <w:jc w:val="right"/>
              <w:rPr/>
            </w:pPr>
            <w:r>
              <w:rPr/>
              <w:t>​</w:t>
            </w:r>
          </w:p>
        </w:tc>
        <w:tc>
          <w:tcPr>
            <w:tcW w:w="2070" w:type="dxa"/>
            <w:tcBorders/>
            <w:vAlign w:val="center"/>
          </w:tcPr>
          <w:p>
            <w:pPr>
              <w:pStyle w:val="TableContents"/>
              <w:bidi w:val="0"/>
              <w:spacing w:before="0" w:after="283"/>
              <w:jc w:val="right"/>
              <w:rPr/>
            </w:pPr>
            <w:r>
              <w:rPr/>
              <w:t>$990,000</w:t>
            </w:r>
          </w:p>
        </w:tc>
        <w:tc>
          <w:tcPr>
            <w:tcW w:w="190"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76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0"/>
              <w:jc w:val="left"/>
              <w:rPr>
                <w:spacing w:val="-2"/>
              </w:rPr>
            </w:pPr>
            <w:r>
              <w:rPr>
                <w:spacing w:val="-2"/>
              </w:rPr>
              <w:t xml:space="preserve">Long-Term Equity Incentives </w:t>
            </w:r>
          </w:p>
        </w:tc>
        <w:tc>
          <w:tcPr>
            <w:tcW w:w="190" w:type="dxa"/>
            <w:tcBorders/>
            <w:vAlign w:val="center"/>
          </w:tcPr>
          <w:p>
            <w:pPr>
              <w:pStyle w:val="TableContents"/>
              <w:bidi w:val="0"/>
              <w:spacing w:before="0" w:after="283"/>
              <w:jc w:val="left"/>
              <w:rPr/>
            </w:pPr>
            <w:r>
              <w:rPr/>
              <w:t>​</w:t>
            </w:r>
          </w:p>
        </w:tc>
        <w:tc>
          <w:tcPr>
            <w:tcW w:w="190" w:type="dxa"/>
            <w:tcBorders/>
            <w:vAlign w:val="center"/>
          </w:tcPr>
          <w:p>
            <w:pPr>
              <w:pStyle w:val="TableContents"/>
              <w:bidi w:val="0"/>
              <w:spacing w:before="0" w:after="283"/>
              <w:jc w:val="left"/>
              <w:rPr/>
            </w:pPr>
            <w:r>
              <w:rPr/>
              <w:t>​</w:t>
            </w:r>
          </w:p>
        </w:tc>
        <w:tc>
          <w:tcPr>
            <w:tcW w:w="190" w:type="dxa"/>
            <w:tcBorders/>
            <w:vAlign w:val="center"/>
          </w:tcPr>
          <w:p>
            <w:pPr>
              <w:pStyle w:val="TableContents"/>
              <w:bidi w:val="0"/>
              <w:spacing w:before="0" w:after="283"/>
              <w:jc w:val="left"/>
              <w:rPr/>
            </w:pPr>
            <w:r>
              <w:rPr/>
              <w:t>​</w:t>
            </w:r>
          </w:p>
        </w:tc>
        <w:tc>
          <w:tcPr>
            <w:tcW w:w="190" w:type="dxa"/>
            <w:tcBorders/>
            <w:vAlign w:val="center"/>
          </w:tcPr>
          <w:p>
            <w:pPr>
              <w:pStyle w:val="TableContents"/>
              <w:bidi w:val="0"/>
              <w:spacing w:before="0" w:after="283"/>
              <w:jc w:val="right"/>
              <w:rPr/>
            </w:pPr>
            <w:r>
              <w:rPr/>
              <w:t>​</w:t>
            </w:r>
          </w:p>
        </w:tc>
        <w:tc>
          <w:tcPr>
            <w:tcW w:w="2070" w:type="dxa"/>
            <w:tcBorders/>
            <w:vAlign w:val="center"/>
          </w:tcPr>
          <w:p>
            <w:pPr>
              <w:pStyle w:val="TableContents"/>
              <w:bidi w:val="0"/>
              <w:spacing w:before="0" w:after="283"/>
              <w:jc w:val="right"/>
              <w:rPr/>
            </w:pPr>
            <w:r>
              <w:rPr/>
              <w:t>$1,403,335</w:t>
            </w:r>
          </w:p>
        </w:tc>
        <w:tc>
          <w:tcPr>
            <w:tcW w:w="190"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62 \ 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Compensation Discussion and Analysis</w:t>
      </w:r>
      <w:r>
        <w:rPr>
          <w:rFonts w:ascii="Arial;Helvetica;sans-serif" w:hAnsi="Arial;Helvetica;sans-serif"/>
          <w:b/>
          <w:i w:val="false"/>
          <w:caps w:val="false"/>
          <w:smallCaps w:val="false"/>
          <w:color w:val="7F7F7F"/>
          <w:sz w:val="22"/>
        </w:rPr>
        <w:t>​</w:t>
      </w:r>
    </w:p>
    <w:tbl>
      <w:tblPr>
        <w:tblW w:w="9304" w:type="dxa"/>
        <w:jc w:val="left"/>
        <w:tblInd w:w="901" w:type="dxa"/>
        <w:tblLayout w:type="fixed"/>
        <w:tblCellMar>
          <w:top w:w="0" w:type="dxa"/>
          <w:left w:w="0" w:type="dxa"/>
          <w:bottom w:w="0" w:type="dxa"/>
          <w:right w:w="0" w:type="dxa"/>
        </w:tblCellMar>
      </w:tblPr>
      <w:tblGrid>
        <w:gridCol w:w="124"/>
        <w:gridCol w:w="1822"/>
        <w:gridCol w:w="109"/>
        <w:gridCol w:w="109"/>
        <w:gridCol w:w="4233"/>
        <w:gridCol w:w="193"/>
        <w:gridCol w:w="193"/>
        <w:gridCol w:w="193"/>
        <w:gridCol w:w="193"/>
        <w:gridCol w:w="1785"/>
        <w:gridCol w:w="193"/>
        <w:gridCol w:w="157"/>
      </w:tblGrid>
      <w:tr>
        <w:trPr/>
        <w:tc>
          <w:tcPr>
            <w:tcW w:w="124" w:type="dxa"/>
            <w:tcBorders/>
            <w:shd w:fill="E5E5E5" w:val="clear"/>
            <w:vAlign w:val="center"/>
          </w:tcPr>
          <w:p>
            <w:pPr>
              <w:pStyle w:val="TableContents"/>
              <w:bidi w:val="0"/>
              <w:spacing w:before="0" w:after="283"/>
              <w:jc w:val="left"/>
              <w:rPr/>
            </w:pPr>
            <w:r>
              <w:rPr/>
              <w:t>​</w:t>
            </w:r>
          </w:p>
        </w:tc>
        <w:tc>
          <w:tcPr>
            <w:tcW w:w="182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6983" w:type="dxa"/>
            <w:gridSpan w:val="7"/>
            <w:tcBorders/>
            <w:shd w:fill="BAD8EA" w:val="clear"/>
            <w:vAlign w:val="center"/>
          </w:tcPr>
          <w:p>
            <w:pPr>
              <w:pStyle w:val="TableContents"/>
              <w:bidi w:val="0"/>
              <w:spacing w:before="0" w:after="0"/>
              <w:jc w:val="left"/>
              <w:rPr>
                <w:spacing w:val="0"/>
              </w:rPr>
            </w:pPr>
            <w:r>
              <w:rPr>
                <w:spacing w:val="0"/>
              </w:rPr>
              <w:t xml:space="preserve">Key Responsibilities </w:t>
            </w:r>
          </w:p>
        </w:tc>
        <w:tc>
          <w:tcPr>
            <w:tcW w:w="157" w:type="dxa"/>
            <w:tcBorders/>
            <w:shd w:fill="BAD8EA" w:val="clear"/>
            <w:vAlign w:val="center"/>
          </w:tcPr>
          <w:p>
            <w:pPr>
              <w:pStyle w:val="TableContents"/>
              <w:bidi w:val="0"/>
              <w:spacing w:before="0" w:after="283"/>
              <w:jc w:val="left"/>
              <w:rPr/>
            </w:pPr>
            <w:r>
              <w:rPr/>
              <w:t>​</w:t>
            </w:r>
          </w:p>
        </w:tc>
      </w:tr>
      <w:tr>
        <w:trPr/>
        <w:tc>
          <w:tcPr>
            <w:tcW w:w="124" w:type="dxa"/>
            <w:vMerge w:val="restart"/>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822" w:type="dxa"/>
            <w:vMerge w:val="restart"/>
            <w:tcBorders>
              <w:bottom w:val="single" w:sz="8" w:space="0" w:color="7F7F7F"/>
            </w:tcBorders>
            <w:shd w:fill="E5E5E5" w:val="clear"/>
            <w:tcMar>
              <w:bottom w:w="28" w:type="dxa"/>
            </w:tcMar>
            <w:vAlign w:val="center"/>
          </w:tcPr>
          <w:p>
            <w:pPr>
              <w:pStyle w:val="TableContents"/>
              <w:bidi w:val="0"/>
              <w:spacing w:before="0" w:after="0"/>
              <w:jc w:val="left"/>
              <w:rPr/>
            </w:pPr>
            <w:r>
              <w:rPr/>
              <w:drawing>
                <wp:inline distT="0" distB="0" distL="0" distR="0">
                  <wp:extent cx="1019175" cy="1019175"/>
                  <wp:effectExtent l="0" t="0" r="0" b="0"/>
                  <wp:docPr id="521"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Image106" descr=""/>
                          <pic:cNvPicPr>
                            <a:picLocks noChangeAspect="1" noChangeArrowheads="1"/>
                          </pic:cNvPicPr>
                        </pic:nvPicPr>
                        <pic:blipFill>
                          <a:blip r:embed="rId128"/>
                          <a:stretch>
                            <a:fillRect/>
                          </a:stretch>
                        </pic:blipFill>
                        <pic:spPr bwMode="auto">
                          <a:xfrm>
                            <a:off x="0" y="0"/>
                            <a:ext cx="1019175" cy="1019175"/>
                          </a:xfrm>
                          <a:prstGeom prst="rect">
                            <a:avLst/>
                          </a:prstGeom>
                        </pic:spPr>
                      </pic:pic>
                    </a:graphicData>
                  </a:graphic>
                </wp:inline>
              </w:drawing>
            </w:r>
            <w:r>
              <w:rPr/>
              <w:t xml:space="preserve"> </w:t>
            </w:r>
          </w:p>
          <w:p>
            <w:pPr>
              <w:pStyle w:val="TableContents"/>
              <w:bidi w:val="0"/>
              <w:spacing w:lineRule="atLeast" w:line="220" w:before="117" w:after="283"/>
              <w:jc w:val="left"/>
              <w:rPr/>
            </w:pPr>
            <w:r>
              <w:rPr>
                <w:b/>
                <w:spacing w:val="0"/>
              </w:rPr>
              <w:t>Joseph Valane</w:t>
            </w:r>
            <w:r>
              <w:rPr/>
              <w:t xml:space="preserve"> </w:t>
              <w:br/>
            </w:r>
            <w:r>
              <w:rPr>
                <w:spacing w:val="-2"/>
              </w:rPr>
              <w:t xml:space="preserve">Chief Legal Officer and </w:t>
              <w:br/>
              <w:t xml:space="preserve">Secretary </w:t>
            </w:r>
          </w:p>
        </w:tc>
        <w:tc>
          <w:tcPr>
            <w:tcW w:w="109" w:type="dxa"/>
            <w:vMerge w:val="restart"/>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4535" w:type="dxa"/>
            <w:gridSpan w:val="3"/>
            <w:tcBorders/>
            <w:tcMar>
              <w:top w:w="28" w:type="dxa"/>
              <w:left w:w="28" w:type="dxa"/>
              <w:bottom w:w="28" w:type="dxa"/>
              <w:right w:w="28" w:type="dxa"/>
            </w:tcMar>
            <w:vAlign w:val="center"/>
          </w:tcPr>
          <w:p>
            <w:pPr>
              <w:pStyle w:val="TableContents"/>
              <w:bidi w:val="0"/>
              <w:spacing w:lineRule="atLeast" w:line="142" w:before="0" w:after="283"/>
              <w:jc w:val="left"/>
              <w:rPr/>
            </w:pPr>
            <w:r>
              <w:rPr/>
              <w:t>​</w:t>
            </w:r>
          </w:p>
        </w:tc>
        <w:tc>
          <w:tcPr>
            <w:tcW w:w="2714" w:type="dxa"/>
            <w:gridSpan w:val="6"/>
            <w:tcBorders/>
            <w:tcMar>
              <w:top w:w="28" w:type="dxa"/>
              <w:left w:w="28" w:type="dxa"/>
              <w:bottom w:w="28" w:type="dxa"/>
              <w:right w:w="28" w:type="dxa"/>
            </w:tcMar>
            <w:vAlign w:val="center"/>
          </w:tcPr>
          <w:p>
            <w:pPr>
              <w:pStyle w:val="TableContents"/>
              <w:bidi w:val="0"/>
              <w:spacing w:lineRule="atLeast" w:line="142" w:before="0" w:after="283"/>
              <w:jc w:val="left"/>
              <w:rPr/>
            </w:pPr>
            <w:r>
              <w:rPr/>
              <w:t>​</w:t>
            </w:r>
          </w:p>
        </w:tc>
      </w:tr>
      <w:tr>
        <w:trPr/>
        <w:tc>
          <w:tcPr>
            <w:tcW w:w="12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822"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983" w:type="dxa"/>
            <w:gridSpan w:val="7"/>
            <w:tcBorders/>
            <w:vAlign w:val="center"/>
          </w:tcPr>
          <w:p>
            <w:pPr>
              <w:pStyle w:val="TableContents"/>
              <w:bidi w:val="0"/>
              <w:spacing w:before="0" w:after="0"/>
              <w:jc w:val="both"/>
              <w:rPr>
                <w:spacing w:val="-2"/>
              </w:rPr>
            </w:pPr>
            <w:r>
              <w:rPr>
                <w:spacing w:val="-2"/>
              </w:rPr>
              <w:t xml:space="preserve">Our Chief Legal Officer is responsible for overseeing all legal matters for the Company and its national portfolio of award-winning communities. Mr. Valane also oversees the Company’s governmental affairs function and Culture &amp; People (HR) department. </w:t>
            </w:r>
          </w:p>
        </w:tc>
        <w:tc>
          <w:tcPr>
            <w:tcW w:w="157" w:type="dxa"/>
            <w:tcBorders/>
            <w:vAlign w:val="center"/>
          </w:tcPr>
          <w:p>
            <w:pPr>
              <w:pStyle w:val="TableContents"/>
              <w:bidi w:val="0"/>
              <w:spacing w:before="0" w:after="283"/>
              <w:jc w:val="left"/>
              <w:rPr/>
            </w:pPr>
            <w:r>
              <w:rPr/>
              <w:t>​</w:t>
            </w:r>
          </w:p>
        </w:tc>
      </w:tr>
      <w:tr>
        <w:trPr/>
        <w:tc>
          <w:tcPr>
            <w:tcW w:w="12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822"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tcBorders/>
            <w:shd w:fill="BAD8EA" w:val="clear"/>
            <w:vAlign w:val="center"/>
          </w:tcPr>
          <w:p>
            <w:pPr>
              <w:pStyle w:val="TableContents"/>
              <w:bidi w:val="0"/>
              <w:spacing w:before="0" w:after="283"/>
              <w:jc w:val="left"/>
              <w:rPr/>
            </w:pPr>
            <w:r>
              <w:rPr/>
              <w:t>​</w:t>
            </w:r>
          </w:p>
        </w:tc>
        <w:tc>
          <w:tcPr>
            <w:tcW w:w="6983" w:type="dxa"/>
            <w:gridSpan w:val="7"/>
            <w:tcBorders/>
            <w:shd w:fill="BAD8EA" w:val="clear"/>
            <w:vAlign w:val="center"/>
          </w:tcPr>
          <w:p>
            <w:pPr>
              <w:pStyle w:val="TableContents"/>
              <w:bidi w:val="0"/>
              <w:spacing w:before="0" w:after="283"/>
              <w:jc w:val="left"/>
              <w:rPr>
                <w:spacing w:val="0"/>
              </w:rPr>
            </w:pPr>
            <w:r>
              <w:rPr>
                <w:spacing w:val="0"/>
              </w:rPr>
              <w:t xml:space="preserve">Key 2025 Performance Achievements </w:t>
            </w:r>
          </w:p>
        </w:tc>
        <w:tc>
          <w:tcPr>
            <w:tcW w:w="157" w:type="dxa"/>
            <w:tcBorders/>
            <w:shd w:fill="BAD8EA" w:val="clear"/>
            <w:vAlign w:val="center"/>
          </w:tcPr>
          <w:p>
            <w:pPr>
              <w:pStyle w:val="TableContents"/>
              <w:bidi w:val="0"/>
              <w:spacing w:before="0" w:after="283"/>
              <w:jc w:val="left"/>
              <w:rPr/>
            </w:pPr>
            <w:r>
              <w:rPr/>
              <w:t>​</w:t>
            </w:r>
          </w:p>
        </w:tc>
      </w:tr>
      <w:tr>
        <w:trPr/>
        <w:tc>
          <w:tcPr>
            <w:tcW w:w="12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822"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983" w:type="dxa"/>
            <w:gridSpan w:val="7"/>
            <w:tcBorders/>
            <w:vAlign w:val="center"/>
          </w:tcPr>
          <w:p>
            <w:pPr>
              <w:pStyle w:val="TableContents"/>
              <w:bidi w:val="0"/>
              <w:spacing w:lineRule="atLeast" w:line="220" w:before="0" w:after="0"/>
              <w:ind w:left="480" w:right="0" w:hanging="0"/>
              <w:jc w:val="both"/>
              <w:rPr/>
            </w:pPr>
            <w:r>
              <w:rPr>
                <w:spacing w:val="-2"/>
              </w:rPr>
              <w:t>Led a comprehensive transformation of the Company’s legal function, repositioning the department as a business-enabling partner while improving efficiency, reducing headcount, and enhancing overall team performance and morale.</w:t>
            </w:r>
            <w:r>
              <w:rPr/>
              <w:t xml:space="preserve"> </w:t>
            </w:r>
            <w:r>
              <mc:AlternateContent>
                <mc:Choice Requires="wps">
                  <w:drawing>
                    <wp:anchor behindDoc="0" distT="0" distB="0" distL="76200" distR="0" simplePos="0" locked="0" layoutInCell="1" allowOverlap="1" relativeHeight="511">
                      <wp:simplePos x="0" y="0"/>
                      <wp:positionH relativeFrom="column">
                        <wp:align>left</wp:align>
                      </wp:positionH>
                      <wp:positionV relativeFrom="line">
                        <wp:posOffset>635</wp:posOffset>
                      </wp:positionV>
                      <wp:extent cx="228600" cy="350520"/>
                      <wp:effectExtent l="0" t="0" r="0" b="0"/>
                      <wp:wrapSquare wrapText="right"/>
                      <wp:docPr id="522" name="Frame39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6pt;mso-wrap-distance-right:0pt;mso-wrap-distance-top:0pt;mso-wrap-distance-bottom:0pt;margin-top:0pt;mso-position-vertical:top;mso-position-vertical-relative:text;margin-left:6pt;mso-position-horizontal:left;mso-position-horizontal-relative:text">
                      <v:textbox>
                        <w:txbxContent>
                          <w:p>
                            <w:pPr>
                              <w:pStyle w:val="TextBody"/>
                              <w:bidi w:val="0"/>
                              <w:spacing w:lineRule="atLeast" w:line="22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40" w:after="0"/>
              <w:ind w:left="480" w:right="0" w:hanging="0"/>
              <w:jc w:val="both"/>
              <w:rPr/>
            </w:pPr>
            <w:r>
              <w:rPr>
                <w:spacing w:val="-2"/>
              </w:rPr>
              <w:t>Expanded leadership responsibilities to include governmental affairs and Culture &amp; People (HR), strengthening alignment across key corporate functions and supporting the Company’s strategic growth initiatives.</w:t>
            </w:r>
            <w:r>
              <w:rPr/>
              <w:t xml:space="preserve"> </w:t>
            </w:r>
            <w:r>
              <mc:AlternateContent>
                <mc:Choice Requires="wps">
                  <w:drawing>
                    <wp:anchor behindDoc="0" distT="88900" distB="0" distL="76200" distR="0" simplePos="0" locked="0" layoutInCell="1" allowOverlap="1" relativeHeight="512">
                      <wp:simplePos x="0" y="0"/>
                      <wp:positionH relativeFrom="column">
                        <wp:align>left</wp:align>
                      </wp:positionH>
                      <wp:positionV relativeFrom="line">
                        <wp:align>top</wp:align>
                      </wp:positionV>
                      <wp:extent cx="228600" cy="350520"/>
                      <wp:effectExtent l="0" t="0" r="0" b="0"/>
                      <wp:wrapSquare wrapText="right"/>
                      <wp:docPr id="523" name="Frame39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6pt;mso-wrap-distance-right:0pt;mso-wrap-distance-top:7pt;mso-wrap-distance-bottom:0pt;margin-top:7pt;mso-position-vertical:top;mso-position-vertical-relative:text;margin-left:6pt;mso-position-horizontal:left;mso-position-horizontal-relative:text">
                      <v:textbox>
                        <w:txbxContent>
                          <w:p>
                            <w:pPr>
                              <w:pStyle w:val="TextBody"/>
                              <w:bidi w:val="0"/>
                              <w:spacing w:lineRule="atLeast" w:line="22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40" w:after="0"/>
              <w:ind w:left="480" w:right="0" w:hanging="0"/>
              <w:jc w:val="both"/>
              <w:rPr/>
            </w:pPr>
            <w:r>
              <w:rPr>
                <w:spacing w:val="-2"/>
              </w:rPr>
              <w:t>Reduced external legal spend through a disciplined, multi-pronged engagement strategy, improving cost efficiency while maintaining high-quality legal support across a complex and growing platform.</w:t>
            </w:r>
            <w:r>
              <w:rPr/>
              <w:t xml:space="preserve"> </w:t>
            </w:r>
            <w:r>
              <mc:AlternateContent>
                <mc:Choice Requires="wps">
                  <w:drawing>
                    <wp:anchor behindDoc="0" distT="88900" distB="0" distL="76200" distR="0" simplePos="0" locked="0" layoutInCell="1" allowOverlap="1" relativeHeight="513">
                      <wp:simplePos x="0" y="0"/>
                      <wp:positionH relativeFrom="column">
                        <wp:align>left</wp:align>
                      </wp:positionH>
                      <wp:positionV relativeFrom="line">
                        <wp:align>top</wp:align>
                      </wp:positionV>
                      <wp:extent cx="228600" cy="350520"/>
                      <wp:effectExtent l="0" t="0" r="0" b="0"/>
                      <wp:wrapSquare wrapText="right"/>
                      <wp:docPr id="524" name="Frame39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6pt;mso-wrap-distance-right:0pt;mso-wrap-distance-top:7pt;mso-wrap-distance-bottom:0pt;margin-top:7pt;mso-position-vertical:top;mso-position-vertical-relative:text;margin-left:6pt;mso-position-horizontal:left;mso-position-horizontal-relative:text">
                      <v:textbox>
                        <w:txbxContent>
                          <w:p>
                            <w:pPr>
                              <w:pStyle w:val="TextBody"/>
                              <w:bidi w:val="0"/>
                              <w:spacing w:lineRule="atLeast" w:line="22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40" w:after="0"/>
              <w:ind w:left="480" w:right="0" w:hanging="0"/>
              <w:jc w:val="both"/>
              <w:rPr/>
            </w:pPr>
            <w:r>
              <w:rPr>
                <w:spacing w:val="-2"/>
              </w:rPr>
              <w:t>Improved speed and scalability of commercial execution, implementing a “Fast Track” contracting process for high-volume agreements that reduced review times by approximately 90% and enhanced the Company’s ability to execute transactions efficiently.</w:t>
            </w:r>
            <w:r>
              <w:rPr/>
              <w:t xml:space="preserve"> </w:t>
            </w:r>
            <w:r>
              <mc:AlternateContent>
                <mc:Choice Requires="wps">
                  <w:drawing>
                    <wp:anchor behindDoc="0" distT="88900" distB="0" distL="76200" distR="0" simplePos="0" locked="0" layoutInCell="1" allowOverlap="1" relativeHeight="514">
                      <wp:simplePos x="0" y="0"/>
                      <wp:positionH relativeFrom="column">
                        <wp:align>left</wp:align>
                      </wp:positionH>
                      <wp:positionV relativeFrom="line">
                        <wp:align>top</wp:align>
                      </wp:positionV>
                      <wp:extent cx="228600" cy="350520"/>
                      <wp:effectExtent l="0" t="0" r="0" b="0"/>
                      <wp:wrapSquare wrapText="right"/>
                      <wp:docPr id="525" name="Frame39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6pt;mso-wrap-distance-right:0pt;mso-wrap-distance-top:7pt;mso-wrap-distance-bottom:0pt;margin-top:7pt;mso-position-vertical:top;mso-position-vertical-relative:text;margin-left:6pt;mso-position-horizontal:left;mso-position-horizontal-relative:text">
                      <v:textbox>
                        <w:txbxContent>
                          <w:p>
                            <w:pPr>
                              <w:pStyle w:val="TextBody"/>
                              <w:bidi w:val="0"/>
                              <w:spacing w:lineRule="atLeast" w:line="22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822"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tcBorders/>
            <w:shd w:fill="BAD8EA" w:val="clear"/>
            <w:vAlign w:val="center"/>
          </w:tcPr>
          <w:p>
            <w:pPr>
              <w:pStyle w:val="TableContents"/>
              <w:bidi w:val="0"/>
              <w:spacing w:before="0" w:after="283"/>
              <w:jc w:val="left"/>
              <w:rPr/>
            </w:pPr>
            <w:r>
              <w:rPr/>
              <w:t>​</w:t>
            </w:r>
          </w:p>
        </w:tc>
        <w:tc>
          <w:tcPr>
            <w:tcW w:w="6983" w:type="dxa"/>
            <w:gridSpan w:val="7"/>
            <w:tcBorders/>
            <w:shd w:fill="BAD8EA" w:val="clear"/>
            <w:vAlign w:val="center"/>
          </w:tcPr>
          <w:p>
            <w:pPr>
              <w:pStyle w:val="TableContents"/>
              <w:bidi w:val="0"/>
              <w:spacing w:before="0" w:after="283"/>
              <w:jc w:val="left"/>
              <w:rPr/>
            </w:pPr>
            <w:r>
              <w:rPr>
                <w:spacing w:val="0"/>
              </w:rPr>
              <w:t>Compensation Decisions</w:t>
            </w:r>
            <w:r>
              <w:rPr/>
              <w:t xml:space="preserve"> </w:t>
            </w:r>
          </w:p>
        </w:tc>
        <w:tc>
          <w:tcPr>
            <w:tcW w:w="157" w:type="dxa"/>
            <w:tcBorders/>
            <w:shd w:fill="BAD8EA" w:val="clear"/>
            <w:vAlign w:val="center"/>
          </w:tcPr>
          <w:p>
            <w:pPr>
              <w:pStyle w:val="TableContents"/>
              <w:bidi w:val="0"/>
              <w:spacing w:before="0" w:after="283"/>
              <w:jc w:val="left"/>
              <w:rPr/>
            </w:pPr>
            <w:r>
              <w:rPr/>
              <w:t>​</w:t>
            </w:r>
          </w:p>
        </w:tc>
      </w:tr>
      <w:tr>
        <w:trPr/>
        <w:tc>
          <w:tcPr>
            <w:tcW w:w="12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822"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4233" w:type="dxa"/>
            <w:tcBorders/>
            <w:vAlign w:val="center"/>
          </w:tcPr>
          <w:p>
            <w:pPr>
              <w:pStyle w:val="TableContents"/>
              <w:bidi w:val="0"/>
              <w:spacing w:before="0" w:after="0"/>
              <w:jc w:val="left"/>
              <w:rPr>
                <w:spacing w:val="-2"/>
              </w:rPr>
            </w:pPr>
            <w:r>
              <w:rPr>
                <w:spacing w:val="-2"/>
              </w:rPr>
              <w:t xml:space="preserve">Base Salary </w:t>
            </w:r>
          </w:p>
        </w:tc>
        <w:tc>
          <w:tcPr>
            <w:tcW w:w="193" w:type="dxa"/>
            <w:tcBorders/>
            <w:vAlign w:val="center"/>
          </w:tcPr>
          <w:p>
            <w:pPr>
              <w:pStyle w:val="TableContents"/>
              <w:bidi w:val="0"/>
              <w:spacing w:before="0" w:after="283"/>
              <w:jc w:val="left"/>
              <w:rPr/>
            </w:pPr>
            <w:r>
              <w:rPr/>
              <w:t>​</w:t>
            </w:r>
          </w:p>
        </w:tc>
        <w:tc>
          <w:tcPr>
            <w:tcW w:w="193" w:type="dxa"/>
            <w:tcBorders/>
            <w:vAlign w:val="center"/>
          </w:tcPr>
          <w:p>
            <w:pPr>
              <w:pStyle w:val="TableContents"/>
              <w:bidi w:val="0"/>
              <w:spacing w:before="0" w:after="283"/>
              <w:jc w:val="left"/>
              <w:rPr/>
            </w:pPr>
            <w:r>
              <w:rPr/>
              <w:t>​</w:t>
            </w:r>
          </w:p>
        </w:tc>
        <w:tc>
          <w:tcPr>
            <w:tcW w:w="193" w:type="dxa"/>
            <w:tcBorders/>
            <w:vAlign w:val="center"/>
          </w:tcPr>
          <w:p>
            <w:pPr>
              <w:pStyle w:val="TableContents"/>
              <w:bidi w:val="0"/>
              <w:spacing w:before="0" w:after="283"/>
              <w:jc w:val="left"/>
              <w:rPr/>
            </w:pPr>
            <w:r>
              <w:rPr/>
              <w:t>​</w:t>
            </w:r>
          </w:p>
        </w:tc>
        <w:tc>
          <w:tcPr>
            <w:tcW w:w="193" w:type="dxa"/>
            <w:tcBorders/>
            <w:vAlign w:val="center"/>
          </w:tcPr>
          <w:p>
            <w:pPr>
              <w:pStyle w:val="TableContents"/>
              <w:bidi w:val="0"/>
              <w:spacing w:before="0" w:after="283"/>
              <w:jc w:val="right"/>
              <w:rPr/>
            </w:pPr>
            <w:r>
              <w:rPr/>
              <w:t>​</w:t>
            </w:r>
          </w:p>
        </w:tc>
        <w:tc>
          <w:tcPr>
            <w:tcW w:w="1785" w:type="dxa"/>
            <w:tcBorders/>
            <w:vAlign w:val="center"/>
          </w:tcPr>
          <w:p>
            <w:pPr>
              <w:pStyle w:val="TableContents"/>
              <w:bidi w:val="0"/>
              <w:spacing w:before="0" w:after="283"/>
              <w:jc w:val="right"/>
              <w:rPr/>
            </w:pPr>
            <w:r>
              <w:rPr/>
              <w:t>$500,000</w:t>
            </w:r>
          </w:p>
        </w:tc>
        <w:tc>
          <w:tcPr>
            <w:tcW w:w="193"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822"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4233" w:type="dxa"/>
            <w:tcBorders/>
            <w:vAlign w:val="center"/>
          </w:tcPr>
          <w:p>
            <w:pPr>
              <w:pStyle w:val="TableContents"/>
              <w:bidi w:val="0"/>
              <w:spacing w:before="0" w:after="0"/>
              <w:jc w:val="left"/>
              <w:rPr>
                <w:spacing w:val="-2"/>
              </w:rPr>
            </w:pPr>
            <w:r>
              <w:rPr>
                <w:spacing w:val="-2"/>
              </w:rPr>
              <w:t xml:space="preserve">Annual Incentive Compensation </w:t>
            </w:r>
          </w:p>
        </w:tc>
        <w:tc>
          <w:tcPr>
            <w:tcW w:w="193" w:type="dxa"/>
            <w:tcBorders/>
            <w:vAlign w:val="center"/>
          </w:tcPr>
          <w:p>
            <w:pPr>
              <w:pStyle w:val="TableContents"/>
              <w:bidi w:val="0"/>
              <w:spacing w:before="0" w:after="283"/>
              <w:jc w:val="left"/>
              <w:rPr/>
            </w:pPr>
            <w:r>
              <w:rPr/>
              <w:t>​</w:t>
            </w:r>
          </w:p>
        </w:tc>
        <w:tc>
          <w:tcPr>
            <w:tcW w:w="193" w:type="dxa"/>
            <w:tcBorders/>
            <w:vAlign w:val="center"/>
          </w:tcPr>
          <w:p>
            <w:pPr>
              <w:pStyle w:val="TableContents"/>
              <w:bidi w:val="0"/>
              <w:spacing w:before="0" w:after="283"/>
              <w:jc w:val="left"/>
              <w:rPr/>
            </w:pPr>
            <w:r>
              <w:rPr/>
              <w:t>​</w:t>
            </w:r>
          </w:p>
        </w:tc>
        <w:tc>
          <w:tcPr>
            <w:tcW w:w="193" w:type="dxa"/>
            <w:tcBorders/>
            <w:vAlign w:val="center"/>
          </w:tcPr>
          <w:p>
            <w:pPr>
              <w:pStyle w:val="TableContents"/>
              <w:bidi w:val="0"/>
              <w:spacing w:before="0" w:after="283"/>
              <w:jc w:val="left"/>
              <w:rPr/>
            </w:pPr>
            <w:r>
              <w:rPr/>
              <w:t>​</w:t>
            </w:r>
          </w:p>
        </w:tc>
        <w:tc>
          <w:tcPr>
            <w:tcW w:w="193" w:type="dxa"/>
            <w:tcBorders/>
            <w:vAlign w:val="center"/>
          </w:tcPr>
          <w:p>
            <w:pPr>
              <w:pStyle w:val="TableContents"/>
              <w:bidi w:val="0"/>
              <w:spacing w:before="0" w:after="283"/>
              <w:jc w:val="right"/>
              <w:rPr/>
            </w:pPr>
            <w:r>
              <w:rPr/>
              <w:t>​</w:t>
            </w:r>
          </w:p>
        </w:tc>
        <w:tc>
          <w:tcPr>
            <w:tcW w:w="1785" w:type="dxa"/>
            <w:tcBorders/>
            <w:vAlign w:val="center"/>
          </w:tcPr>
          <w:p>
            <w:pPr>
              <w:pStyle w:val="TableContents"/>
              <w:bidi w:val="0"/>
              <w:spacing w:before="0" w:after="283"/>
              <w:jc w:val="right"/>
              <w:rPr/>
            </w:pPr>
            <w:r>
              <w:rPr/>
              <w:t>$600,000</w:t>
            </w:r>
          </w:p>
        </w:tc>
        <w:tc>
          <w:tcPr>
            <w:tcW w:w="193"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822"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vMerge w:val="continue"/>
            <w:tcBorders>
              <w:bottom w:val="single" w:sz="8" w:space="0" w:color="7F7F7F"/>
            </w:tcBorders>
            <w:shd w:fill="E5E5E5"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4233" w:type="dxa"/>
            <w:tcBorders/>
            <w:vAlign w:val="center"/>
          </w:tcPr>
          <w:p>
            <w:pPr>
              <w:pStyle w:val="TableContents"/>
              <w:bidi w:val="0"/>
              <w:spacing w:before="0" w:after="0"/>
              <w:jc w:val="left"/>
              <w:rPr>
                <w:spacing w:val="-2"/>
              </w:rPr>
            </w:pPr>
            <w:r>
              <w:rPr>
                <w:spacing w:val="-2"/>
              </w:rPr>
              <w:t xml:space="preserve">Long-Term Equity Incentives </w:t>
            </w:r>
          </w:p>
        </w:tc>
        <w:tc>
          <w:tcPr>
            <w:tcW w:w="193" w:type="dxa"/>
            <w:tcBorders/>
            <w:vAlign w:val="center"/>
          </w:tcPr>
          <w:p>
            <w:pPr>
              <w:pStyle w:val="TableContents"/>
              <w:bidi w:val="0"/>
              <w:spacing w:before="0" w:after="283"/>
              <w:jc w:val="left"/>
              <w:rPr/>
            </w:pPr>
            <w:r>
              <w:rPr/>
              <w:t>​</w:t>
            </w:r>
          </w:p>
        </w:tc>
        <w:tc>
          <w:tcPr>
            <w:tcW w:w="193" w:type="dxa"/>
            <w:tcBorders/>
            <w:vAlign w:val="center"/>
          </w:tcPr>
          <w:p>
            <w:pPr>
              <w:pStyle w:val="TableContents"/>
              <w:bidi w:val="0"/>
              <w:spacing w:before="0" w:after="283"/>
              <w:jc w:val="left"/>
              <w:rPr/>
            </w:pPr>
            <w:r>
              <w:rPr/>
              <w:t>​</w:t>
            </w:r>
          </w:p>
        </w:tc>
        <w:tc>
          <w:tcPr>
            <w:tcW w:w="193" w:type="dxa"/>
            <w:tcBorders/>
            <w:vAlign w:val="center"/>
          </w:tcPr>
          <w:p>
            <w:pPr>
              <w:pStyle w:val="TableContents"/>
              <w:bidi w:val="0"/>
              <w:spacing w:before="0" w:after="283"/>
              <w:jc w:val="left"/>
              <w:rPr/>
            </w:pPr>
            <w:r>
              <w:rPr/>
              <w:t>​</w:t>
            </w:r>
          </w:p>
        </w:tc>
        <w:tc>
          <w:tcPr>
            <w:tcW w:w="193" w:type="dxa"/>
            <w:tcBorders/>
            <w:vAlign w:val="center"/>
          </w:tcPr>
          <w:p>
            <w:pPr>
              <w:pStyle w:val="TableContents"/>
              <w:bidi w:val="0"/>
              <w:spacing w:before="0" w:after="283"/>
              <w:jc w:val="right"/>
              <w:rPr/>
            </w:pPr>
            <w:r>
              <w:rPr/>
              <w:t>​</w:t>
            </w:r>
          </w:p>
        </w:tc>
        <w:tc>
          <w:tcPr>
            <w:tcW w:w="1785" w:type="dxa"/>
            <w:tcBorders/>
            <w:vAlign w:val="center"/>
          </w:tcPr>
          <w:p>
            <w:pPr>
              <w:pStyle w:val="TableContents"/>
              <w:bidi w:val="0"/>
              <w:spacing w:before="0" w:after="283"/>
              <w:jc w:val="right"/>
              <w:rPr/>
            </w:pPr>
            <w:r>
              <w:rPr/>
              <w:t>$779,631</w:t>
            </w:r>
          </w:p>
        </w:tc>
        <w:tc>
          <w:tcPr>
            <w:tcW w:w="193"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tbl>
      <w:tblPr>
        <w:tblW w:w="9304" w:type="dxa"/>
        <w:jc w:val="left"/>
        <w:tblInd w:w="901" w:type="dxa"/>
        <w:tblLayout w:type="fixed"/>
        <w:tblCellMar>
          <w:top w:w="0" w:type="dxa"/>
          <w:left w:w="0" w:type="dxa"/>
          <w:bottom w:w="0" w:type="dxa"/>
          <w:right w:w="0" w:type="dxa"/>
        </w:tblCellMar>
      </w:tblPr>
      <w:tblGrid>
        <w:gridCol w:w="124"/>
        <w:gridCol w:w="1802"/>
        <w:gridCol w:w="109"/>
        <w:gridCol w:w="109"/>
        <w:gridCol w:w="4227"/>
        <w:gridCol w:w="187"/>
        <w:gridCol w:w="187"/>
        <w:gridCol w:w="187"/>
        <w:gridCol w:w="187"/>
        <w:gridCol w:w="1839"/>
        <w:gridCol w:w="187"/>
        <w:gridCol w:w="159"/>
      </w:tblGrid>
      <w:tr>
        <w:trPr/>
        <w:tc>
          <w:tcPr>
            <w:tcW w:w="124" w:type="dxa"/>
            <w:tcBorders/>
            <w:shd w:fill="E5E5E5" w:val="clear"/>
            <w:vAlign w:val="center"/>
          </w:tcPr>
          <w:p>
            <w:pPr>
              <w:pStyle w:val="TableContents"/>
              <w:bidi w:val="0"/>
              <w:spacing w:before="0" w:after="283"/>
              <w:jc w:val="left"/>
              <w:rPr/>
            </w:pPr>
            <w:r>
              <w:rPr/>
              <w:t>​</w:t>
            </w:r>
          </w:p>
        </w:tc>
        <w:tc>
          <w:tcPr>
            <w:tcW w:w="180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7001" w:type="dxa"/>
            <w:gridSpan w:val="7"/>
            <w:tcBorders/>
            <w:shd w:fill="BAD8EA" w:val="clear"/>
            <w:vAlign w:val="center"/>
          </w:tcPr>
          <w:p>
            <w:pPr>
              <w:pStyle w:val="TableContents"/>
              <w:bidi w:val="0"/>
              <w:spacing w:before="0" w:after="0"/>
              <w:jc w:val="left"/>
              <w:rPr>
                <w:spacing w:val="0"/>
              </w:rPr>
            </w:pPr>
            <w:r>
              <w:rPr>
                <w:spacing w:val="0"/>
              </w:rPr>
              <w:t xml:space="preserve">Key Responsibilities </w:t>
            </w:r>
          </w:p>
        </w:tc>
        <w:tc>
          <w:tcPr>
            <w:tcW w:w="159" w:type="dxa"/>
            <w:tcBorders/>
            <w:shd w:fill="BAD8EA" w:val="clear"/>
            <w:vAlign w:val="center"/>
          </w:tcPr>
          <w:p>
            <w:pPr>
              <w:pStyle w:val="TableContents"/>
              <w:bidi w:val="0"/>
              <w:spacing w:before="0" w:after="283"/>
              <w:jc w:val="left"/>
              <w:rPr/>
            </w:pPr>
            <w:r>
              <w:rPr/>
              <w:t>​</w:t>
            </w:r>
          </w:p>
        </w:tc>
      </w:tr>
      <w:tr>
        <w:trPr/>
        <w:tc>
          <w:tcPr>
            <w:tcW w:w="124" w:type="dxa"/>
            <w:vMerge w:val="restart"/>
            <w:tcBorders/>
            <w:shd w:fill="E5E5E5" w:val="clear"/>
            <w:vAlign w:val="center"/>
          </w:tcPr>
          <w:p>
            <w:pPr>
              <w:pStyle w:val="TableContents"/>
              <w:bidi w:val="0"/>
              <w:spacing w:before="0" w:after="283"/>
              <w:jc w:val="left"/>
              <w:rPr/>
            </w:pPr>
            <w:r>
              <w:rPr/>
              <w:t>​</w:t>
            </w:r>
          </w:p>
        </w:tc>
        <w:tc>
          <w:tcPr>
            <w:tcW w:w="1802" w:type="dxa"/>
            <w:vMerge w:val="restart"/>
            <w:tcBorders/>
            <w:shd w:fill="E5E5E5" w:val="clear"/>
            <w:vAlign w:val="center"/>
          </w:tcPr>
          <w:p>
            <w:pPr>
              <w:pStyle w:val="TableContents"/>
              <w:bidi w:val="0"/>
              <w:spacing w:before="0" w:after="0"/>
              <w:jc w:val="left"/>
              <w:rPr/>
            </w:pPr>
            <w:r>
              <w:rPr/>
              <w:drawing>
                <wp:inline distT="0" distB="0" distL="0" distR="0">
                  <wp:extent cx="1019175" cy="1019175"/>
                  <wp:effectExtent l="0" t="0" r="0" b="0"/>
                  <wp:docPr id="52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107" descr=""/>
                          <pic:cNvPicPr>
                            <a:picLocks noChangeAspect="1" noChangeArrowheads="1"/>
                          </pic:cNvPicPr>
                        </pic:nvPicPr>
                        <pic:blipFill>
                          <a:blip r:embed="rId129"/>
                          <a:stretch>
                            <a:fillRect/>
                          </a:stretch>
                        </pic:blipFill>
                        <pic:spPr bwMode="auto">
                          <a:xfrm>
                            <a:off x="0" y="0"/>
                            <a:ext cx="1019175" cy="1019175"/>
                          </a:xfrm>
                          <a:prstGeom prst="rect">
                            <a:avLst/>
                          </a:prstGeom>
                        </pic:spPr>
                      </pic:pic>
                    </a:graphicData>
                  </a:graphic>
                </wp:inline>
              </w:drawing>
            </w:r>
            <w:r>
              <w:rPr/>
              <w:t xml:space="preserve"> </w:t>
            </w:r>
          </w:p>
          <w:p>
            <w:pPr>
              <w:pStyle w:val="TableContents"/>
              <w:bidi w:val="0"/>
              <w:spacing w:lineRule="atLeast" w:line="220" w:before="117" w:after="283"/>
              <w:jc w:val="left"/>
              <w:rPr/>
            </w:pPr>
            <w:r>
              <w:rPr>
                <w:b/>
                <w:spacing w:val="0"/>
              </w:rPr>
              <w:t>Doug Johnstone</w:t>
            </w:r>
            <w:r>
              <w:rPr/>
              <w:t xml:space="preserve"> </w:t>
              <w:br/>
            </w:r>
            <w:r>
              <w:rPr>
                <w:spacing w:val="-2"/>
              </w:rPr>
              <w:t xml:space="preserve">President, HHC Hawaii </w:t>
              <w:br/>
              <w:t xml:space="preserve">Region &amp; National </w:t>
              <w:br/>
              <w:t xml:space="preserve">Condominium </w:t>
              <w:br/>
              <w:t xml:space="preserve">Development </w:t>
            </w:r>
          </w:p>
        </w:tc>
        <w:tc>
          <w:tcPr>
            <w:tcW w:w="109" w:type="dxa"/>
            <w:vMerge w:val="restart"/>
            <w:tcBorders/>
            <w:shd w:fill="E5E5E5" w:val="clear"/>
            <w:vAlign w:val="center"/>
          </w:tcPr>
          <w:p>
            <w:pPr>
              <w:pStyle w:val="TableContents"/>
              <w:bidi w:val="0"/>
              <w:spacing w:before="0" w:after="283"/>
              <w:jc w:val="left"/>
              <w:rPr/>
            </w:pPr>
            <w:r>
              <w:rPr/>
              <w:t>​</w:t>
            </w:r>
          </w:p>
        </w:tc>
        <w:tc>
          <w:tcPr>
            <w:tcW w:w="4523" w:type="dxa"/>
            <w:gridSpan w:val="3"/>
            <w:tcBorders/>
            <w:tcMar>
              <w:top w:w="28" w:type="dxa"/>
              <w:left w:w="28" w:type="dxa"/>
              <w:bottom w:w="28" w:type="dxa"/>
              <w:right w:w="28" w:type="dxa"/>
            </w:tcMar>
            <w:vAlign w:val="center"/>
          </w:tcPr>
          <w:p>
            <w:pPr>
              <w:pStyle w:val="TableContents"/>
              <w:bidi w:val="0"/>
              <w:spacing w:lineRule="atLeast" w:line="142" w:before="0" w:after="283"/>
              <w:jc w:val="left"/>
              <w:rPr/>
            </w:pPr>
            <w:r>
              <w:rPr/>
              <w:t>​</w:t>
            </w:r>
          </w:p>
        </w:tc>
        <w:tc>
          <w:tcPr>
            <w:tcW w:w="2746" w:type="dxa"/>
            <w:gridSpan w:val="6"/>
            <w:tcBorders/>
            <w:tcMar>
              <w:top w:w="28" w:type="dxa"/>
              <w:left w:w="28" w:type="dxa"/>
              <w:bottom w:w="28" w:type="dxa"/>
              <w:right w:w="28" w:type="dxa"/>
            </w:tcMar>
            <w:vAlign w:val="center"/>
          </w:tcPr>
          <w:p>
            <w:pPr>
              <w:pStyle w:val="TableContents"/>
              <w:bidi w:val="0"/>
              <w:spacing w:lineRule="atLeast" w:line="142"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802"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7001" w:type="dxa"/>
            <w:gridSpan w:val="7"/>
            <w:tcBorders/>
            <w:vAlign w:val="center"/>
          </w:tcPr>
          <w:p>
            <w:pPr>
              <w:pStyle w:val="TableContents"/>
              <w:bidi w:val="0"/>
              <w:spacing w:before="0" w:after="0"/>
              <w:jc w:val="both"/>
              <w:rPr>
                <w:spacing w:val="-2"/>
              </w:rPr>
            </w:pPr>
            <w:r>
              <w:rPr>
                <w:spacing w:val="-2"/>
              </w:rPr>
              <w:t xml:space="preserve">Our President, Hawaii Region &amp; National Condominium Development, is primarily responsible for overseeing asset management, financing, and redevelopment initiatives in Ward Village, a 60-acre master planned community in the heart of Honolulu, and all condominiums across the Company’s regions. </w:t>
            </w:r>
          </w:p>
        </w:tc>
        <w:tc>
          <w:tcPr>
            <w:tcW w:w="159" w:type="dxa"/>
            <w:tcBorders/>
            <w:vAlign w:val="center"/>
          </w:tcPr>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802"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tcBorders/>
            <w:shd w:fill="BAD8EA" w:val="clear"/>
            <w:vAlign w:val="center"/>
          </w:tcPr>
          <w:p>
            <w:pPr>
              <w:pStyle w:val="TableContents"/>
              <w:bidi w:val="0"/>
              <w:spacing w:before="0" w:after="283"/>
              <w:jc w:val="left"/>
              <w:rPr/>
            </w:pPr>
            <w:r>
              <w:rPr/>
              <w:t>​</w:t>
            </w:r>
          </w:p>
        </w:tc>
        <w:tc>
          <w:tcPr>
            <w:tcW w:w="7001" w:type="dxa"/>
            <w:gridSpan w:val="7"/>
            <w:tcBorders/>
            <w:shd w:fill="BAD8EA" w:val="clear"/>
            <w:vAlign w:val="center"/>
          </w:tcPr>
          <w:p>
            <w:pPr>
              <w:pStyle w:val="TableContents"/>
              <w:bidi w:val="0"/>
              <w:spacing w:before="0" w:after="283"/>
              <w:jc w:val="left"/>
              <w:rPr>
                <w:spacing w:val="0"/>
              </w:rPr>
            </w:pPr>
            <w:r>
              <w:rPr>
                <w:spacing w:val="0"/>
              </w:rPr>
              <w:t xml:space="preserve">Key 2025 Performance Achievements </w:t>
            </w:r>
          </w:p>
        </w:tc>
        <w:tc>
          <w:tcPr>
            <w:tcW w:w="159" w:type="dxa"/>
            <w:tcBorders/>
            <w:shd w:fill="BAD8EA" w:val="clear"/>
            <w:vAlign w:val="center"/>
          </w:tcPr>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802"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7001" w:type="dxa"/>
            <w:gridSpan w:val="7"/>
            <w:tcBorders/>
            <w:vAlign w:val="center"/>
          </w:tcPr>
          <w:p>
            <w:pPr>
              <w:pStyle w:val="TableContents"/>
              <w:bidi w:val="0"/>
              <w:spacing w:lineRule="atLeast" w:line="220" w:before="0" w:after="0"/>
              <w:ind w:left="480" w:right="0" w:hanging="0"/>
              <w:jc w:val="both"/>
              <w:rPr>
                <w:spacing w:val="-2"/>
              </w:rPr>
            </w:pPr>
            <w:r>
              <w:rPr>
                <w:spacing w:val="-2"/>
              </w:rPr>
              <w:t xml:space="preserve">Successfully expanded his executive role to lead and strengthen HHC’s national condominium development platform, leveraging over a decade of expertise to elevate execution in The Woodlands and Summerlin. </w:t>
            </w:r>
            <w:r>
              <mc:AlternateContent>
                <mc:Choice Requires="wps">
                  <w:drawing>
                    <wp:anchor behindDoc="0" distT="0" distB="0" distL="76200" distR="0" simplePos="0" locked="0" layoutInCell="1" allowOverlap="1" relativeHeight="515">
                      <wp:simplePos x="0" y="0"/>
                      <wp:positionH relativeFrom="column">
                        <wp:align>left</wp:align>
                      </wp:positionH>
                      <wp:positionV relativeFrom="line">
                        <wp:posOffset>635</wp:posOffset>
                      </wp:positionV>
                      <wp:extent cx="228600" cy="350520"/>
                      <wp:effectExtent l="0" t="0" r="0" b="0"/>
                      <wp:wrapSquare wrapText="right"/>
                      <wp:docPr id="527" name="Frame39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6pt;mso-wrap-distance-right:0pt;mso-wrap-distance-top:0pt;mso-wrap-distance-bottom:0pt;margin-top:0pt;mso-position-vertical:top;mso-position-vertical-relative:text;margin-left:6pt;mso-position-horizontal:left;mso-position-horizontal-relative:text">
                      <v:textbox>
                        <w:txbxContent>
                          <w:p>
                            <w:pPr>
                              <w:pStyle w:val="TextBody"/>
                              <w:bidi w:val="0"/>
                              <w:spacing w:lineRule="atLeast" w:line="22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40" w:after="0"/>
              <w:ind w:left="480" w:right="0" w:hanging="0"/>
              <w:jc w:val="both"/>
              <w:rPr>
                <w:spacing w:val="-2"/>
              </w:rPr>
            </w:pPr>
            <w:r>
              <w:rPr>
                <w:spacing w:val="-2"/>
              </w:rPr>
              <w:t xml:space="preserve">Scaled Hawaii development portfolio by advancing construction of The Park Ward Village and Kalae, breaking ground on The Launiu Ward Village, and delivering a record-setting launch of the Melia and Ilima ultra-luxury towers. </w:t>
            </w:r>
            <w:r>
              <mc:AlternateContent>
                <mc:Choice Requires="wps">
                  <w:drawing>
                    <wp:anchor behindDoc="0" distT="88900" distB="0" distL="76200" distR="0" simplePos="0" locked="0" layoutInCell="1" allowOverlap="1" relativeHeight="516">
                      <wp:simplePos x="0" y="0"/>
                      <wp:positionH relativeFrom="column">
                        <wp:align>left</wp:align>
                      </wp:positionH>
                      <wp:positionV relativeFrom="line">
                        <wp:align>top</wp:align>
                      </wp:positionV>
                      <wp:extent cx="228600" cy="350520"/>
                      <wp:effectExtent l="0" t="0" r="0" b="0"/>
                      <wp:wrapSquare wrapText="right"/>
                      <wp:docPr id="528" name="Frame40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6pt;mso-wrap-distance-right:0pt;mso-wrap-distance-top:7pt;mso-wrap-distance-bottom:0pt;margin-top:7pt;mso-position-vertical:top;mso-position-vertical-relative:text;margin-left:6pt;mso-position-horizontal:left;mso-position-horizontal-relative:text">
                      <v:textbox>
                        <w:txbxContent>
                          <w:p>
                            <w:pPr>
                              <w:pStyle w:val="TextBody"/>
                              <w:bidi w:val="0"/>
                              <w:spacing w:lineRule="atLeast" w:line="22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480" w:right="0" w:hanging="0"/>
              <w:jc w:val="left"/>
              <w:rPr>
                <w:spacing w:val="-2"/>
              </w:rPr>
            </w:pPr>
            <w:r>
              <w:rPr>
                <w:spacing w:val="-2"/>
              </w:rPr>
              <w:t xml:space="preserve">Oversaw the successful completion of Ulana Ward Village. </w:t>
            </w:r>
            <w:r>
              <mc:AlternateContent>
                <mc:Choice Requires="wps">
                  <w:drawing>
                    <wp:anchor behindDoc="0" distT="88900" distB="0" distL="76200" distR="0" simplePos="0" locked="0" layoutInCell="1" allowOverlap="1" relativeHeight="517">
                      <wp:simplePos x="0" y="0"/>
                      <wp:positionH relativeFrom="column">
                        <wp:align>left</wp:align>
                      </wp:positionH>
                      <wp:positionV relativeFrom="line">
                        <wp:align>top</wp:align>
                      </wp:positionV>
                      <wp:extent cx="228600" cy="350520"/>
                      <wp:effectExtent l="0" t="0" r="0" b="0"/>
                      <wp:wrapSquare wrapText="right"/>
                      <wp:docPr id="529" name="Frame40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6pt;mso-wrap-distance-right:0pt;mso-wrap-distance-top:7pt;mso-wrap-distance-bottom:0pt;margin-top:7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40" w:after="0"/>
              <w:ind w:left="480" w:right="0" w:hanging="0"/>
              <w:jc w:val="both"/>
              <w:rPr>
                <w:spacing w:val="-2"/>
              </w:rPr>
            </w:pPr>
            <w:r>
              <w:rPr>
                <w:spacing w:val="-2"/>
              </w:rPr>
              <w:t xml:space="preserve">Secured favorable amendments to the Ward Village Development Agreement, unlocking density for the Mahana project and establishing a framework for developing underutilized parcels. </w:t>
            </w:r>
            <w:r>
              <mc:AlternateContent>
                <mc:Choice Requires="wps">
                  <w:drawing>
                    <wp:anchor behindDoc="0" distT="88900" distB="0" distL="76200" distR="0" simplePos="0" locked="0" layoutInCell="1" allowOverlap="1" relativeHeight="518">
                      <wp:simplePos x="0" y="0"/>
                      <wp:positionH relativeFrom="column">
                        <wp:align>left</wp:align>
                      </wp:positionH>
                      <wp:positionV relativeFrom="line">
                        <wp:align>top</wp:align>
                      </wp:positionV>
                      <wp:extent cx="228600" cy="350520"/>
                      <wp:effectExtent l="0" t="0" r="0" b="0"/>
                      <wp:wrapSquare wrapText="right"/>
                      <wp:docPr id="530" name="Frame40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6pt;mso-wrap-distance-right:0pt;mso-wrap-distance-top:7pt;mso-wrap-distance-bottom:0pt;margin-top:7pt;mso-position-vertical:top;mso-position-vertical-relative:text;margin-left:6pt;mso-position-horizontal:left;mso-position-horizontal-relative:text">
                      <v:textbox>
                        <w:txbxContent>
                          <w:p>
                            <w:pPr>
                              <w:pStyle w:val="TextBody"/>
                              <w:bidi w:val="0"/>
                              <w:spacing w:lineRule="atLeast" w:line="22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802"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tcBorders/>
            <w:shd w:fill="BAD8EA" w:val="clear"/>
            <w:vAlign w:val="center"/>
          </w:tcPr>
          <w:p>
            <w:pPr>
              <w:pStyle w:val="TableContents"/>
              <w:bidi w:val="0"/>
              <w:spacing w:before="0" w:after="283"/>
              <w:jc w:val="left"/>
              <w:rPr/>
            </w:pPr>
            <w:r>
              <w:rPr/>
              <w:t>​</w:t>
            </w:r>
          </w:p>
        </w:tc>
        <w:tc>
          <w:tcPr>
            <w:tcW w:w="7001" w:type="dxa"/>
            <w:gridSpan w:val="7"/>
            <w:tcBorders/>
            <w:shd w:fill="BAD8EA" w:val="clear"/>
            <w:vAlign w:val="center"/>
          </w:tcPr>
          <w:p>
            <w:pPr>
              <w:pStyle w:val="TableContents"/>
              <w:bidi w:val="0"/>
              <w:spacing w:before="0" w:after="283"/>
              <w:jc w:val="left"/>
              <w:rPr>
                <w:spacing w:val="0"/>
              </w:rPr>
            </w:pPr>
            <w:r>
              <w:rPr>
                <w:spacing w:val="0"/>
              </w:rPr>
              <w:t xml:space="preserve">Compensation Decisions </w:t>
            </w:r>
          </w:p>
        </w:tc>
        <w:tc>
          <w:tcPr>
            <w:tcW w:w="159" w:type="dxa"/>
            <w:tcBorders/>
            <w:shd w:fill="BAD8EA" w:val="clear"/>
            <w:vAlign w:val="center"/>
          </w:tcPr>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802"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4227" w:type="dxa"/>
            <w:tcBorders/>
            <w:vAlign w:val="center"/>
          </w:tcPr>
          <w:p>
            <w:pPr>
              <w:pStyle w:val="TableContents"/>
              <w:bidi w:val="0"/>
              <w:spacing w:before="0" w:after="0"/>
              <w:jc w:val="left"/>
              <w:rPr>
                <w:spacing w:val="-2"/>
              </w:rPr>
            </w:pPr>
            <w:r>
              <w:rPr>
                <w:spacing w:val="-2"/>
              </w:rPr>
              <w:t xml:space="preserve">Base Salary </w:t>
            </w:r>
          </w:p>
        </w:tc>
        <w:tc>
          <w:tcPr>
            <w:tcW w:w="187" w:type="dxa"/>
            <w:tcBorders/>
            <w:vAlign w:val="center"/>
          </w:tcPr>
          <w:p>
            <w:pPr>
              <w:pStyle w:val="TableContents"/>
              <w:bidi w:val="0"/>
              <w:spacing w:before="0" w:after="283"/>
              <w:jc w:val="left"/>
              <w:rPr/>
            </w:pPr>
            <w:r>
              <w:rPr/>
              <w:t>​</w:t>
            </w:r>
          </w:p>
        </w:tc>
        <w:tc>
          <w:tcPr>
            <w:tcW w:w="187" w:type="dxa"/>
            <w:tcBorders/>
            <w:vAlign w:val="center"/>
          </w:tcPr>
          <w:p>
            <w:pPr>
              <w:pStyle w:val="TableContents"/>
              <w:bidi w:val="0"/>
              <w:spacing w:before="0" w:after="283"/>
              <w:jc w:val="left"/>
              <w:rPr/>
            </w:pPr>
            <w:r>
              <w:rPr/>
              <w:t>​</w:t>
            </w:r>
          </w:p>
        </w:tc>
        <w:tc>
          <w:tcPr>
            <w:tcW w:w="187" w:type="dxa"/>
            <w:tcBorders/>
            <w:vAlign w:val="center"/>
          </w:tcPr>
          <w:p>
            <w:pPr>
              <w:pStyle w:val="TableContents"/>
              <w:bidi w:val="0"/>
              <w:spacing w:before="0" w:after="283"/>
              <w:jc w:val="left"/>
              <w:rPr/>
            </w:pPr>
            <w:r>
              <w:rPr/>
              <w:t>​</w:t>
            </w:r>
          </w:p>
        </w:tc>
        <w:tc>
          <w:tcPr>
            <w:tcW w:w="187" w:type="dxa"/>
            <w:tcBorders/>
            <w:vAlign w:val="center"/>
          </w:tcPr>
          <w:p>
            <w:pPr>
              <w:pStyle w:val="TableContents"/>
              <w:bidi w:val="0"/>
              <w:spacing w:before="0" w:after="283"/>
              <w:jc w:val="right"/>
              <w:rPr/>
            </w:pPr>
            <w:r>
              <w:rPr/>
              <w:t>​</w:t>
            </w:r>
          </w:p>
        </w:tc>
        <w:tc>
          <w:tcPr>
            <w:tcW w:w="1839" w:type="dxa"/>
            <w:tcBorders/>
            <w:vAlign w:val="center"/>
          </w:tcPr>
          <w:p>
            <w:pPr>
              <w:pStyle w:val="TableContents"/>
              <w:bidi w:val="0"/>
              <w:spacing w:before="0" w:after="283"/>
              <w:jc w:val="right"/>
              <w:rPr/>
            </w:pPr>
            <w:r>
              <w:rPr/>
              <w:t>$574,808*</w:t>
            </w:r>
          </w:p>
        </w:tc>
        <w:tc>
          <w:tcPr>
            <w:tcW w:w="187"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802"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4227" w:type="dxa"/>
            <w:tcBorders/>
            <w:vAlign w:val="center"/>
          </w:tcPr>
          <w:p>
            <w:pPr>
              <w:pStyle w:val="TableContents"/>
              <w:bidi w:val="0"/>
              <w:spacing w:before="0" w:after="0"/>
              <w:jc w:val="left"/>
              <w:rPr>
                <w:spacing w:val="-2"/>
              </w:rPr>
            </w:pPr>
            <w:r>
              <w:rPr>
                <w:spacing w:val="-2"/>
              </w:rPr>
              <w:t xml:space="preserve">Annual Incentive Compensation** </w:t>
            </w:r>
          </w:p>
        </w:tc>
        <w:tc>
          <w:tcPr>
            <w:tcW w:w="187" w:type="dxa"/>
            <w:tcBorders/>
            <w:vAlign w:val="center"/>
          </w:tcPr>
          <w:p>
            <w:pPr>
              <w:pStyle w:val="TableContents"/>
              <w:bidi w:val="0"/>
              <w:spacing w:before="0" w:after="283"/>
              <w:jc w:val="left"/>
              <w:rPr/>
            </w:pPr>
            <w:r>
              <w:rPr/>
              <w:t>​</w:t>
            </w:r>
          </w:p>
        </w:tc>
        <w:tc>
          <w:tcPr>
            <w:tcW w:w="187" w:type="dxa"/>
            <w:tcBorders/>
            <w:vAlign w:val="center"/>
          </w:tcPr>
          <w:p>
            <w:pPr>
              <w:pStyle w:val="TableContents"/>
              <w:bidi w:val="0"/>
              <w:spacing w:before="0" w:after="283"/>
              <w:jc w:val="left"/>
              <w:rPr/>
            </w:pPr>
            <w:r>
              <w:rPr/>
              <w:t>​</w:t>
            </w:r>
          </w:p>
        </w:tc>
        <w:tc>
          <w:tcPr>
            <w:tcW w:w="187" w:type="dxa"/>
            <w:tcBorders/>
            <w:vAlign w:val="center"/>
          </w:tcPr>
          <w:p>
            <w:pPr>
              <w:pStyle w:val="TableContents"/>
              <w:bidi w:val="0"/>
              <w:spacing w:before="0" w:after="283"/>
              <w:jc w:val="left"/>
              <w:rPr/>
            </w:pPr>
            <w:r>
              <w:rPr/>
              <w:t>​</w:t>
            </w:r>
          </w:p>
        </w:tc>
        <w:tc>
          <w:tcPr>
            <w:tcW w:w="187" w:type="dxa"/>
            <w:tcBorders/>
            <w:vAlign w:val="center"/>
          </w:tcPr>
          <w:p>
            <w:pPr>
              <w:pStyle w:val="TableContents"/>
              <w:bidi w:val="0"/>
              <w:spacing w:before="0" w:after="283"/>
              <w:jc w:val="right"/>
              <w:rPr/>
            </w:pPr>
            <w:r>
              <w:rPr/>
              <w:t>​</w:t>
            </w:r>
          </w:p>
        </w:tc>
        <w:tc>
          <w:tcPr>
            <w:tcW w:w="1839" w:type="dxa"/>
            <w:tcBorders/>
            <w:vAlign w:val="center"/>
          </w:tcPr>
          <w:p>
            <w:pPr>
              <w:pStyle w:val="TableContents"/>
              <w:bidi w:val="0"/>
              <w:spacing w:before="0" w:after="283"/>
              <w:jc w:val="right"/>
              <w:rPr/>
            </w:pPr>
            <w:r>
              <w:rPr/>
              <w:t>$625,000</w:t>
            </w:r>
          </w:p>
        </w:tc>
        <w:tc>
          <w:tcPr>
            <w:tcW w:w="187"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802"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4227" w:type="dxa"/>
            <w:tcBorders/>
            <w:vAlign w:val="center"/>
          </w:tcPr>
          <w:p>
            <w:pPr>
              <w:pStyle w:val="TableContents"/>
              <w:bidi w:val="0"/>
              <w:spacing w:before="0" w:after="0"/>
              <w:jc w:val="left"/>
              <w:rPr>
                <w:spacing w:val="-2"/>
              </w:rPr>
            </w:pPr>
            <w:r>
              <w:rPr>
                <w:spacing w:val="-2"/>
              </w:rPr>
              <w:t xml:space="preserve">Long-Term Equity Incentives </w:t>
            </w:r>
          </w:p>
        </w:tc>
        <w:tc>
          <w:tcPr>
            <w:tcW w:w="187" w:type="dxa"/>
            <w:tcBorders/>
            <w:vAlign w:val="center"/>
          </w:tcPr>
          <w:p>
            <w:pPr>
              <w:pStyle w:val="TableContents"/>
              <w:bidi w:val="0"/>
              <w:spacing w:before="0" w:after="283"/>
              <w:jc w:val="left"/>
              <w:rPr/>
            </w:pPr>
            <w:r>
              <w:rPr/>
              <w:t>​</w:t>
            </w:r>
          </w:p>
        </w:tc>
        <w:tc>
          <w:tcPr>
            <w:tcW w:w="187" w:type="dxa"/>
            <w:tcBorders/>
            <w:vAlign w:val="center"/>
          </w:tcPr>
          <w:p>
            <w:pPr>
              <w:pStyle w:val="TableContents"/>
              <w:bidi w:val="0"/>
              <w:spacing w:before="0" w:after="283"/>
              <w:jc w:val="left"/>
              <w:rPr/>
            </w:pPr>
            <w:r>
              <w:rPr/>
              <w:t>​</w:t>
            </w:r>
          </w:p>
        </w:tc>
        <w:tc>
          <w:tcPr>
            <w:tcW w:w="187" w:type="dxa"/>
            <w:tcBorders/>
            <w:vAlign w:val="center"/>
          </w:tcPr>
          <w:p>
            <w:pPr>
              <w:pStyle w:val="TableContents"/>
              <w:bidi w:val="0"/>
              <w:spacing w:before="0" w:after="283"/>
              <w:jc w:val="left"/>
              <w:rPr/>
            </w:pPr>
            <w:r>
              <w:rPr/>
              <w:t>​</w:t>
            </w:r>
          </w:p>
        </w:tc>
        <w:tc>
          <w:tcPr>
            <w:tcW w:w="187" w:type="dxa"/>
            <w:tcBorders/>
            <w:vAlign w:val="center"/>
          </w:tcPr>
          <w:p>
            <w:pPr>
              <w:pStyle w:val="TableContents"/>
              <w:bidi w:val="0"/>
              <w:spacing w:before="0" w:after="283"/>
              <w:jc w:val="right"/>
              <w:rPr/>
            </w:pPr>
            <w:r>
              <w:rPr/>
              <w:t>​</w:t>
            </w:r>
          </w:p>
        </w:tc>
        <w:tc>
          <w:tcPr>
            <w:tcW w:w="1839" w:type="dxa"/>
            <w:tcBorders/>
            <w:vAlign w:val="center"/>
          </w:tcPr>
          <w:p>
            <w:pPr>
              <w:pStyle w:val="TableContents"/>
              <w:bidi w:val="0"/>
              <w:spacing w:before="0" w:after="283"/>
              <w:jc w:val="right"/>
              <w:rPr/>
            </w:pPr>
            <w:r>
              <w:rPr/>
              <w:t>$623,705</w:t>
            </w:r>
          </w:p>
        </w:tc>
        <w:tc>
          <w:tcPr>
            <w:tcW w:w="187"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80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01" w:type="dxa"/>
            <w:gridSpan w:val="7"/>
            <w:tcBorders/>
            <w:vAlign w:val="center"/>
          </w:tcPr>
          <w:p>
            <w:pPr>
              <w:pStyle w:val="TableContents"/>
              <w:bidi w:val="0"/>
              <w:spacing w:lineRule="atLeast" w:line="200" w:before="0" w:after="0"/>
              <w:ind w:left="200" w:right="0" w:hanging="0"/>
              <w:jc w:val="left"/>
              <w:rPr>
                <w:spacing w:val="-2"/>
              </w:rPr>
            </w:pPr>
            <w:r>
              <w:rPr>
                <w:spacing w:val="-2"/>
              </w:rPr>
              <w:t xml:space="preserve">Mr. Johnstone’s base salary increased to $600,000, effective January 1, 2026. </w:t>
            </w:r>
            <w:r>
              <mc:AlternateContent>
                <mc:Choice Requires="wps">
                  <w:drawing>
                    <wp:anchor behindDoc="0" distT="0" distB="0" distL="0" distR="0" simplePos="0" locked="0" layoutInCell="1" allowOverlap="1" relativeHeight="519">
                      <wp:simplePos x="0" y="0"/>
                      <wp:positionH relativeFrom="column">
                        <wp:align>left</wp:align>
                      </wp:positionH>
                      <wp:positionV relativeFrom="line">
                        <wp:posOffset>635</wp:posOffset>
                      </wp:positionV>
                      <wp:extent cx="127000" cy="350520"/>
                      <wp:effectExtent l="0" t="0" r="0" b="0"/>
                      <wp:wrapSquare wrapText="right"/>
                      <wp:docPr id="531" name="Frame4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802" w:type="dxa"/>
            <w:tcBorders>
              <w:bottom w:val="single" w:sz="8" w:space="0" w:color="7F7F7F"/>
            </w:tcBorders>
            <w:shd w:fill="E5E5E5" w:val="clear"/>
            <w:tcMar>
              <w:bottom w:w="60" w:type="dxa"/>
            </w:tcMar>
            <w:vAlign w:val="center"/>
          </w:tcPr>
          <w:p>
            <w:pPr>
              <w:pStyle w:val="TableContents"/>
              <w:bidi w:val="0"/>
              <w:spacing w:before="0" w:after="283"/>
              <w:jc w:val="left"/>
              <w:rPr/>
            </w:pPr>
            <w:r>
              <w:rPr/>
              <w:t>​</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7001" w:type="dxa"/>
            <w:gridSpan w:val="7"/>
            <w:tcBorders>
              <w:bottom w:val="single" w:sz="8" w:space="0" w:color="7F7F7F"/>
            </w:tcBorders>
            <w:tcMar>
              <w:bottom w:w="28" w:type="dxa"/>
            </w:tcMar>
            <w:vAlign w:val="center"/>
          </w:tcPr>
          <w:p>
            <w:pPr>
              <w:pStyle w:val="TableContents"/>
              <w:bidi w:val="0"/>
              <w:spacing w:lineRule="atLeast" w:line="220" w:before="0" w:after="0"/>
              <w:ind w:left="200" w:right="0" w:hanging="0"/>
              <w:jc w:val="both"/>
              <w:rPr>
                <w:i/>
              </w:rPr>
            </w:pPr>
            <w:r>
              <w:rPr>
                <w:i w:val="false"/>
                <w:caps w:val="false"/>
                <w:smallCaps w:val="false"/>
                <w:spacing w:val="-2"/>
              </w:rPr>
              <w:t>Mr. Johnstone does not participate in the other NEOs’ annual incentive compensation program. For more information, see “</w:t>
            </w:r>
            <w:r>
              <w:rPr>
                <w:i/>
              </w:rPr>
              <w:t>2025 Annual Compensation – Annual Incentive Compensation.</w:t>
            </w:r>
            <w:r>
              <w:rPr>
                <w:i/>
                <w:caps w:val="false"/>
                <w:smallCaps w:val="false"/>
                <w:spacing w:val="-2"/>
              </w:rPr>
              <w:t>”</w:t>
            </w:r>
            <w:r>
              <mc:AlternateContent>
                <mc:Choice Requires="wps">
                  <w:drawing>
                    <wp:anchor behindDoc="0" distT="0" distB="0" distL="0" distR="0" simplePos="0" locked="0" layoutInCell="1" allowOverlap="1" relativeHeight="520">
                      <wp:simplePos x="0" y="0"/>
                      <wp:positionH relativeFrom="column">
                        <wp:align>left</wp:align>
                      </wp:positionH>
                      <wp:positionV relativeFrom="line">
                        <wp:posOffset>635</wp:posOffset>
                      </wp:positionV>
                      <wp:extent cx="127000" cy="525780"/>
                      <wp:effectExtent l="0" t="0" r="0" b="0"/>
                      <wp:wrapSquare wrapText="right"/>
                      <wp:docPr id="532" name="Frame404"/>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i/>
                                    </w:rPr>
                                  </w:pPr>
                                  <w:r>
                                    <w:rPr>
                                      <w:i w:val="false"/>
                                      <w:caps w:val="false"/>
                                      <w:smallCaps w:val="false"/>
                                      <w:spacing w:val="-2"/>
                                    </w:rPr>
                                    <w:t>**</w:t>
                                  </w:r>
                                  <w:r>
                                    <w:rPr>
                                      <w:i/>
                                    </w:rPr>
                                    <w:t xml:space="preserve"> </w:t>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both"/>
                              <w:rPr>
                                <w:i/>
                              </w:rPr>
                            </w:pPr>
                            <w:r>
                              <w:rPr>
                                <w:i w:val="false"/>
                                <w:caps w:val="false"/>
                                <w:smallCaps w:val="false"/>
                                <w:spacing w:val="-2"/>
                              </w:rPr>
                              <w:t>**</w:t>
                            </w:r>
                            <w:r>
                              <w:rPr>
                                <w:i/>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9" w:type="dxa"/>
            <w:tcBorders>
              <w:bottom w:val="single" w:sz="8" w:space="0" w:color="7F7F7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/ 63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Compensation Discussion and Analysis</w:t>
      </w:r>
      <w:r>
        <w:rPr>
          <w:rFonts w:ascii="Arial;Helvetica;sans-serif" w:hAnsi="Arial;Helvetica;sans-serif"/>
          <w:b/>
          <w:i w:val="false"/>
          <w:caps w:val="false"/>
          <w:smallCaps w:val="false"/>
          <w:color w:val="7F7F7F"/>
          <w:spacing w:val="-3"/>
          <w:sz w:val="22"/>
        </w:rPr>
        <w:t xml:space="preserve"> </w:t>
      </w:r>
    </w:p>
    <w:tbl>
      <w:tblPr>
        <w:tblW w:w="9304" w:type="dxa"/>
        <w:jc w:val="left"/>
        <w:tblInd w:w="901" w:type="dxa"/>
        <w:tblLayout w:type="fixed"/>
        <w:tblCellMar>
          <w:top w:w="0" w:type="dxa"/>
          <w:left w:w="0" w:type="dxa"/>
          <w:bottom w:w="0" w:type="dxa"/>
          <w:right w:w="0" w:type="dxa"/>
        </w:tblCellMar>
      </w:tblPr>
      <w:tblGrid>
        <w:gridCol w:w="124"/>
        <w:gridCol w:w="1824"/>
        <w:gridCol w:w="109"/>
        <w:gridCol w:w="109"/>
        <w:gridCol w:w="4177"/>
        <w:gridCol w:w="190"/>
        <w:gridCol w:w="190"/>
        <w:gridCol w:w="190"/>
        <w:gridCol w:w="190"/>
        <w:gridCol w:w="1856"/>
        <w:gridCol w:w="190"/>
        <w:gridCol w:w="155"/>
      </w:tblGrid>
      <w:tr>
        <w:trPr/>
        <w:tc>
          <w:tcPr>
            <w:tcW w:w="124" w:type="dxa"/>
            <w:tcBorders/>
            <w:shd w:fill="E5E5E5" w:val="clear"/>
            <w:vAlign w:val="center"/>
          </w:tcPr>
          <w:p>
            <w:pPr>
              <w:pStyle w:val="TableContents"/>
              <w:bidi w:val="0"/>
              <w:spacing w:before="0" w:after="283"/>
              <w:jc w:val="left"/>
              <w:rPr/>
            </w:pPr>
            <w:r>
              <w:rPr/>
              <w:t>​</w:t>
            </w:r>
          </w:p>
        </w:tc>
        <w:tc>
          <w:tcPr>
            <w:tcW w:w="182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6983" w:type="dxa"/>
            <w:gridSpan w:val="7"/>
            <w:tcBorders/>
            <w:shd w:fill="BAD8EA" w:val="clear"/>
            <w:vAlign w:val="center"/>
          </w:tcPr>
          <w:p>
            <w:pPr>
              <w:pStyle w:val="TableContents"/>
              <w:bidi w:val="0"/>
              <w:spacing w:before="0" w:after="0"/>
              <w:jc w:val="left"/>
              <w:rPr>
                <w:spacing w:val="0"/>
              </w:rPr>
            </w:pPr>
            <w:r>
              <w:rPr>
                <w:spacing w:val="0"/>
              </w:rPr>
              <w:t xml:space="preserve">Key Responsibilities </w:t>
            </w:r>
          </w:p>
        </w:tc>
        <w:tc>
          <w:tcPr>
            <w:tcW w:w="155" w:type="dxa"/>
            <w:tcBorders/>
            <w:shd w:fill="BAD8EA" w:val="clear"/>
            <w:vAlign w:val="center"/>
          </w:tcPr>
          <w:p>
            <w:pPr>
              <w:pStyle w:val="TableContents"/>
              <w:bidi w:val="0"/>
              <w:spacing w:before="0" w:after="283"/>
              <w:jc w:val="left"/>
              <w:rPr/>
            </w:pPr>
            <w:r>
              <w:rPr/>
              <w:t>​</w:t>
            </w:r>
          </w:p>
        </w:tc>
      </w:tr>
      <w:tr>
        <w:trPr/>
        <w:tc>
          <w:tcPr>
            <w:tcW w:w="124" w:type="dxa"/>
            <w:vMerge w:val="restart"/>
            <w:tcBorders/>
            <w:shd w:fill="E5E5E5" w:val="clear"/>
            <w:vAlign w:val="center"/>
          </w:tcPr>
          <w:p>
            <w:pPr>
              <w:pStyle w:val="TableContents"/>
              <w:bidi w:val="0"/>
              <w:spacing w:before="0" w:after="283"/>
              <w:jc w:val="left"/>
              <w:rPr/>
            </w:pPr>
            <w:r>
              <w:rPr/>
              <w:t>​</w:t>
            </w:r>
          </w:p>
        </w:tc>
        <w:tc>
          <w:tcPr>
            <w:tcW w:w="1824" w:type="dxa"/>
            <w:vMerge w:val="restart"/>
            <w:tcBorders/>
            <w:shd w:fill="E5E5E5" w:val="clear"/>
            <w:vAlign w:val="center"/>
          </w:tcPr>
          <w:p>
            <w:pPr>
              <w:pStyle w:val="TableContents"/>
              <w:bidi w:val="0"/>
              <w:spacing w:before="0" w:after="0"/>
              <w:jc w:val="left"/>
              <w:rPr/>
            </w:pPr>
            <w:r>
              <w:rPr/>
              <w:drawing>
                <wp:inline distT="0" distB="0" distL="0" distR="0">
                  <wp:extent cx="1028700" cy="1028700"/>
                  <wp:effectExtent l="0" t="0" r="0" b="0"/>
                  <wp:docPr id="53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Image108" descr=""/>
                          <pic:cNvPicPr>
                            <a:picLocks noChangeAspect="1" noChangeArrowheads="1"/>
                          </pic:cNvPicPr>
                        </pic:nvPicPr>
                        <pic:blipFill>
                          <a:blip r:embed="rId130"/>
                          <a:stretch>
                            <a:fillRect/>
                          </a:stretch>
                        </pic:blipFill>
                        <pic:spPr bwMode="auto">
                          <a:xfrm>
                            <a:off x="0" y="0"/>
                            <a:ext cx="1028700" cy="1028700"/>
                          </a:xfrm>
                          <a:prstGeom prst="rect">
                            <a:avLst/>
                          </a:prstGeom>
                        </pic:spPr>
                      </pic:pic>
                    </a:graphicData>
                  </a:graphic>
                </wp:inline>
              </w:drawing>
            </w:r>
            <w:r>
              <w:rPr/>
              <w:t xml:space="preserve"> </w:t>
            </w:r>
          </w:p>
          <w:p>
            <w:pPr>
              <w:pStyle w:val="TableContents"/>
              <w:bidi w:val="0"/>
              <w:spacing w:lineRule="atLeast" w:line="220" w:before="117" w:after="283"/>
              <w:jc w:val="left"/>
              <w:rPr/>
            </w:pPr>
            <w:r>
              <w:rPr>
                <w:b/>
                <w:spacing w:val="0"/>
              </w:rPr>
              <w:t>Andrew Davis</w:t>
            </w:r>
            <w:r>
              <w:rPr/>
              <w:t xml:space="preserve"> </w:t>
              <w:br/>
            </w:r>
            <w:r>
              <w:rPr>
                <w:spacing w:val="-2"/>
              </w:rPr>
              <w:t xml:space="preserve">HHC Chief Operating Officer </w:t>
            </w:r>
          </w:p>
        </w:tc>
        <w:tc>
          <w:tcPr>
            <w:tcW w:w="109" w:type="dxa"/>
            <w:vMerge w:val="restart"/>
            <w:tcBorders/>
            <w:shd w:fill="E5E5E5" w:val="clear"/>
            <w:vAlign w:val="center"/>
          </w:tcPr>
          <w:p>
            <w:pPr>
              <w:pStyle w:val="TableContents"/>
              <w:bidi w:val="0"/>
              <w:spacing w:before="0" w:after="283"/>
              <w:jc w:val="left"/>
              <w:rPr/>
            </w:pPr>
            <w:r>
              <w:rPr/>
              <w:t>​</w:t>
            </w:r>
          </w:p>
        </w:tc>
        <w:tc>
          <w:tcPr>
            <w:tcW w:w="4476" w:type="dxa"/>
            <w:gridSpan w:val="3"/>
            <w:tcBorders/>
            <w:tcMar>
              <w:top w:w="28" w:type="dxa"/>
              <w:left w:w="28" w:type="dxa"/>
              <w:bottom w:w="28" w:type="dxa"/>
              <w:right w:w="28" w:type="dxa"/>
            </w:tcMar>
            <w:vAlign w:val="center"/>
          </w:tcPr>
          <w:p>
            <w:pPr>
              <w:pStyle w:val="TableContents"/>
              <w:bidi w:val="0"/>
              <w:spacing w:lineRule="atLeast" w:line="142" w:before="0" w:after="283"/>
              <w:jc w:val="left"/>
              <w:rPr/>
            </w:pPr>
            <w:r>
              <w:rPr/>
              <w:t>​</w:t>
            </w:r>
          </w:p>
        </w:tc>
        <w:tc>
          <w:tcPr>
            <w:tcW w:w="2771" w:type="dxa"/>
            <w:gridSpan w:val="6"/>
            <w:tcBorders/>
            <w:tcMar>
              <w:top w:w="28" w:type="dxa"/>
              <w:left w:w="28" w:type="dxa"/>
              <w:bottom w:w="28" w:type="dxa"/>
              <w:right w:w="28" w:type="dxa"/>
            </w:tcMar>
            <w:vAlign w:val="center"/>
          </w:tcPr>
          <w:p>
            <w:pPr>
              <w:pStyle w:val="TableContents"/>
              <w:bidi w:val="0"/>
              <w:spacing w:lineRule="atLeast" w:line="142"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824"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983" w:type="dxa"/>
            <w:gridSpan w:val="7"/>
            <w:tcBorders/>
            <w:vAlign w:val="center"/>
          </w:tcPr>
          <w:p>
            <w:pPr>
              <w:pStyle w:val="TableContents"/>
              <w:bidi w:val="0"/>
              <w:spacing w:before="0" w:after="0"/>
              <w:jc w:val="both"/>
              <w:rPr>
                <w:spacing w:val="-2"/>
              </w:rPr>
            </w:pPr>
            <w:r>
              <w:rPr>
                <w:spacing w:val="-2"/>
              </w:rPr>
              <w:t xml:space="preserve">HHC’s Chief Operating Officer is primarily responsible for overseeing the company’s MPC business, capital markets activities, joint ventures, and operating assets. </w:t>
            </w:r>
          </w:p>
        </w:tc>
        <w:tc>
          <w:tcPr>
            <w:tcW w:w="155" w:type="dxa"/>
            <w:tcBorders/>
            <w:vAlign w:val="center"/>
          </w:tcPr>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824"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tcBorders/>
            <w:shd w:fill="BAD8EA" w:val="clear"/>
            <w:vAlign w:val="center"/>
          </w:tcPr>
          <w:p>
            <w:pPr>
              <w:pStyle w:val="TableContents"/>
              <w:bidi w:val="0"/>
              <w:spacing w:before="0" w:after="283"/>
              <w:jc w:val="left"/>
              <w:rPr/>
            </w:pPr>
            <w:r>
              <w:rPr/>
              <w:t>​</w:t>
            </w:r>
          </w:p>
        </w:tc>
        <w:tc>
          <w:tcPr>
            <w:tcW w:w="6983" w:type="dxa"/>
            <w:gridSpan w:val="7"/>
            <w:tcBorders/>
            <w:shd w:fill="BAD8EA" w:val="clear"/>
            <w:vAlign w:val="center"/>
          </w:tcPr>
          <w:p>
            <w:pPr>
              <w:pStyle w:val="TableContents"/>
              <w:bidi w:val="0"/>
              <w:spacing w:before="0" w:after="283"/>
              <w:jc w:val="left"/>
              <w:rPr>
                <w:spacing w:val="0"/>
              </w:rPr>
            </w:pPr>
            <w:r>
              <w:rPr>
                <w:spacing w:val="0"/>
              </w:rPr>
              <w:t xml:space="preserve">Key 2025 Performance Achievements </w:t>
            </w:r>
          </w:p>
        </w:tc>
        <w:tc>
          <w:tcPr>
            <w:tcW w:w="155" w:type="dxa"/>
            <w:tcBorders/>
            <w:shd w:fill="BAD8EA" w:val="clear"/>
            <w:vAlign w:val="center"/>
          </w:tcPr>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824"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983" w:type="dxa"/>
            <w:gridSpan w:val="7"/>
            <w:tcBorders/>
            <w:vAlign w:val="center"/>
          </w:tcPr>
          <w:p>
            <w:pPr>
              <w:pStyle w:val="TableContents"/>
              <w:bidi w:val="0"/>
              <w:spacing w:lineRule="atLeast" w:line="220" w:before="0" w:after="0"/>
              <w:ind w:left="480" w:right="0" w:hanging="0"/>
              <w:jc w:val="both"/>
              <w:rPr/>
            </w:pPr>
            <w:r>
              <w:rPr>
                <w:spacing w:val="-2"/>
              </w:rPr>
              <w:t>Spearheaded a comprehensive organizational restructuring that unified Regional Presidents, Capital Markets, and MPC Operations under a streamlined “One Team” model, improving cross-functional alignment, accountability, and the speed and efficiency of decision-making across all MPCs.</w:t>
            </w:r>
            <w:r>
              <w:rPr/>
              <w:t xml:space="preserve"> </w:t>
            </w:r>
            <w:r>
              <mc:AlternateContent>
                <mc:Choice Requires="wps">
                  <w:drawing>
                    <wp:anchor behindDoc="0" distT="0" distB="0" distL="76200" distR="0" simplePos="0" locked="0" layoutInCell="1" allowOverlap="1" relativeHeight="521">
                      <wp:simplePos x="0" y="0"/>
                      <wp:positionH relativeFrom="column">
                        <wp:align>left</wp:align>
                      </wp:positionH>
                      <wp:positionV relativeFrom="line">
                        <wp:posOffset>635</wp:posOffset>
                      </wp:positionV>
                      <wp:extent cx="228600" cy="350520"/>
                      <wp:effectExtent l="0" t="0" r="0" b="0"/>
                      <wp:wrapSquare wrapText="right"/>
                      <wp:docPr id="534" name="Frame40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6pt;mso-wrap-distance-right:0pt;mso-wrap-distance-top:0pt;mso-wrap-distance-bottom:0pt;margin-top:0pt;mso-position-vertical:top;mso-position-vertical-relative:text;margin-left:6pt;mso-position-horizontal:left;mso-position-horizontal-relative:text">
                      <v:textbox>
                        <w:txbxContent>
                          <w:p>
                            <w:pPr>
                              <w:pStyle w:val="TextBody"/>
                              <w:bidi w:val="0"/>
                              <w:spacing w:lineRule="atLeast" w:line="22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480" w:right="0" w:hanging="0"/>
              <w:jc w:val="left"/>
              <w:rPr/>
            </w:pPr>
            <w:r>
              <w:rPr>
                <w:spacing w:val="-2"/>
              </w:rPr>
              <w:t>Oversaw MPC operations that generated $476 million of MPC EBT.</w:t>
            </w:r>
            <w:r>
              <w:rPr/>
              <w:t xml:space="preserve"> </w:t>
            </w:r>
            <w:r>
              <mc:AlternateContent>
                <mc:Choice Requires="wps">
                  <w:drawing>
                    <wp:anchor behindDoc="0" distT="88900" distB="0" distL="76200" distR="0" simplePos="0" locked="0" layoutInCell="1" allowOverlap="1" relativeHeight="522">
                      <wp:simplePos x="0" y="0"/>
                      <wp:positionH relativeFrom="column">
                        <wp:align>left</wp:align>
                      </wp:positionH>
                      <wp:positionV relativeFrom="line">
                        <wp:align>top</wp:align>
                      </wp:positionV>
                      <wp:extent cx="228600" cy="350520"/>
                      <wp:effectExtent l="0" t="0" r="0" b="0"/>
                      <wp:wrapSquare wrapText="right"/>
                      <wp:docPr id="535" name="Frame40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6pt;mso-wrap-distance-right:0pt;mso-wrap-distance-top:7pt;mso-wrap-distance-bottom:0pt;margin-top:7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40" w:after="0"/>
              <w:ind w:left="480" w:right="0" w:hanging="0"/>
              <w:jc w:val="both"/>
              <w:rPr/>
            </w:pPr>
            <w:r>
              <w:rPr>
                <w:spacing w:val="-2"/>
              </w:rPr>
              <w:t>Managed key relationships with lenders and rating agencies and led the execution of more than $1.1 billion of financings across the platform. Notable transactions included securing a $555.3 million non-recourse construction loan with Blackstone for The Launiu, upsizing the Teravalis credit facility to $365 million, and orchestrating a $180 million forward sale of MUD receivables in Bridgeland, contributing to a total of $390 million of debt reduction from MUD sales since late 2024.</w:t>
            </w:r>
            <w:r>
              <w:rPr/>
              <w:t xml:space="preserve"> </w:t>
            </w:r>
            <w:r>
              <mc:AlternateContent>
                <mc:Choice Requires="wps">
                  <w:drawing>
                    <wp:anchor behindDoc="0" distT="88900" distB="0" distL="76200" distR="0" simplePos="0" locked="0" layoutInCell="1" allowOverlap="1" relativeHeight="523">
                      <wp:simplePos x="0" y="0"/>
                      <wp:positionH relativeFrom="column">
                        <wp:align>left</wp:align>
                      </wp:positionH>
                      <wp:positionV relativeFrom="line">
                        <wp:align>top</wp:align>
                      </wp:positionV>
                      <wp:extent cx="228600" cy="350520"/>
                      <wp:effectExtent l="0" t="0" r="0" b="0"/>
                      <wp:wrapSquare wrapText="right"/>
                      <wp:docPr id="536" name="Frame40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6pt;mso-wrap-distance-right:0pt;mso-wrap-distance-top:7pt;mso-wrap-distance-bottom:0pt;margin-top:7pt;mso-position-vertical:top;mso-position-vertical-relative:text;margin-left:6pt;mso-position-horizontal:left;mso-position-horizontal-relative:text">
                      <v:textbox>
                        <w:txbxContent>
                          <w:p>
                            <w:pPr>
                              <w:pStyle w:val="TextBody"/>
                              <w:bidi w:val="0"/>
                              <w:spacing w:lineRule="atLeast" w:line="22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40" w:after="0"/>
              <w:ind w:left="480" w:right="0" w:hanging="0"/>
              <w:jc w:val="both"/>
              <w:rPr/>
            </w:pPr>
            <w:r>
              <w:rPr>
                <w:spacing w:val="-2"/>
              </w:rPr>
              <w:t>Successfully structured and launched multiple high-impact partnerships, including a new telecom platform across Teravalis.</w:t>
            </w:r>
            <w:r>
              <w:rPr/>
              <w:t xml:space="preserve"> </w:t>
            </w:r>
            <w:r>
              <mc:AlternateContent>
                <mc:Choice Requires="wps">
                  <w:drawing>
                    <wp:anchor behindDoc="0" distT="88900" distB="0" distL="76200" distR="0" simplePos="0" locked="0" layoutInCell="1" allowOverlap="1" relativeHeight="524">
                      <wp:simplePos x="0" y="0"/>
                      <wp:positionH relativeFrom="column">
                        <wp:align>left</wp:align>
                      </wp:positionH>
                      <wp:positionV relativeFrom="line">
                        <wp:align>top</wp:align>
                      </wp:positionV>
                      <wp:extent cx="228600" cy="350520"/>
                      <wp:effectExtent l="0" t="0" r="0" b="0"/>
                      <wp:wrapSquare wrapText="right"/>
                      <wp:docPr id="537" name="Frame40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6pt;mso-wrap-distance-right:0pt;mso-wrap-distance-top:7pt;mso-wrap-distance-bottom:0pt;margin-top:7pt;mso-position-vertical:top;mso-position-vertical-relative:text;margin-left:6pt;mso-position-horizontal:left;mso-position-horizontal-relative:text">
                      <v:textbox>
                        <w:txbxContent>
                          <w:p>
                            <w:pPr>
                              <w:pStyle w:val="TextBody"/>
                              <w:bidi w:val="0"/>
                              <w:spacing w:lineRule="atLeast" w:line="22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824"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tcBorders/>
            <w:shd w:fill="BAD8EA" w:val="clear"/>
            <w:vAlign w:val="center"/>
          </w:tcPr>
          <w:p>
            <w:pPr>
              <w:pStyle w:val="TableContents"/>
              <w:bidi w:val="0"/>
              <w:spacing w:before="0" w:after="283"/>
              <w:jc w:val="left"/>
              <w:rPr/>
            </w:pPr>
            <w:r>
              <w:rPr/>
              <w:t>​</w:t>
            </w:r>
          </w:p>
        </w:tc>
        <w:tc>
          <w:tcPr>
            <w:tcW w:w="6983" w:type="dxa"/>
            <w:gridSpan w:val="7"/>
            <w:tcBorders/>
            <w:shd w:fill="BAD8EA" w:val="clear"/>
            <w:vAlign w:val="center"/>
          </w:tcPr>
          <w:p>
            <w:pPr>
              <w:pStyle w:val="TableContents"/>
              <w:bidi w:val="0"/>
              <w:spacing w:before="0" w:after="283"/>
              <w:jc w:val="left"/>
              <w:rPr>
                <w:spacing w:val="0"/>
              </w:rPr>
            </w:pPr>
            <w:r>
              <w:rPr>
                <w:spacing w:val="0"/>
              </w:rPr>
              <w:t xml:space="preserve">Compensation Decisions </w:t>
            </w:r>
          </w:p>
        </w:tc>
        <w:tc>
          <w:tcPr>
            <w:tcW w:w="155" w:type="dxa"/>
            <w:tcBorders/>
            <w:shd w:fill="BAD8EA" w:val="clear"/>
            <w:vAlign w:val="center"/>
          </w:tcPr>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824"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4177" w:type="dxa"/>
            <w:tcBorders/>
            <w:vAlign w:val="center"/>
          </w:tcPr>
          <w:p>
            <w:pPr>
              <w:pStyle w:val="TableContents"/>
              <w:bidi w:val="0"/>
              <w:spacing w:before="0" w:after="0"/>
              <w:jc w:val="left"/>
              <w:rPr>
                <w:spacing w:val="-2"/>
              </w:rPr>
            </w:pPr>
            <w:r>
              <w:rPr>
                <w:spacing w:val="-2"/>
              </w:rPr>
              <w:t xml:space="preserve">Base Salary </w:t>
            </w:r>
          </w:p>
        </w:tc>
        <w:tc>
          <w:tcPr>
            <w:tcW w:w="190" w:type="dxa"/>
            <w:tcBorders/>
            <w:vAlign w:val="center"/>
          </w:tcPr>
          <w:p>
            <w:pPr>
              <w:pStyle w:val="TableContents"/>
              <w:bidi w:val="0"/>
              <w:spacing w:before="0" w:after="283"/>
              <w:jc w:val="left"/>
              <w:rPr/>
            </w:pPr>
            <w:r>
              <w:rPr/>
              <w:t>​</w:t>
            </w:r>
          </w:p>
        </w:tc>
        <w:tc>
          <w:tcPr>
            <w:tcW w:w="190" w:type="dxa"/>
            <w:tcBorders/>
            <w:vAlign w:val="center"/>
          </w:tcPr>
          <w:p>
            <w:pPr>
              <w:pStyle w:val="TableContents"/>
              <w:bidi w:val="0"/>
              <w:spacing w:before="0" w:after="283"/>
              <w:jc w:val="left"/>
              <w:rPr/>
            </w:pPr>
            <w:r>
              <w:rPr/>
              <w:t>​</w:t>
            </w:r>
          </w:p>
        </w:tc>
        <w:tc>
          <w:tcPr>
            <w:tcW w:w="190" w:type="dxa"/>
            <w:tcBorders/>
            <w:vAlign w:val="center"/>
          </w:tcPr>
          <w:p>
            <w:pPr>
              <w:pStyle w:val="TableContents"/>
              <w:bidi w:val="0"/>
              <w:spacing w:before="0" w:after="283"/>
              <w:jc w:val="left"/>
              <w:rPr/>
            </w:pPr>
            <w:r>
              <w:rPr/>
              <w:t>​</w:t>
            </w:r>
          </w:p>
        </w:tc>
        <w:tc>
          <w:tcPr>
            <w:tcW w:w="190" w:type="dxa"/>
            <w:tcBorders/>
            <w:vAlign w:val="center"/>
          </w:tcPr>
          <w:p>
            <w:pPr>
              <w:pStyle w:val="TableContents"/>
              <w:bidi w:val="0"/>
              <w:spacing w:before="0" w:after="283"/>
              <w:jc w:val="right"/>
              <w:rPr/>
            </w:pPr>
            <w:r>
              <w:rPr/>
              <w:t>​</w:t>
            </w:r>
          </w:p>
        </w:tc>
        <w:tc>
          <w:tcPr>
            <w:tcW w:w="1856" w:type="dxa"/>
            <w:tcBorders/>
            <w:vAlign w:val="center"/>
          </w:tcPr>
          <w:p>
            <w:pPr>
              <w:pStyle w:val="TableContents"/>
              <w:bidi w:val="0"/>
              <w:spacing w:before="0" w:after="283"/>
              <w:jc w:val="right"/>
              <w:rPr/>
            </w:pPr>
            <w:r>
              <w:rPr/>
              <w:t>$499,514*</w:t>
            </w:r>
          </w:p>
        </w:tc>
        <w:tc>
          <w:tcPr>
            <w:tcW w:w="190"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824"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4177" w:type="dxa"/>
            <w:tcBorders/>
            <w:vAlign w:val="center"/>
          </w:tcPr>
          <w:p>
            <w:pPr>
              <w:pStyle w:val="TableContents"/>
              <w:bidi w:val="0"/>
              <w:spacing w:before="0" w:after="0"/>
              <w:jc w:val="left"/>
              <w:rPr>
                <w:spacing w:val="-2"/>
              </w:rPr>
            </w:pPr>
            <w:r>
              <w:rPr>
                <w:spacing w:val="-2"/>
              </w:rPr>
              <w:t xml:space="preserve">Annual Incentive Compensation** </w:t>
            </w:r>
          </w:p>
        </w:tc>
        <w:tc>
          <w:tcPr>
            <w:tcW w:w="190" w:type="dxa"/>
            <w:tcBorders/>
            <w:vAlign w:val="center"/>
          </w:tcPr>
          <w:p>
            <w:pPr>
              <w:pStyle w:val="TableContents"/>
              <w:bidi w:val="0"/>
              <w:spacing w:before="0" w:after="283"/>
              <w:jc w:val="left"/>
              <w:rPr/>
            </w:pPr>
            <w:r>
              <w:rPr/>
              <w:t>​</w:t>
            </w:r>
          </w:p>
        </w:tc>
        <w:tc>
          <w:tcPr>
            <w:tcW w:w="190" w:type="dxa"/>
            <w:tcBorders/>
            <w:vAlign w:val="center"/>
          </w:tcPr>
          <w:p>
            <w:pPr>
              <w:pStyle w:val="TableContents"/>
              <w:bidi w:val="0"/>
              <w:spacing w:before="0" w:after="283"/>
              <w:jc w:val="left"/>
              <w:rPr/>
            </w:pPr>
            <w:r>
              <w:rPr/>
              <w:t>​</w:t>
            </w:r>
          </w:p>
        </w:tc>
        <w:tc>
          <w:tcPr>
            <w:tcW w:w="190" w:type="dxa"/>
            <w:tcBorders/>
            <w:vAlign w:val="center"/>
          </w:tcPr>
          <w:p>
            <w:pPr>
              <w:pStyle w:val="TableContents"/>
              <w:bidi w:val="0"/>
              <w:spacing w:before="0" w:after="283"/>
              <w:jc w:val="left"/>
              <w:rPr/>
            </w:pPr>
            <w:r>
              <w:rPr/>
              <w:t>​</w:t>
            </w:r>
          </w:p>
        </w:tc>
        <w:tc>
          <w:tcPr>
            <w:tcW w:w="190" w:type="dxa"/>
            <w:tcBorders/>
            <w:vAlign w:val="center"/>
          </w:tcPr>
          <w:p>
            <w:pPr>
              <w:pStyle w:val="TableContents"/>
              <w:bidi w:val="0"/>
              <w:spacing w:before="0" w:after="283"/>
              <w:jc w:val="right"/>
              <w:rPr/>
            </w:pPr>
            <w:r>
              <w:rPr/>
              <w:t>​</w:t>
            </w:r>
          </w:p>
        </w:tc>
        <w:tc>
          <w:tcPr>
            <w:tcW w:w="1856" w:type="dxa"/>
            <w:tcBorders/>
            <w:vAlign w:val="center"/>
          </w:tcPr>
          <w:p>
            <w:pPr>
              <w:pStyle w:val="TableContents"/>
              <w:bidi w:val="0"/>
              <w:spacing w:before="0" w:after="283"/>
              <w:jc w:val="right"/>
              <w:rPr/>
            </w:pPr>
            <w:r>
              <w:rPr/>
              <w:t>$625,000</w:t>
            </w:r>
          </w:p>
        </w:tc>
        <w:tc>
          <w:tcPr>
            <w:tcW w:w="190"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824"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4177" w:type="dxa"/>
            <w:tcBorders/>
            <w:vAlign w:val="center"/>
          </w:tcPr>
          <w:p>
            <w:pPr>
              <w:pStyle w:val="TableContents"/>
              <w:bidi w:val="0"/>
              <w:spacing w:before="0" w:after="0"/>
              <w:jc w:val="left"/>
              <w:rPr>
                <w:spacing w:val="-2"/>
              </w:rPr>
            </w:pPr>
            <w:r>
              <w:rPr>
                <w:spacing w:val="-2"/>
              </w:rPr>
              <w:t xml:space="preserve">Long-Term Equity Incentives </w:t>
            </w:r>
          </w:p>
        </w:tc>
        <w:tc>
          <w:tcPr>
            <w:tcW w:w="190" w:type="dxa"/>
            <w:tcBorders/>
            <w:vAlign w:val="center"/>
          </w:tcPr>
          <w:p>
            <w:pPr>
              <w:pStyle w:val="TableContents"/>
              <w:bidi w:val="0"/>
              <w:spacing w:before="0" w:after="283"/>
              <w:jc w:val="left"/>
              <w:rPr/>
            </w:pPr>
            <w:r>
              <w:rPr/>
              <w:t>​</w:t>
            </w:r>
          </w:p>
        </w:tc>
        <w:tc>
          <w:tcPr>
            <w:tcW w:w="190" w:type="dxa"/>
            <w:tcBorders/>
            <w:vAlign w:val="center"/>
          </w:tcPr>
          <w:p>
            <w:pPr>
              <w:pStyle w:val="TableContents"/>
              <w:bidi w:val="0"/>
              <w:spacing w:before="0" w:after="283"/>
              <w:jc w:val="left"/>
              <w:rPr/>
            </w:pPr>
            <w:r>
              <w:rPr/>
              <w:t>​</w:t>
            </w:r>
          </w:p>
        </w:tc>
        <w:tc>
          <w:tcPr>
            <w:tcW w:w="190" w:type="dxa"/>
            <w:tcBorders/>
            <w:vAlign w:val="center"/>
          </w:tcPr>
          <w:p>
            <w:pPr>
              <w:pStyle w:val="TableContents"/>
              <w:bidi w:val="0"/>
              <w:spacing w:before="0" w:after="283"/>
              <w:jc w:val="left"/>
              <w:rPr/>
            </w:pPr>
            <w:r>
              <w:rPr/>
              <w:t>​</w:t>
            </w:r>
          </w:p>
        </w:tc>
        <w:tc>
          <w:tcPr>
            <w:tcW w:w="190" w:type="dxa"/>
            <w:tcBorders/>
            <w:vAlign w:val="center"/>
          </w:tcPr>
          <w:p>
            <w:pPr>
              <w:pStyle w:val="TableContents"/>
              <w:bidi w:val="0"/>
              <w:spacing w:before="0" w:after="283"/>
              <w:jc w:val="right"/>
              <w:rPr/>
            </w:pPr>
            <w:r>
              <w:rPr/>
              <w:t>​</w:t>
            </w:r>
          </w:p>
        </w:tc>
        <w:tc>
          <w:tcPr>
            <w:tcW w:w="1856" w:type="dxa"/>
            <w:tcBorders/>
            <w:vAlign w:val="center"/>
          </w:tcPr>
          <w:p>
            <w:pPr>
              <w:pStyle w:val="TableContents"/>
              <w:bidi w:val="0"/>
              <w:spacing w:before="0" w:after="283"/>
              <w:jc w:val="right"/>
              <w:rPr/>
            </w:pPr>
            <w:r>
              <w:rPr/>
              <w:t>$779,631</w:t>
            </w:r>
          </w:p>
        </w:tc>
        <w:tc>
          <w:tcPr>
            <w:tcW w:w="190"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82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83" w:type="dxa"/>
            <w:gridSpan w:val="7"/>
            <w:tcBorders/>
            <w:vAlign w:val="center"/>
          </w:tcPr>
          <w:p>
            <w:pPr>
              <w:pStyle w:val="TableContents"/>
              <w:bidi w:val="0"/>
              <w:spacing w:lineRule="atLeast" w:line="200" w:before="0" w:after="0"/>
              <w:ind w:left="200" w:right="0" w:hanging="0"/>
              <w:jc w:val="left"/>
              <w:rPr>
                <w:spacing w:val="-2"/>
              </w:rPr>
            </w:pPr>
            <w:r>
              <w:rPr>
                <w:spacing w:val="-2"/>
              </w:rPr>
              <w:t xml:space="preserve">Mr. Davis’s base salary increased to $550,000, effective January 1, 2026. </w:t>
            </w:r>
            <w:r>
              <mc:AlternateContent>
                <mc:Choice Requires="wps">
                  <w:drawing>
                    <wp:anchor behindDoc="0" distT="0" distB="0" distL="0" distR="0" simplePos="0" locked="0" layoutInCell="1" allowOverlap="1" relativeHeight="525">
                      <wp:simplePos x="0" y="0"/>
                      <wp:positionH relativeFrom="column">
                        <wp:align>left</wp:align>
                      </wp:positionH>
                      <wp:positionV relativeFrom="line">
                        <wp:posOffset>635</wp:posOffset>
                      </wp:positionV>
                      <wp:extent cx="127000" cy="350520"/>
                      <wp:effectExtent l="0" t="0" r="0" b="0"/>
                      <wp:wrapSquare wrapText="right"/>
                      <wp:docPr id="538" name="Frame4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824" w:type="dxa"/>
            <w:tcBorders>
              <w:bottom w:val="single" w:sz="8" w:space="0" w:color="7F7F7F"/>
            </w:tcBorders>
            <w:shd w:fill="E5E5E5" w:val="clear"/>
            <w:tcMar>
              <w:bottom w:w="60" w:type="dxa"/>
            </w:tcMar>
            <w:vAlign w:val="center"/>
          </w:tcPr>
          <w:p>
            <w:pPr>
              <w:pStyle w:val="TableContents"/>
              <w:bidi w:val="0"/>
              <w:spacing w:before="0" w:after="283"/>
              <w:jc w:val="left"/>
              <w:rPr/>
            </w:pPr>
            <w:r>
              <w:rPr/>
              <w:t>​</w:t>
            </w:r>
          </w:p>
        </w:tc>
        <w:tc>
          <w:tcPr>
            <w:tcW w:w="109" w:type="dxa"/>
            <w:tcBorders>
              <w:bottom w:val="single" w:sz="8" w:space="0" w:color="7F7F7F"/>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6983" w:type="dxa"/>
            <w:gridSpan w:val="7"/>
            <w:tcBorders>
              <w:bottom w:val="single" w:sz="8" w:space="0" w:color="7F7F7F"/>
            </w:tcBorders>
            <w:tcMar>
              <w:bottom w:w="28" w:type="dxa"/>
            </w:tcMar>
            <w:vAlign w:val="center"/>
          </w:tcPr>
          <w:p>
            <w:pPr>
              <w:pStyle w:val="TableContents"/>
              <w:bidi w:val="0"/>
              <w:spacing w:lineRule="atLeast" w:line="220" w:before="0" w:after="0"/>
              <w:ind w:left="200" w:right="0" w:hanging="0"/>
              <w:jc w:val="both"/>
              <w:rPr/>
            </w:pPr>
            <w:r>
              <w:rPr>
                <w:spacing w:val="-2"/>
              </w:rPr>
              <w:t>Mr. Davis does not participate in the other NEOs’ annual incentive compensation program. For more information, see “</w:t>
            </w:r>
            <w:r>
              <w:rPr>
                <w:i/>
              </w:rPr>
              <w:t>2025 Annual Compensation – Annual Incentive Compensation.</w:t>
            </w:r>
            <w:r>
              <w:rPr>
                <w:spacing w:val="-2"/>
              </w:rPr>
              <w:t>”</w:t>
            </w:r>
            <w:r>
              <w:rPr/>
              <w:t xml:space="preserve"> </w:t>
            </w:r>
            <w:r>
              <mc:AlternateContent>
                <mc:Choice Requires="wps">
                  <w:drawing>
                    <wp:anchor behindDoc="0" distT="0" distB="0" distL="0" distR="0" simplePos="0" locked="0" layoutInCell="1" allowOverlap="1" relativeHeight="526">
                      <wp:simplePos x="0" y="0"/>
                      <wp:positionH relativeFrom="column">
                        <wp:align>left</wp:align>
                      </wp:positionH>
                      <wp:positionV relativeFrom="line">
                        <wp:posOffset>635</wp:posOffset>
                      </wp:positionV>
                      <wp:extent cx="127000" cy="525780"/>
                      <wp:effectExtent l="0" t="0" r="0" b="0"/>
                      <wp:wrapSquare wrapText="right"/>
                      <wp:docPr id="539" name="Frame410"/>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both"/>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2"/>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8" w:space="0" w:color="7F7F7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44" w:after="283"/>
        <w:ind w:left="901" w:right="0" w:hanging="0"/>
        <w:jc w:val="left"/>
        <w:rPr>
          <w:rFonts w:ascii="Arial;Helvetica;sans-serif" w:hAnsi="Arial;Helvetica;sans-serif"/>
          <w:b/>
          <w:i w:val="false"/>
          <w:caps w:val="false"/>
          <w:smallCaps w:val="false"/>
          <w:color w:val="2E2925"/>
          <w:sz w:val="20"/>
        </w:rPr>
      </w:pPr>
      <w:r>
        <w:rPr>
          <w:rFonts w:ascii="Arial;Helvetica;sans-serif" w:hAnsi="Arial;Helvetica;sans-serif"/>
          <w:b/>
          <w:i w:val="false"/>
          <w:caps/>
          <w:color w:val="2E2925"/>
          <w:spacing w:val="-3"/>
          <w:sz w:val="20"/>
        </w:rPr>
        <w:t>BASE SALARY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Committee determines the annual base salary for each NEO. Any increases in base salary are expected to be determined based on scope of responsibilities, level of experience and sustained performance with the Company, as well as internal and market comparisons. In setting base salaries for the NEOs, the Compensation Committee seeks to provide a reasonable level of fixed compensation that is competitive with base salaries for comparable positions at similar companies. The base salaries of our NEOs as of December 31, 2024 and 2025 were as follows:</w:t>
      </w:r>
      <w:r>
        <w:rPr>
          <w:rFonts w:ascii="Arial;Helvetica;sans-serif" w:hAnsi="Arial;Helvetica;sans-serif"/>
          <w:b w:val="false"/>
          <w:i w:val="false"/>
          <w:caps w:val="false"/>
          <w:smallCaps w:val="false"/>
          <w:color w:val="000000"/>
          <w:spacing w:val="4"/>
          <w:sz w:val="20"/>
        </w:rPr>
        <w:t xml:space="preserve"> </w:t>
      </w:r>
    </w:p>
    <w:tbl>
      <w:tblPr>
        <w:tblW w:w="9304" w:type="dxa"/>
        <w:jc w:val="left"/>
        <w:tblInd w:w="901" w:type="dxa"/>
        <w:tblLayout w:type="fixed"/>
        <w:tblCellMar>
          <w:top w:w="0" w:type="dxa"/>
          <w:left w:w="0" w:type="dxa"/>
          <w:bottom w:w="0" w:type="dxa"/>
          <w:right w:w="0" w:type="dxa"/>
        </w:tblCellMar>
      </w:tblPr>
      <w:tblGrid>
        <w:gridCol w:w="124"/>
        <w:gridCol w:w="1374"/>
        <w:gridCol w:w="109"/>
        <w:gridCol w:w="109"/>
        <w:gridCol w:w="2464"/>
        <w:gridCol w:w="109"/>
        <w:gridCol w:w="109"/>
        <w:gridCol w:w="126"/>
        <w:gridCol w:w="126"/>
        <w:gridCol w:w="1240"/>
        <w:gridCol w:w="126"/>
        <w:gridCol w:w="109"/>
        <w:gridCol w:w="109"/>
        <w:gridCol w:w="126"/>
        <w:gridCol w:w="126"/>
        <w:gridCol w:w="1240"/>
        <w:gridCol w:w="126"/>
        <w:gridCol w:w="109"/>
        <w:gridCol w:w="109"/>
        <w:gridCol w:w="1074"/>
        <w:gridCol w:w="160"/>
      </w:tblGrid>
      <w:tr>
        <w:trPr/>
        <w:tc>
          <w:tcPr>
            <w:tcW w:w="124" w:type="dxa"/>
            <w:tcBorders/>
            <w:shd w:fill="BAD8EA" w:val="clear"/>
            <w:vAlign w:val="center"/>
          </w:tcPr>
          <w:p>
            <w:pPr>
              <w:pStyle w:val="TableContents"/>
              <w:bidi w:val="0"/>
              <w:spacing w:before="0" w:after="283"/>
              <w:jc w:val="left"/>
              <w:rPr/>
            </w:pPr>
            <w:r>
              <w:rPr/>
              <w:t>​</w:t>
            </w:r>
          </w:p>
        </w:tc>
        <w:tc>
          <w:tcPr>
            <w:tcW w:w="1374" w:type="dxa"/>
            <w:tcBorders/>
            <w:shd w:fill="BAD8EA" w:val="clear"/>
            <w:vAlign w:val="center"/>
          </w:tcPr>
          <w:p>
            <w:pPr>
              <w:pStyle w:val="TableContents"/>
              <w:bidi w:val="0"/>
              <w:spacing w:before="0" w:after="0"/>
              <w:jc w:val="left"/>
              <w:rPr>
                <w:spacing w:val="0"/>
              </w:rPr>
            </w:pPr>
            <w:r>
              <w:rPr>
                <w:spacing w:val="0"/>
              </w:rPr>
              <w:t xml:space="preserve">Name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2464" w:type="dxa"/>
            <w:tcBorders/>
            <w:shd w:fill="BAD8EA" w:val="clear"/>
            <w:vAlign w:val="center"/>
          </w:tcPr>
          <w:p>
            <w:pPr>
              <w:pStyle w:val="TableContents"/>
              <w:bidi w:val="0"/>
              <w:spacing w:before="0" w:after="0"/>
              <w:jc w:val="center"/>
              <w:rPr>
                <w:spacing w:val="0"/>
              </w:rPr>
            </w:pPr>
            <w:r>
              <w:rPr>
                <w:spacing w:val="0"/>
              </w:rPr>
              <w:t xml:space="preserve">Title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618" w:type="dxa"/>
            <w:gridSpan w:val="4"/>
            <w:tcBorders/>
            <w:shd w:fill="BAD8EA" w:val="clear"/>
            <w:vAlign w:val="center"/>
          </w:tcPr>
          <w:p>
            <w:pPr>
              <w:pStyle w:val="TableContents"/>
              <w:bidi w:val="0"/>
              <w:spacing w:lineRule="atLeast" w:line="202" w:before="0" w:after="0"/>
              <w:jc w:val="center"/>
              <w:rPr/>
            </w:pPr>
            <w:r>
              <w:rPr>
                <w:spacing w:val="0"/>
              </w:rPr>
              <w:t>2024 Base Salary</w:t>
            </w:r>
            <w:r>
              <w:rPr/>
              <w:t xml:space="preserve"> </w:t>
              <w:br/>
            </w:r>
            <w:r>
              <w:rPr>
                <w:spacing w:val="-2"/>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618" w:type="dxa"/>
            <w:gridSpan w:val="4"/>
            <w:tcBorders/>
            <w:shd w:fill="BAD8EA" w:val="clear"/>
            <w:vAlign w:val="center"/>
          </w:tcPr>
          <w:p>
            <w:pPr>
              <w:pStyle w:val="TableContents"/>
              <w:bidi w:val="0"/>
              <w:spacing w:lineRule="atLeast" w:line="202" w:before="0" w:after="0"/>
              <w:jc w:val="center"/>
              <w:rPr/>
            </w:pPr>
            <w:r>
              <w:rPr>
                <w:spacing w:val="0"/>
              </w:rPr>
              <w:t>2025 Base Salary</w:t>
            </w:r>
            <w:r>
              <w:rPr/>
              <w:t xml:space="preserve"> </w:t>
              <w:br/>
            </w:r>
            <w:r>
              <w:rPr>
                <w:spacing w:val="-2"/>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74" w:type="dxa"/>
            <w:tcBorders/>
            <w:shd w:fill="BAD8EA" w:val="clear"/>
            <w:vAlign w:val="center"/>
          </w:tcPr>
          <w:p>
            <w:pPr>
              <w:pStyle w:val="TableContents"/>
              <w:bidi w:val="0"/>
              <w:spacing w:lineRule="atLeast" w:line="202" w:before="0" w:after="0"/>
              <w:jc w:val="center"/>
              <w:rPr>
                <w:spacing w:val="0"/>
              </w:rPr>
            </w:pPr>
            <w:r>
              <w:rPr>
                <w:spacing w:val="0"/>
              </w:rPr>
              <w:t xml:space="preserve">Base Salary </w:t>
              <w:br/>
              <w:t xml:space="preserve">Change </w:t>
            </w:r>
          </w:p>
        </w:tc>
        <w:tc>
          <w:tcPr>
            <w:tcW w:w="160"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1374"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David O’Reilly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464"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Chief Executive Officer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50" w:type="dxa"/>
            </w:tcMar>
            <w:vAlign w:val="center"/>
          </w:tcPr>
          <w:p>
            <w:pPr>
              <w:pStyle w:val="TableContents"/>
              <w:bidi w:val="0"/>
              <w:spacing w:before="0" w:after="283"/>
              <w:jc w:val="right"/>
              <w:rPr/>
            </w:pPr>
            <w:r>
              <w:rPr/>
              <w:t>​</w:t>
            </w:r>
          </w:p>
        </w:tc>
        <w:tc>
          <w:tcPr>
            <w:tcW w:w="1240" w:type="dxa"/>
            <w:tcBorders>
              <w:bottom w:val="single" w:sz="2" w:space="0" w:color="CBCAC8"/>
            </w:tcBorders>
            <w:tcMar>
              <w:bottom w:w="50" w:type="dxa"/>
            </w:tcMar>
            <w:vAlign w:val="center"/>
          </w:tcPr>
          <w:p>
            <w:pPr>
              <w:pStyle w:val="TableContents"/>
              <w:bidi w:val="0"/>
              <w:spacing w:before="0" w:after="283"/>
              <w:jc w:val="right"/>
              <w:rPr/>
            </w:pPr>
            <w:r>
              <w:rPr/>
              <w:t>1,000,000</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50" w:type="dxa"/>
            </w:tcMar>
            <w:vAlign w:val="center"/>
          </w:tcPr>
          <w:p>
            <w:pPr>
              <w:pStyle w:val="TableContents"/>
              <w:bidi w:val="0"/>
              <w:spacing w:before="0" w:after="283"/>
              <w:jc w:val="right"/>
              <w:rPr/>
            </w:pPr>
            <w:r>
              <w:rPr/>
              <w:t>​</w:t>
            </w:r>
          </w:p>
        </w:tc>
        <w:tc>
          <w:tcPr>
            <w:tcW w:w="1240" w:type="dxa"/>
            <w:tcBorders>
              <w:bottom w:val="single" w:sz="2" w:space="0" w:color="CBCAC8"/>
            </w:tcBorders>
            <w:tcMar>
              <w:bottom w:w="50" w:type="dxa"/>
            </w:tcMar>
            <w:vAlign w:val="center"/>
          </w:tcPr>
          <w:p>
            <w:pPr>
              <w:pStyle w:val="TableContents"/>
              <w:bidi w:val="0"/>
              <w:spacing w:before="0" w:after="283"/>
              <w:jc w:val="right"/>
              <w:rPr/>
            </w:pPr>
            <w:r>
              <w:rPr/>
              <w:t>1,000,000</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74" w:type="dxa"/>
            <w:tcBorders>
              <w:bottom w:val="single" w:sz="2" w:space="0" w:color="CBCAC8"/>
            </w:tcBorders>
            <w:tcMar>
              <w:bottom w:w="50" w:type="dxa"/>
            </w:tcMar>
            <w:vAlign w:val="center"/>
          </w:tcPr>
          <w:p>
            <w:pPr>
              <w:pStyle w:val="TableContents"/>
              <w:bidi w:val="0"/>
              <w:spacing w:before="0" w:after="0"/>
              <w:jc w:val="right"/>
              <w:rPr/>
            </w:pPr>
            <w:r>
              <w:rPr>
                <w:spacing w:val="-2"/>
              </w:rPr>
              <w:t>No change</w:t>
            </w:r>
            <w:r>
              <w:rPr/>
              <w:t xml:space="preserve"> </w:t>
            </w:r>
          </w:p>
        </w:tc>
        <w:tc>
          <w:tcPr>
            <w:tcW w:w="160"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1374"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L. Jay Cross*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464"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Former President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50" w:type="dxa"/>
            </w:tcMar>
            <w:vAlign w:val="center"/>
          </w:tcPr>
          <w:p>
            <w:pPr>
              <w:pStyle w:val="TableContents"/>
              <w:bidi w:val="0"/>
              <w:spacing w:before="0" w:after="283"/>
              <w:jc w:val="right"/>
              <w:rPr/>
            </w:pPr>
            <w:r>
              <w:rPr/>
              <w:t>​</w:t>
            </w:r>
          </w:p>
        </w:tc>
        <w:tc>
          <w:tcPr>
            <w:tcW w:w="1240" w:type="dxa"/>
            <w:tcBorders>
              <w:bottom w:val="single" w:sz="2" w:space="0" w:color="CBCAC8"/>
            </w:tcBorders>
            <w:tcMar>
              <w:bottom w:w="50" w:type="dxa"/>
            </w:tcMar>
            <w:vAlign w:val="center"/>
          </w:tcPr>
          <w:p>
            <w:pPr>
              <w:pStyle w:val="TableContents"/>
              <w:bidi w:val="0"/>
              <w:spacing w:before="0" w:after="283"/>
              <w:jc w:val="right"/>
              <w:rPr/>
            </w:pPr>
            <w:r>
              <w:rPr/>
              <w:t>750,000</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50" w:type="dxa"/>
            </w:tcMar>
            <w:vAlign w:val="center"/>
          </w:tcPr>
          <w:p>
            <w:pPr>
              <w:pStyle w:val="TableContents"/>
              <w:bidi w:val="0"/>
              <w:spacing w:before="0" w:after="283"/>
              <w:jc w:val="right"/>
              <w:rPr/>
            </w:pPr>
            <w:r>
              <w:rPr/>
              <w:t>​</w:t>
            </w:r>
          </w:p>
        </w:tc>
        <w:tc>
          <w:tcPr>
            <w:tcW w:w="1240" w:type="dxa"/>
            <w:tcBorders>
              <w:bottom w:val="single" w:sz="2" w:space="0" w:color="CBCAC8"/>
            </w:tcBorders>
            <w:tcMar>
              <w:bottom w:w="50" w:type="dxa"/>
            </w:tcMar>
            <w:vAlign w:val="center"/>
          </w:tcPr>
          <w:p>
            <w:pPr>
              <w:pStyle w:val="TableContents"/>
              <w:bidi w:val="0"/>
              <w:spacing w:before="0" w:after="283"/>
              <w:jc w:val="right"/>
              <w:rPr/>
            </w:pPr>
            <w:r>
              <w:rPr/>
              <w:t>750,000</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74" w:type="dxa"/>
            <w:tcBorders>
              <w:bottom w:val="single" w:sz="2" w:space="0" w:color="CBCAC8"/>
            </w:tcBorders>
            <w:tcMar>
              <w:bottom w:w="50" w:type="dxa"/>
            </w:tcMar>
            <w:vAlign w:val="center"/>
          </w:tcPr>
          <w:p>
            <w:pPr>
              <w:pStyle w:val="TableContents"/>
              <w:bidi w:val="0"/>
              <w:spacing w:before="0" w:after="0"/>
              <w:jc w:val="right"/>
              <w:rPr/>
            </w:pPr>
            <w:r>
              <w:rPr>
                <w:spacing w:val="-2"/>
              </w:rPr>
              <w:t>No Change</w:t>
            </w:r>
            <w:r>
              <w:rPr/>
              <w:t xml:space="preserve"> </w:t>
            </w:r>
          </w:p>
        </w:tc>
        <w:tc>
          <w:tcPr>
            <w:tcW w:w="160"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1374"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Carlos A. Olea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464"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Chief Financial Officer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50" w:type="dxa"/>
            </w:tcMar>
            <w:vAlign w:val="center"/>
          </w:tcPr>
          <w:p>
            <w:pPr>
              <w:pStyle w:val="TableContents"/>
              <w:bidi w:val="0"/>
              <w:spacing w:before="0" w:after="283"/>
              <w:jc w:val="right"/>
              <w:rPr/>
            </w:pPr>
            <w:r>
              <w:rPr/>
              <w:t>​</w:t>
            </w:r>
          </w:p>
        </w:tc>
        <w:tc>
          <w:tcPr>
            <w:tcW w:w="1240" w:type="dxa"/>
            <w:tcBorders>
              <w:bottom w:val="single" w:sz="2" w:space="0" w:color="CBCAC8"/>
            </w:tcBorders>
            <w:tcMar>
              <w:bottom w:w="50" w:type="dxa"/>
            </w:tcMar>
            <w:vAlign w:val="center"/>
          </w:tcPr>
          <w:p>
            <w:pPr>
              <w:pStyle w:val="TableContents"/>
              <w:bidi w:val="0"/>
              <w:spacing w:before="0" w:after="283"/>
              <w:jc w:val="right"/>
              <w:rPr/>
            </w:pPr>
            <w:r>
              <w:rPr/>
              <w:t>550,000</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50" w:type="dxa"/>
            </w:tcMar>
            <w:vAlign w:val="center"/>
          </w:tcPr>
          <w:p>
            <w:pPr>
              <w:pStyle w:val="TableContents"/>
              <w:bidi w:val="0"/>
              <w:spacing w:before="0" w:after="283"/>
              <w:jc w:val="right"/>
              <w:rPr/>
            </w:pPr>
            <w:r>
              <w:rPr/>
              <w:t>​</w:t>
            </w:r>
          </w:p>
        </w:tc>
        <w:tc>
          <w:tcPr>
            <w:tcW w:w="1240" w:type="dxa"/>
            <w:tcBorders>
              <w:bottom w:val="single" w:sz="2" w:space="0" w:color="CBCAC8"/>
            </w:tcBorders>
            <w:tcMar>
              <w:bottom w:w="50" w:type="dxa"/>
            </w:tcMar>
            <w:vAlign w:val="center"/>
          </w:tcPr>
          <w:p>
            <w:pPr>
              <w:pStyle w:val="TableContents"/>
              <w:bidi w:val="0"/>
              <w:spacing w:before="0" w:after="283"/>
              <w:jc w:val="right"/>
              <w:rPr/>
            </w:pPr>
            <w:r>
              <w:rPr/>
              <w:t>550,000</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74" w:type="dxa"/>
            <w:tcBorders>
              <w:bottom w:val="single" w:sz="2" w:space="0" w:color="CBCAC8"/>
            </w:tcBorders>
            <w:tcMar>
              <w:bottom w:w="50" w:type="dxa"/>
            </w:tcMar>
            <w:vAlign w:val="center"/>
          </w:tcPr>
          <w:p>
            <w:pPr>
              <w:pStyle w:val="TableContents"/>
              <w:bidi w:val="0"/>
              <w:spacing w:before="0" w:after="0"/>
              <w:jc w:val="right"/>
              <w:rPr/>
            </w:pPr>
            <w:r>
              <w:rPr>
                <w:spacing w:val="-2"/>
              </w:rPr>
              <w:t>No change</w:t>
            </w:r>
            <w:r>
              <w:rPr/>
              <w:t xml:space="preserve"> </w:t>
            </w:r>
          </w:p>
        </w:tc>
        <w:tc>
          <w:tcPr>
            <w:tcW w:w="160"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1374"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Joseph Valane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464" w:type="dxa"/>
            <w:tcBorders>
              <w:bottom w:val="single" w:sz="2" w:space="0" w:color="CBCAC8"/>
            </w:tcBorders>
            <w:tcMar>
              <w:bottom w:w="50" w:type="dxa"/>
            </w:tcMar>
            <w:vAlign w:val="center"/>
          </w:tcPr>
          <w:p>
            <w:pPr>
              <w:pStyle w:val="TableContents"/>
              <w:bidi w:val="0"/>
              <w:spacing w:before="0" w:after="0"/>
              <w:jc w:val="left"/>
              <w:rPr/>
            </w:pPr>
            <w:r>
              <w:rPr>
                <w:spacing w:val="-2"/>
              </w:rPr>
              <w:t>Chief Legal Officer &amp; Secretary**</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50" w:type="dxa"/>
            </w:tcMar>
            <w:vAlign w:val="center"/>
          </w:tcPr>
          <w:p>
            <w:pPr>
              <w:pStyle w:val="TableContents"/>
              <w:bidi w:val="0"/>
              <w:spacing w:before="0" w:after="283"/>
              <w:jc w:val="right"/>
              <w:rPr/>
            </w:pPr>
            <w:r>
              <w:rPr/>
              <w:t>​</w:t>
            </w:r>
          </w:p>
        </w:tc>
        <w:tc>
          <w:tcPr>
            <w:tcW w:w="1240" w:type="dxa"/>
            <w:tcBorders>
              <w:bottom w:val="single" w:sz="2" w:space="0" w:color="CBCAC8"/>
            </w:tcBorders>
            <w:tcMar>
              <w:bottom w:w="50" w:type="dxa"/>
            </w:tcMar>
            <w:vAlign w:val="center"/>
          </w:tcPr>
          <w:p>
            <w:pPr>
              <w:pStyle w:val="TableContents"/>
              <w:bidi w:val="0"/>
              <w:spacing w:before="0" w:after="283"/>
              <w:jc w:val="right"/>
              <w:rPr/>
            </w:pPr>
            <w:r>
              <w:rPr/>
              <w:t>500,000</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50" w:type="dxa"/>
            </w:tcMar>
            <w:vAlign w:val="center"/>
          </w:tcPr>
          <w:p>
            <w:pPr>
              <w:pStyle w:val="TableContents"/>
              <w:bidi w:val="0"/>
              <w:spacing w:before="0" w:after="283"/>
              <w:jc w:val="right"/>
              <w:rPr/>
            </w:pPr>
            <w:r>
              <w:rPr/>
              <w:t>​</w:t>
            </w:r>
          </w:p>
        </w:tc>
        <w:tc>
          <w:tcPr>
            <w:tcW w:w="1240" w:type="dxa"/>
            <w:tcBorders>
              <w:bottom w:val="single" w:sz="2" w:space="0" w:color="CBCAC8"/>
            </w:tcBorders>
            <w:tcMar>
              <w:bottom w:w="50" w:type="dxa"/>
            </w:tcMar>
            <w:vAlign w:val="center"/>
          </w:tcPr>
          <w:p>
            <w:pPr>
              <w:pStyle w:val="TableContents"/>
              <w:bidi w:val="0"/>
              <w:spacing w:before="0" w:after="283"/>
              <w:jc w:val="right"/>
              <w:rPr/>
            </w:pPr>
            <w:r>
              <w:rPr/>
              <w:t>500,000</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74" w:type="dxa"/>
            <w:tcBorders>
              <w:bottom w:val="single" w:sz="2" w:space="0" w:color="CBCAC8"/>
            </w:tcBorders>
            <w:tcMar>
              <w:bottom w:w="50" w:type="dxa"/>
            </w:tcMar>
            <w:vAlign w:val="center"/>
          </w:tcPr>
          <w:p>
            <w:pPr>
              <w:pStyle w:val="TableContents"/>
              <w:bidi w:val="0"/>
              <w:spacing w:before="0" w:after="0"/>
              <w:jc w:val="right"/>
              <w:rPr/>
            </w:pPr>
            <w:r>
              <w:rPr>
                <w:spacing w:val="-2"/>
              </w:rPr>
              <w:t>No change</w:t>
            </w:r>
            <w:r>
              <w:rPr/>
              <w:t xml:space="preserve"> </w:t>
            </w:r>
          </w:p>
        </w:tc>
        <w:tc>
          <w:tcPr>
            <w:tcW w:w="160"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1374" w:type="dxa"/>
            <w:tcBorders>
              <w:bottom w:val="single" w:sz="2" w:space="0" w:color="CBCAC8"/>
            </w:tcBorders>
            <w:tcMar>
              <w:bottom w:w="37" w:type="dxa"/>
            </w:tcMar>
            <w:vAlign w:val="center"/>
          </w:tcPr>
          <w:p>
            <w:pPr>
              <w:pStyle w:val="TableContents"/>
              <w:bidi w:val="0"/>
              <w:spacing w:before="0" w:after="283"/>
              <w:jc w:val="left"/>
              <w:rPr>
                <w:spacing w:val="-2"/>
              </w:rPr>
            </w:pPr>
            <w:r>
              <w:rPr>
                <w:spacing w:val="-2"/>
              </w:rPr>
              <w:t xml:space="preserve">Doug Johnstone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464" w:type="dxa"/>
            <w:tcBorders>
              <w:bottom w:val="single" w:sz="2" w:space="0" w:color="CBCAC8"/>
            </w:tcBorders>
            <w:tcMar>
              <w:bottom w:w="37" w:type="dxa"/>
            </w:tcMar>
            <w:vAlign w:val="center"/>
          </w:tcPr>
          <w:p>
            <w:pPr>
              <w:pStyle w:val="TableContents"/>
              <w:bidi w:val="0"/>
              <w:spacing w:before="0" w:after="283"/>
              <w:jc w:val="left"/>
              <w:rPr>
                <w:spacing w:val="-2"/>
              </w:rPr>
            </w:pPr>
            <w:r>
              <w:rPr>
                <w:spacing w:val="-2"/>
              </w:rPr>
              <w:t xml:space="preserve">President, Hawaii Region &amp; </w:t>
              <w:br/>
              <w:t xml:space="preserve">National Condominium </w:t>
              <w:br/>
              <w:t xml:space="preserve">Development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37" w:type="dxa"/>
            </w:tcMar>
            <w:vAlign w:val="center"/>
          </w:tcPr>
          <w:p>
            <w:pPr>
              <w:pStyle w:val="TableContents"/>
              <w:bidi w:val="0"/>
              <w:spacing w:before="0" w:after="283"/>
              <w:jc w:val="right"/>
              <w:rPr/>
            </w:pPr>
            <w:r>
              <w:rPr/>
              <w:t>​</w:t>
            </w:r>
          </w:p>
        </w:tc>
        <w:tc>
          <w:tcPr>
            <w:tcW w:w="1240" w:type="dxa"/>
            <w:tcBorders>
              <w:bottom w:val="single" w:sz="2" w:space="0" w:color="CBCAC8"/>
            </w:tcBorders>
            <w:tcMar>
              <w:bottom w:w="37" w:type="dxa"/>
            </w:tcMar>
            <w:vAlign w:val="center"/>
          </w:tcPr>
          <w:p>
            <w:pPr>
              <w:pStyle w:val="TableContents"/>
              <w:bidi w:val="0"/>
              <w:spacing w:before="0" w:after="283"/>
              <w:jc w:val="right"/>
              <w:rPr/>
            </w:pPr>
            <w:r>
              <w:rPr/>
              <w:t>550,000</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37" w:type="dxa"/>
            </w:tcMar>
            <w:vAlign w:val="center"/>
          </w:tcPr>
          <w:p>
            <w:pPr>
              <w:pStyle w:val="TableContents"/>
              <w:bidi w:val="0"/>
              <w:spacing w:before="0" w:after="283"/>
              <w:jc w:val="right"/>
              <w:rPr/>
            </w:pPr>
            <w:r>
              <w:rPr/>
              <w:t>​</w:t>
            </w:r>
          </w:p>
        </w:tc>
        <w:tc>
          <w:tcPr>
            <w:tcW w:w="1240" w:type="dxa"/>
            <w:tcBorders>
              <w:bottom w:val="single" w:sz="2" w:space="0" w:color="CBCAC8"/>
            </w:tcBorders>
            <w:tcMar>
              <w:bottom w:w="37" w:type="dxa"/>
            </w:tcMar>
            <w:vAlign w:val="center"/>
          </w:tcPr>
          <w:p>
            <w:pPr>
              <w:pStyle w:val="TableContents"/>
              <w:bidi w:val="0"/>
              <w:spacing w:before="0" w:after="283"/>
              <w:jc w:val="right"/>
              <w:rPr/>
            </w:pPr>
            <w:r>
              <w:rPr/>
              <w:t>575,000</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74" w:type="dxa"/>
            <w:tcBorders>
              <w:bottom w:val="single" w:sz="2" w:space="0" w:color="CBCAC8"/>
            </w:tcBorders>
            <w:tcMar>
              <w:bottom w:w="37" w:type="dxa"/>
            </w:tcMar>
            <w:vAlign w:val="center"/>
          </w:tcPr>
          <w:p>
            <w:pPr>
              <w:pStyle w:val="TableContents"/>
              <w:bidi w:val="0"/>
              <w:spacing w:before="0" w:after="0"/>
              <w:jc w:val="right"/>
              <w:rPr/>
            </w:pPr>
            <w:r>
              <w:rPr>
                <w:spacing w:val="-2"/>
              </w:rPr>
              <w:t>25,000</w:t>
            </w:r>
            <w:r>
              <w:rPr/>
              <w:t xml:space="preserve"> </w:t>
            </w:r>
          </w:p>
        </w:tc>
        <w:tc>
          <w:tcPr>
            <w:tcW w:w="160"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8" w:space="0" w:color="7F7F7F"/>
            </w:tcBorders>
            <w:tcMar>
              <w:bottom w:w="28" w:type="dxa"/>
            </w:tcMar>
            <w:vAlign w:val="center"/>
          </w:tcPr>
          <w:p>
            <w:pPr>
              <w:pStyle w:val="TableContents"/>
              <w:bidi w:val="0"/>
              <w:spacing w:before="0" w:after="283"/>
              <w:jc w:val="left"/>
              <w:rPr/>
            </w:pPr>
            <w:r>
              <w:rPr/>
              <w:t>​</w:t>
            </w:r>
          </w:p>
        </w:tc>
        <w:tc>
          <w:tcPr>
            <w:tcW w:w="1374" w:type="dxa"/>
            <w:tcBorders>
              <w:bottom w:val="single" w:sz="8" w:space="0" w:color="7F7F7F"/>
            </w:tcBorders>
            <w:tcMar>
              <w:bottom w:w="50" w:type="dxa"/>
            </w:tcMar>
            <w:vAlign w:val="center"/>
          </w:tcPr>
          <w:p>
            <w:pPr>
              <w:pStyle w:val="TableContents"/>
              <w:bidi w:val="0"/>
              <w:spacing w:before="0" w:after="283"/>
              <w:jc w:val="left"/>
              <w:rPr>
                <w:spacing w:val="-2"/>
              </w:rPr>
            </w:pPr>
            <w:r>
              <w:rPr>
                <w:spacing w:val="-2"/>
              </w:rPr>
              <w:t xml:space="preserve">Andrew Davis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2464" w:type="dxa"/>
            <w:tcBorders>
              <w:bottom w:val="single" w:sz="8" w:space="0" w:color="7F7F7F"/>
            </w:tcBorders>
            <w:tcMar>
              <w:bottom w:w="50" w:type="dxa"/>
            </w:tcMar>
            <w:vAlign w:val="center"/>
          </w:tcPr>
          <w:p>
            <w:pPr>
              <w:pStyle w:val="TableContents"/>
              <w:bidi w:val="0"/>
              <w:spacing w:before="0" w:after="283"/>
              <w:jc w:val="left"/>
              <w:rPr>
                <w:spacing w:val="-2"/>
              </w:rPr>
            </w:pPr>
            <w:r>
              <w:rPr>
                <w:spacing w:val="-2"/>
              </w:rPr>
              <w:t xml:space="preserve">Chief Operating Officer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26" w:type="dxa"/>
            <w:tcBorders>
              <w:bottom w:val="single" w:sz="8" w:space="0" w:color="7F7F7F"/>
            </w:tcBorders>
            <w:tcMar>
              <w:bottom w:w="28" w:type="dxa"/>
            </w:tcMar>
            <w:vAlign w:val="center"/>
          </w:tcPr>
          <w:p>
            <w:pPr>
              <w:pStyle w:val="TableContents"/>
              <w:bidi w:val="0"/>
              <w:spacing w:before="0" w:after="283"/>
              <w:jc w:val="left"/>
              <w:rPr/>
            </w:pPr>
            <w:r>
              <w:rPr/>
              <w:t>​</w:t>
            </w:r>
          </w:p>
        </w:tc>
        <w:tc>
          <w:tcPr>
            <w:tcW w:w="126" w:type="dxa"/>
            <w:tcBorders>
              <w:bottom w:val="single" w:sz="8" w:space="0" w:color="7F7F7F"/>
            </w:tcBorders>
            <w:tcMar>
              <w:bottom w:w="50" w:type="dxa"/>
            </w:tcMar>
            <w:vAlign w:val="center"/>
          </w:tcPr>
          <w:p>
            <w:pPr>
              <w:pStyle w:val="TableContents"/>
              <w:bidi w:val="0"/>
              <w:spacing w:before="0" w:after="283"/>
              <w:jc w:val="right"/>
              <w:rPr/>
            </w:pPr>
            <w:r>
              <w:rPr/>
              <w:t>​</w:t>
            </w:r>
          </w:p>
        </w:tc>
        <w:tc>
          <w:tcPr>
            <w:tcW w:w="1240" w:type="dxa"/>
            <w:tcBorders>
              <w:bottom w:val="single" w:sz="8" w:space="0" w:color="7F7F7F"/>
            </w:tcBorders>
            <w:tcMar>
              <w:bottom w:w="50" w:type="dxa"/>
            </w:tcMar>
            <w:vAlign w:val="center"/>
          </w:tcPr>
          <w:p>
            <w:pPr>
              <w:pStyle w:val="TableContents"/>
              <w:bidi w:val="0"/>
              <w:spacing w:before="0" w:after="283"/>
              <w:jc w:val="right"/>
              <w:rPr/>
            </w:pPr>
            <w:r>
              <w:rPr/>
              <w:t xml:space="preserve">*** </w:t>
            </w:r>
          </w:p>
        </w:tc>
        <w:tc>
          <w:tcPr>
            <w:tcW w:w="126"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26" w:type="dxa"/>
            <w:tcBorders>
              <w:bottom w:val="single" w:sz="8" w:space="0" w:color="7F7F7F"/>
            </w:tcBorders>
            <w:tcMar>
              <w:bottom w:w="28" w:type="dxa"/>
            </w:tcMar>
            <w:vAlign w:val="center"/>
          </w:tcPr>
          <w:p>
            <w:pPr>
              <w:pStyle w:val="TableContents"/>
              <w:bidi w:val="0"/>
              <w:spacing w:before="0" w:after="283"/>
              <w:jc w:val="left"/>
              <w:rPr/>
            </w:pPr>
            <w:r>
              <w:rPr/>
              <w:t>​</w:t>
            </w:r>
          </w:p>
        </w:tc>
        <w:tc>
          <w:tcPr>
            <w:tcW w:w="126" w:type="dxa"/>
            <w:tcBorders>
              <w:bottom w:val="single" w:sz="8" w:space="0" w:color="7F7F7F"/>
            </w:tcBorders>
            <w:tcMar>
              <w:bottom w:w="50" w:type="dxa"/>
            </w:tcMar>
            <w:vAlign w:val="center"/>
          </w:tcPr>
          <w:p>
            <w:pPr>
              <w:pStyle w:val="TableContents"/>
              <w:bidi w:val="0"/>
              <w:spacing w:before="0" w:after="283"/>
              <w:jc w:val="right"/>
              <w:rPr/>
            </w:pPr>
            <w:r>
              <w:rPr/>
              <w:t>​</w:t>
            </w:r>
          </w:p>
        </w:tc>
        <w:tc>
          <w:tcPr>
            <w:tcW w:w="1240" w:type="dxa"/>
            <w:tcBorders>
              <w:bottom w:val="single" w:sz="8" w:space="0" w:color="7F7F7F"/>
            </w:tcBorders>
            <w:tcMar>
              <w:bottom w:w="50" w:type="dxa"/>
            </w:tcMar>
            <w:vAlign w:val="center"/>
          </w:tcPr>
          <w:p>
            <w:pPr>
              <w:pStyle w:val="TableContents"/>
              <w:bidi w:val="0"/>
              <w:spacing w:before="0" w:after="283"/>
              <w:jc w:val="right"/>
              <w:rPr/>
            </w:pPr>
            <w:r>
              <w:rPr/>
              <w:t>500,000</w:t>
            </w:r>
          </w:p>
        </w:tc>
        <w:tc>
          <w:tcPr>
            <w:tcW w:w="126"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74" w:type="dxa"/>
            <w:tcBorders>
              <w:bottom w:val="single" w:sz="8" w:space="0" w:color="7F7F7F"/>
            </w:tcBorders>
            <w:tcMar>
              <w:bottom w:w="50" w:type="dxa"/>
            </w:tcMar>
            <w:vAlign w:val="center"/>
          </w:tcPr>
          <w:p>
            <w:pPr>
              <w:pStyle w:val="TableContents"/>
              <w:bidi w:val="0"/>
              <w:spacing w:before="0" w:after="0"/>
              <w:jc w:val="right"/>
              <w:rPr/>
            </w:pPr>
            <w:r>
              <w:rPr>
                <w:spacing w:val="-2"/>
              </w:rPr>
              <w:t>***</w:t>
            </w:r>
            <w:r>
              <w:rPr/>
              <w:t xml:space="preserve"> </w:t>
            </w:r>
          </w:p>
        </w:tc>
        <w:tc>
          <w:tcPr>
            <w:tcW w:w="160" w:type="dxa"/>
            <w:tcBorders>
              <w:bottom w:val="single" w:sz="8" w:space="0" w:color="7F7F7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4" w:after="0"/>
        <w:ind w:left="1301"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Cross ceased to be an executive officer of, and retired from, the Company effective September 16,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8740" distB="0" distL="0" distR="0" simplePos="0" locked="0" layoutInCell="1" allowOverlap="1" relativeHeight="527">
                <wp:simplePos x="0" y="0"/>
                <wp:positionH relativeFrom="column">
                  <wp:align>left</wp:align>
                </wp:positionH>
                <wp:positionV relativeFrom="line">
                  <wp:align>top</wp:align>
                </wp:positionV>
                <wp:extent cx="254000" cy="279400"/>
                <wp:effectExtent l="0" t="0" r="0" b="0"/>
                <wp:wrapSquare wrapText="right"/>
                <wp:docPr id="540" name="Frame411"/>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1"/>
                                <w:sz w:val="18"/>
                              </w:rPr>
                              <w:t>*</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1"/>
                          <w:sz w:val="18"/>
                        </w:rPr>
                        <w:t>*</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44" w:after="0"/>
        <w:ind w:left="1301"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Mr. Valane’s title changed from “General Counsel &amp; Secretary” to “Chief Legal Officer &amp; Secretary” effective June 29, 2026. </w:t>
      </w:r>
      <w:r>
        <mc:AlternateContent>
          <mc:Choice Requires="wps">
            <w:drawing>
              <wp:anchor behindDoc="0" distT="91440" distB="0" distL="0" distR="0" simplePos="0" locked="0" layoutInCell="1" allowOverlap="1" relativeHeight="528">
                <wp:simplePos x="0" y="0"/>
                <wp:positionH relativeFrom="column">
                  <wp:align>left</wp:align>
                </wp:positionH>
                <wp:positionV relativeFrom="line">
                  <wp:align>top</wp:align>
                </wp:positionV>
                <wp:extent cx="254000" cy="279400"/>
                <wp:effectExtent l="0" t="0" r="0" b="0"/>
                <wp:wrapSquare wrapText="right"/>
                <wp:docPr id="541" name="Frame412"/>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44" w:after="0"/>
        <w:ind w:left="1301"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Davis did not serve as a named executive officer in 2024.</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529">
                <wp:simplePos x="0" y="0"/>
                <wp:positionH relativeFrom="column">
                  <wp:align>left</wp:align>
                </wp:positionH>
                <wp:positionV relativeFrom="line">
                  <wp:align>top</wp:align>
                </wp:positionV>
                <wp:extent cx="254000" cy="279400"/>
                <wp:effectExtent l="0" t="0" r="0" b="0"/>
                <wp:wrapSquare wrapText="right"/>
                <wp:docPr id="542" name="Frame413"/>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1"/>
                                <w:sz w:val="18"/>
                              </w:rPr>
                              <w:t>***</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1"/>
                          <w:sz w:val="18"/>
                        </w:rPr>
                        <w:t>***</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64 \ 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Compensation Discussion and Analysis</w:t>
      </w:r>
      <w:r>
        <w:rPr>
          <w:rFonts w:ascii="Arial;Helvetica;sans-serif" w:hAnsi="Arial;Helvetica;sans-serif"/>
          <w:b/>
          <w:i w:val="false"/>
          <w:caps w:val="false"/>
          <w:smallCaps w:val="false"/>
          <w:color w:val="7F7F7F"/>
          <w:sz w:val="22"/>
        </w:rPr>
        <w:t>​</w:t>
      </w:r>
    </w:p>
    <w:p>
      <w:pPr>
        <w:pStyle w:val="TextBody"/>
        <w:bidi w:val="0"/>
        <w:spacing w:lineRule="atLeast" w:line="240" w:before="120" w:after="5680"/>
        <w:ind w:left="901" w:right="0" w:hanging="0"/>
        <w:jc w:val="left"/>
        <w:rPr>
          <w:rFonts w:ascii="Arial;Helvetica;sans-serif" w:hAnsi="Arial;Helvetica;sans-serif"/>
          <w:b/>
          <w:i w:val="false"/>
          <w:caps w:val="false"/>
          <w:smallCaps w:val="false"/>
          <w:color w:val="2E2925"/>
          <w:sz w:val="20"/>
        </w:rPr>
      </w:pPr>
      <w:r>
        <w:rPr>
          <w:rFonts w:ascii="Arial;Helvetica;sans-serif" w:hAnsi="Arial;Helvetica;sans-serif"/>
          <w:b/>
          <w:i w:val="false"/>
          <w:caps/>
          <w:color w:val="2E2925"/>
          <w:spacing w:val="-3"/>
          <w:sz w:val="20"/>
        </w:rPr>
        <w:t>ANNUAL INCENTIVE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Committee believes that annual incentive compensation is a key element of the total compensation for our NEOs. The Compensation Committee also believes that placing a significant portion of executive compensation at risk each year, subject to the results of established performance measures and objectives, appropriately motivates the NEOs to achieve the Company’s financial and operational objectives, thereby enhancing stockholder value.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employment agreements with each of our NEOs provide that each officer is eligible to receive an annual incentive award. The target amount of each annual incentive award is set forth in the NEO’s employment agreement or letter agreement, as applicable. The annual incentive compensation opportunity for each of the NEOs under their current respective employment agreements with the Company is set forth below, other than Messrs. Davis and Johnstone, who do not have employment agreements with the Company and instead participate in the Company’s general annual incentive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David O’Reilly</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240"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Target annual bonus of $1,750,000 (ranging as applicable from a threshold value of 80% of target to a maximum value of 120% of target).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530">
                <wp:simplePos x="0" y="0"/>
                <wp:positionH relativeFrom="column">
                  <wp:align>left</wp:align>
                </wp:positionH>
                <wp:positionV relativeFrom="line">
                  <wp:align>top</wp:align>
                </wp:positionV>
                <wp:extent cx="228600" cy="350520"/>
                <wp:effectExtent l="0" t="0" r="0" b="0"/>
                <wp:wrapSquare wrapText="right"/>
                <wp:docPr id="543" name="Frame41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Carlos A. Olea</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240"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Target annual bonus of $825,000 (ranging as applicable from a threshold value of 80% of target to a maximum value of 120% of target).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531">
                <wp:simplePos x="0" y="0"/>
                <wp:positionH relativeFrom="column">
                  <wp:align>left</wp:align>
                </wp:positionH>
                <wp:positionV relativeFrom="line">
                  <wp:align>top</wp:align>
                </wp:positionV>
                <wp:extent cx="228600" cy="350520"/>
                <wp:effectExtent l="0" t="0" r="0" b="0"/>
                <wp:wrapSquare wrapText="right"/>
                <wp:docPr id="544" name="Frame41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Joseph Valane</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240" w:after="0"/>
        <w:ind w:left="1661" w:right="0" w:hanging="0"/>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Target annual bonus of $500,000 (ranging as applicable from a threshold value of 80% of target to a maximum value of 120% of target). </w:t>
      </w:r>
      <w:r>
        <mc:AlternateContent>
          <mc:Choice Requires="wps">
            <w:drawing>
              <wp:anchor behindDoc="0" distT="152400" distB="0" distL="254000" distR="0" simplePos="0" locked="0" layoutInCell="1" allowOverlap="1" relativeHeight="532">
                <wp:simplePos x="0" y="0"/>
                <wp:positionH relativeFrom="column">
                  <wp:align>left</wp:align>
                </wp:positionH>
                <wp:positionV relativeFrom="line">
                  <wp:align>top</wp:align>
                </wp:positionV>
                <wp:extent cx="228600" cy="350520"/>
                <wp:effectExtent l="0" t="0" r="0" b="0"/>
                <wp:wrapSquare wrapText="right"/>
                <wp:docPr id="545" name="Frame41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/ 65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Compensation Discussion and Analysis</w:t>
      </w:r>
      <w:r>
        <w:rPr>
          <w:rFonts w:ascii="Arial;Helvetica;sans-serif" w:hAnsi="Arial;Helvetica;sans-serif"/>
          <w:b/>
          <w:i w:val="false"/>
          <w:caps w:val="false"/>
          <w:smallCaps w:val="false"/>
          <w:color w:val="7F7F7F"/>
          <w:spacing w:val="-3"/>
          <w:sz w:val="22"/>
        </w:rPr>
        <w:t xml:space="preserve"> </w:t>
      </w:r>
    </w:p>
    <w:p>
      <w:pPr>
        <w:pStyle w:val="TextBody"/>
        <w:bidi w:val="0"/>
        <w:spacing w:lineRule="atLeast" w:line="340" w:before="120" w:after="283"/>
        <w:ind w:left="901" w:right="0" w:hanging="0"/>
        <w:jc w:val="both"/>
        <w:rPr>
          <w:rFonts w:ascii="Arial;Helvetica;sans-serif" w:hAnsi="Arial;Helvetica;sans-serif"/>
          <w:b/>
          <w:i w:val="false"/>
          <w:caps w:val="false"/>
          <w:smallCaps w:val="false"/>
          <w:color w:val="7F7F7F"/>
          <w:sz w:val="30"/>
        </w:rPr>
      </w:pPr>
      <w:r>
        <w:rPr>
          <w:rFonts w:ascii="Arial;Helvetica;sans-serif" w:hAnsi="Arial;Helvetica;sans-serif"/>
          <w:b/>
          <w:i w:val="false"/>
          <w:caps w:val="false"/>
          <w:smallCaps w:val="false"/>
          <w:color w:val="7F7F7F"/>
          <w:spacing w:val="-1"/>
          <w:sz w:val="30"/>
        </w:rPr>
        <w:t>David O’Reilly; Carlos Olea; and Joseph Valane</w:t>
      </w:r>
      <w:r>
        <w:rPr>
          <w:rFonts w:ascii="Arial;Helvetica;sans-serif" w:hAnsi="Arial;Helvetica;sans-serif"/>
          <w:b/>
          <w:i w:val="false"/>
          <w:caps w:val="false"/>
          <w:smallCaps w:val="false"/>
          <w:color w:val="7F7F7F"/>
          <w:spacing w:val="-4"/>
          <w:sz w:val="30"/>
        </w:rPr>
        <w:t> – </w:t>
      </w:r>
      <w:r>
        <w:rPr>
          <w:rFonts w:ascii="Arial;Helvetica;sans-serif" w:hAnsi="Arial;Helvetica;sans-serif"/>
          <w:b/>
          <w:i w:val="false"/>
          <w:caps w:val="false"/>
          <w:smallCaps w:val="false"/>
          <w:color w:val="7F7F7F"/>
          <w:spacing w:val="-1"/>
          <w:sz w:val="30"/>
        </w:rPr>
        <w:t xml:space="preserve">2025 Annual Incentive </w:t>
      </w:r>
    </w:p>
    <w:p>
      <w:pPr>
        <w:pStyle w:val="TextBody"/>
        <w:bidi w:val="0"/>
        <w:spacing w:lineRule="atLeast" w:line="25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metrics approved under our 2025 annual incentive program applicable to Messrs. O’Reilly, Olea, and Valane are directly linked to our operating performance, with approximately 75% of the annual incentive earned based on achievement of the goals described in the table below, and the remaining approximately 25% based on individual performance as evaluated by the Compensation Committee. The performance metrics used in our incentive plans are based on our GAAP and non-GAAP performance measures, further adjusted for items the Compensation Committee believes are appropriate for assessing management’s controllable performance. For 2025, the Compensation Committee approved the following financial metrics and strategic goals with respect to the 75% objective portion under our annual incentive program for Messrs. O’Reilly, Olea, and Valane:</w:t>
      </w:r>
      <w:r>
        <w:rPr>
          <w:rFonts w:ascii="Arial;Helvetica;sans-serif" w:hAnsi="Arial;Helvetica;sans-serif"/>
          <w:b w:val="false"/>
          <w:i w:val="false"/>
          <w:caps w:val="false"/>
          <w:smallCaps w:val="false"/>
          <w:color w:val="000000"/>
          <w:spacing w:val="4"/>
          <w:sz w:val="20"/>
        </w:rPr>
        <w:t xml:space="preserve"> </w:t>
      </w:r>
    </w:p>
    <w:tbl>
      <w:tblPr>
        <w:tblW w:w="9304" w:type="dxa"/>
        <w:jc w:val="left"/>
        <w:tblInd w:w="901" w:type="dxa"/>
        <w:tblLayout w:type="fixed"/>
        <w:tblCellMar>
          <w:top w:w="0" w:type="dxa"/>
          <w:left w:w="0" w:type="dxa"/>
          <w:bottom w:w="0" w:type="dxa"/>
          <w:right w:w="0" w:type="dxa"/>
        </w:tblCellMar>
      </w:tblPr>
      <w:tblGrid>
        <w:gridCol w:w="124"/>
        <w:gridCol w:w="3625"/>
        <w:gridCol w:w="109"/>
        <w:gridCol w:w="109"/>
        <w:gridCol w:w="109"/>
        <w:gridCol w:w="226"/>
        <w:gridCol w:w="1341"/>
        <w:gridCol w:w="109"/>
        <w:gridCol w:w="109"/>
        <w:gridCol w:w="109"/>
        <w:gridCol w:w="109"/>
        <w:gridCol w:w="226"/>
        <w:gridCol w:w="1341"/>
        <w:gridCol w:w="109"/>
        <w:gridCol w:w="109"/>
        <w:gridCol w:w="109"/>
        <w:gridCol w:w="160"/>
        <w:gridCol w:w="160"/>
        <w:gridCol w:w="690"/>
        <w:gridCol w:w="163"/>
        <w:gridCol w:w="158"/>
      </w:tblGrid>
      <w:tr>
        <w:trPr/>
        <w:tc>
          <w:tcPr>
            <w:tcW w:w="124" w:type="dxa"/>
            <w:tcBorders/>
            <w:shd w:fill="BAD8EA" w:val="clear"/>
            <w:vAlign w:val="center"/>
          </w:tcPr>
          <w:p>
            <w:pPr>
              <w:pStyle w:val="TableContents"/>
              <w:bidi w:val="0"/>
              <w:spacing w:before="0" w:after="283"/>
              <w:jc w:val="left"/>
              <w:rPr/>
            </w:pPr>
            <w:r>
              <w:rPr/>
              <w:t>​</w:t>
            </w:r>
          </w:p>
        </w:tc>
        <w:tc>
          <w:tcPr>
            <w:tcW w:w="3625" w:type="dxa"/>
            <w:tcBorders/>
            <w:shd w:fill="BAD8EA" w:val="clear"/>
            <w:vAlign w:val="center"/>
          </w:tcPr>
          <w:p>
            <w:pPr>
              <w:pStyle w:val="TableContents"/>
              <w:bidi w:val="0"/>
              <w:spacing w:before="0" w:after="0"/>
              <w:jc w:val="left"/>
              <w:rPr>
                <w:spacing w:val="0"/>
              </w:rPr>
            </w:pPr>
            <w:r>
              <w:rPr>
                <w:spacing w:val="0"/>
              </w:rPr>
              <w:t xml:space="preserve">Financial Metric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785" w:type="dxa"/>
            <w:gridSpan w:val="4"/>
            <w:tcBorders/>
            <w:shd w:fill="BAD8EA" w:val="clear"/>
            <w:vAlign w:val="center"/>
          </w:tcPr>
          <w:p>
            <w:pPr>
              <w:pStyle w:val="TableContents"/>
              <w:bidi w:val="0"/>
              <w:spacing w:before="0" w:after="0"/>
              <w:jc w:val="center"/>
              <w:rPr>
                <w:spacing w:val="0"/>
              </w:rPr>
            </w:pPr>
            <w:r>
              <w:rPr>
                <w:spacing w:val="0"/>
              </w:rPr>
              <w:t xml:space="preserve">Target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785" w:type="dxa"/>
            <w:gridSpan w:val="4"/>
            <w:tcBorders/>
            <w:shd w:fill="BAD8EA" w:val="clear"/>
            <w:vAlign w:val="center"/>
          </w:tcPr>
          <w:p>
            <w:pPr>
              <w:pStyle w:val="TableContents"/>
              <w:bidi w:val="0"/>
              <w:spacing w:before="0" w:after="0"/>
              <w:jc w:val="center"/>
              <w:rPr>
                <w:spacing w:val="0"/>
              </w:rPr>
            </w:pPr>
            <w:r>
              <w:rPr>
                <w:spacing w:val="0"/>
              </w:rPr>
              <w:t xml:space="preserve">Actual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173" w:type="dxa"/>
            <w:gridSpan w:val="4"/>
            <w:tcBorders/>
            <w:shd w:fill="BAD8EA" w:val="clear"/>
            <w:vAlign w:val="center"/>
          </w:tcPr>
          <w:p>
            <w:pPr>
              <w:pStyle w:val="TableContents"/>
              <w:bidi w:val="0"/>
              <w:spacing w:lineRule="atLeast" w:line="202" w:before="0" w:after="0"/>
              <w:jc w:val="center"/>
              <w:rPr>
                <w:spacing w:val="0"/>
              </w:rPr>
            </w:pPr>
            <w:r>
              <w:rPr>
                <w:spacing w:val="0"/>
              </w:rPr>
              <w:t xml:space="preserve">Percentage </w:t>
              <w:br/>
              <w:t xml:space="preserve">Achieved </w:t>
            </w:r>
          </w:p>
        </w:tc>
        <w:tc>
          <w:tcPr>
            <w:tcW w:w="158"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625" w:type="dxa"/>
            <w:tcBorders>
              <w:bottom w:val="single" w:sz="2" w:space="0" w:color="CBCAC8"/>
            </w:tcBorders>
            <w:tcMar>
              <w:bottom w:w="50" w:type="dxa"/>
            </w:tcMar>
            <w:vAlign w:val="center"/>
          </w:tcPr>
          <w:p>
            <w:pPr>
              <w:pStyle w:val="TableContents"/>
              <w:bidi w:val="0"/>
              <w:spacing w:lineRule="atLeast" w:line="142" w:before="0" w:after="283"/>
              <w:jc w:val="left"/>
              <w:rPr/>
            </w:pPr>
            <w:r>
              <w:rPr>
                <w:spacing w:val="-2"/>
              </w:rPr>
              <w:t>Operating Assets NOI</w:t>
            </w:r>
            <w:r>
              <w:rPr>
                <w:b/>
                <w:spacing w:val="-2"/>
                <w:sz w:val="13"/>
              </w:rPr>
              <w:t>(1)(2)</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341" w:type="dxa"/>
            <w:tcBorders>
              <w:bottom w:val="single" w:sz="2" w:space="0" w:color="CBCAC8"/>
            </w:tcBorders>
            <w:tcMar>
              <w:bottom w:w="50" w:type="dxa"/>
            </w:tcMar>
            <w:vAlign w:val="center"/>
          </w:tcPr>
          <w:p>
            <w:pPr>
              <w:pStyle w:val="TableContents"/>
              <w:bidi w:val="0"/>
              <w:spacing w:before="0" w:after="283"/>
              <w:jc w:val="right"/>
              <w:rPr/>
            </w:pPr>
            <w:r>
              <w:rPr/>
              <w:t xml:space="preserve">247,011,000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341" w:type="dxa"/>
            <w:tcBorders>
              <w:bottom w:val="single" w:sz="2" w:space="0" w:color="CBCAC8"/>
            </w:tcBorders>
            <w:tcMar>
              <w:bottom w:w="50" w:type="dxa"/>
            </w:tcMar>
            <w:vAlign w:val="center"/>
          </w:tcPr>
          <w:p>
            <w:pPr>
              <w:pStyle w:val="TableContents"/>
              <w:bidi w:val="0"/>
              <w:spacing w:before="0" w:after="283"/>
              <w:jc w:val="right"/>
              <w:rPr/>
            </w:pPr>
            <w:r>
              <w:rPr/>
              <w:t xml:space="preserve">261,985,000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60" w:type="dxa"/>
            <w:tcBorders>
              <w:bottom w:val="single" w:sz="2" w:space="0" w:color="CBCAC8"/>
            </w:tcBorders>
            <w:tcMar>
              <w:bottom w:w="28" w:type="dxa"/>
            </w:tcMar>
            <w:vAlign w:val="center"/>
          </w:tcPr>
          <w:p>
            <w:pPr>
              <w:pStyle w:val="TableContents"/>
              <w:bidi w:val="0"/>
              <w:spacing w:before="0" w:after="283"/>
              <w:jc w:val="left"/>
              <w:rPr/>
            </w:pPr>
            <w:r>
              <w:rPr/>
              <w:t>​</w:t>
            </w:r>
          </w:p>
        </w:tc>
        <w:tc>
          <w:tcPr>
            <w:tcW w:w="160" w:type="dxa"/>
            <w:tcBorders>
              <w:bottom w:val="single" w:sz="2" w:space="0" w:color="CBCAC8"/>
            </w:tcBorders>
            <w:tcMar>
              <w:bottom w:w="50" w:type="dxa"/>
            </w:tcMar>
            <w:vAlign w:val="center"/>
          </w:tcPr>
          <w:p>
            <w:pPr>
              <w:pStyle w:val="TableContents"/>
              <w:bidi w:val="0"/>
              <w:spacing w:before="0" w:after="283"/>
              <w:jc w:val="right"/>
              <w:rPr/>
            </w:pPr>
            <w:r>
              <w:rPr/>
              <w:t>​</w:t>
            </w:r>
          </w:p>
        </w:tc>
        <w:tc>
          <w:tcPr>
            <w:tcW w:w="690" w:type="dxa"/>
            <w:tcBorders>
              <w:bottom w:val="single" w:sz="2" w:space="0" w:color="CBCAC8"/>
            </w:tcBorders>
            <w:tcMar>
              <w:bottom w:w="50" w:type="dxa"/>
            </w:tcMar>
            <w:vAlign w:val="center"/>
          </w:tcPr>
          <w:p>
            <w:pPr>
              <w:pStyle w:val="TableContents"/>
              <w:bidi w:val="0"/>
              <w:spacing w:before="0" w:after="283"/>
              <w:jc w:val="right"/>
              <w:rPr/>
            </w:pPr>
            <w:r>
              <w:rPr/>
              <w:t>106%</w:t>
            </w:r>
          </w:p>
        </w:tc>
        <w:tc>
          <w:tcPr>
            <w:tcW w:w="163" w:type="dxa"/>
            <w:tcBorders>
              <w:bottom w:val="single" w:sz="2" w:space="0" w:color="CBCAC8"/>
            </w:tcBorders>
            <w:tcMar>
              <w:bottom w:w="28" w:type="dxa"/>
            </w:tcMar>
            <w:vAlign w:val="center"/>
          </w:tcPr>
          <w:p>
            <w:pPr>
              <w:pStyle w:val="TableContents"/>
              <w:bidi w:val="0"/>
              <w:spacing w:before="0" w:after="283"/>
              <w:jc w:val="left"/>
              <w:rPr/>
            </w:pPr>
            <w:r>
              <w:rPr/>
              <w:t>​</w:t>
            </w:r>
          </w:p>
        </w:tc>
        <w:tc>
          <w:tcPr>
            <w:tcW w:w="158"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625" w:type="dxa"/>
            <w:tcBorders>
              <w:bottom w:val="single" w:sz="2" w:space="0" w:color="CBCAC8"/>
            </w:tcBorders>
            <w:tcMar>
              <w:bottom w:w="50" w:type="dxa"/>
            </w:tcMar>
            <w:vAlign w:val="center"/>
          </w:tcPr>
          <w:p>
            <w:pPr>
              <w:pStyle w:val="TableContents"/>
              <w:bidi w:val="0"/>
              <w:spacing w:lineRule="atLeast" w:line="142" w:before="0" w:after="283"/>
              <w:jc w:val="left"/>
              <w:rPr/>
            </w:pPr>
            <w:r>
              <w:rPr>
                <w:spacing w:val="-2"/>
              </w:rPr>
              <w:t>MPC Earnings Before Taxes (MPC EBT) (GAAP)</w:t>
            </w:r>
            <w:r>
              <w:rPr>
                <w:b/>
                <w:spacing w:val="-2"/>
                <w:sz w:val="13"/>
              </w:rPr>
              <w:t>(1)</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341" w:type="dxa"/>
            <w:tcBorders>
              <w:bottom w:val="single" w:sz="2" w:space="0" w:color="CBCAC8"/>
            </w:tcBorders>
            <w:tcMar>
              <w:bottom w:w="50" w:type="dxa"/>
            </w:tcMar>
            <w:vAlign w:val="center"/>
          </w:tcPr>
          <w:p>
            <w:pPr>
              <w:pStyle w:val="TableContents"/>
              <w:bidi w:val="0"/>
              <w:spacing w:before="0" w:after="283"/>
              <w:jc w:val="right"/>
              <w:rPr/>
            </w:pPr>
            <w:r>
              <w:rPr/>
              <w:t xml:space="preserve">472,412,000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341" w:type="dxa"/>
            <w:tcBorders>
              <w:bottom w:val="single" w:sz="2" w:space="0" w:color="CBCAC8"/>
            </w:tcBorders>
            <w:tcMar>
              <w:bottom w:w="50" w:type="dxa"/>
            </w:tcMar>
            <w:vAlign w:val="center"/>
          </w:tcPr>
          <w:p>
            <w:pPr>
              <w:pStyle w:val="TableContents"/>
              <w:bidi w:val="0"/>
              <w:spacing w:before="0" w:after="283"/>
              <w:jc w:val="right"/>
              <w:rPr/>
            </w:pPr>
            <w:r>
              <w:rPr/>
              <w:t xml:space="preserve">476,102,000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60" w:type="dxa"/>
            <w:tcBorders>
              <w:bottom w:val="single" w:sz="2" w:space="0" w:color="CBCAC8"/>
            </w:tcBorders>
            <w:tcMar>
              <w:bottom w:w="28" w:type="dxa"/>
            </w:tcMar>
            <w:vAlign w:val="center"/>
          </w:tcPr>
          <w:p>
            <w:pPr>
              <w:pStyle w:val="TableContents"/>
              <w:bidi w:val="0"/>
              <w:spacing w:before="0" w:after="283"/>
              <w:jc w:val="left"/>
              <w:rPr/>
            </w:pPr>
            <w:r>
              <w:rPr/>
              <w:t>​</w:t>
            </w:r>
          </w:p>
        </w:tc>
        <w:tc>
          <w:tcPr>
            <w:tcW w:w="160" w:type="dxa"/>
            <w:tcBorders>
              <w:bottom w:val="single" w:sz="2" w:space="0" w:color="CBCAC8"/>
            </w:tcBorders>
            <w:tcMar>
              <w:bottom w:w="50" w:type="dxa"/>
            </w:tcMar>
            <w:vAlign w:val="center"/>
          </w:tcPr>
          <w:p>
            <w:pPr>
              <w:pStyle w:val="TableContents"/>
              <w:bidi w:val="0"/>
              <w:spacing w:before="0" w:after="283"/>
              <w:jc w:val="right"/>
              <w:rPr/>
            </w:pPr>
            <w:r>
              <w:rPr/>
              <w:t>​</w:t>
            </w:r>
          </w:p>
        </w:tc>
        <w:tc>
          <w:tcPr>
            <w:tcW w:w="690" w:type="dxa"/>
            <w:tcBorders>
              <w:bottom w:val="single" w:sz="2" w:space="0" w:color="CBCAC8"/>
            </w:tcBorders>
            <w:tcMar>
              <w:bottom w:w="50" w:type="dxa"/>
            </w:tcMar>
            <w:vAlign w:val="center"/>
          </w:tcPr>
          <w:p>
            <w:pPr>
              <w:pStyle w:val="TableContents"/>
              <w:bidi w:val="0"/>
              <w:spacing w:before="0" w:after="283"/>
              <w:jc w:val="right"/>
              <w:rPr/>
            </w:pPr>
            <w:r>
              <w:rPr/>
              <w:t>101%</w:t>
            </w:r>
          </w:p>
        </w:tc>
        <w:tc>
          <w:tcPr>
            <w:tcW w:w="163" w:type="dxa"/>
            <w:tcBorders>
              <w:bottom w:val="single" w:sz="2" w:space="0" w:color="CBCAC8"/>
            </w:tcBorders>
            <w:tcMar>
              <w:bottom w:w="28" w:type="dxa"/>
            </w:tcMar>
            <w:vAlign w:val="center"/>
          </w:tcPr>
          <w:p>
            <w:pPr>
              <w:pStyle w:val="TableContents"/>
              <w:bidi w:val="0"/>
              <w:spacing w:before="0" w:after="283"/>
              <w:jc w:val="left"/>
              <w:rPr/>
            </w:pPr>
            <w:r>
              <w:rPr/>
              <w:t>​</w:t>
            </w:r>
          </w:p>
        </w:tc>
        <w:tc>
          <w:tcPr>
            <w:tcW w:w="158"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625" w:type="dxa"/>
            <w:tcBorders>
              <w:bottom w:val="single" w:sz="2" w:space="0" w:color="CBCAC8"/>
            </w:tcBorders>
            <w:tcMar>
              <w:bottom w:w="50" w:type="dxa"/>
            </w:tcMar>
            <w:vAlign w:val="center"/>
          </w:tcPr>
          <w:p>
            <w:pPr>
              <w:pStyle w:val="TableContents"/>
              <w:bidi w:val="0"/>
              <w:spacing w:lineRule="atLeast" w:line="142" w:before="0" w:after="283"/>
              <w:jc w:val="left"/>
              <w:rPr/>
            </w:pPr>
            <w:r>
              <w:rPr>
                <w:spacing w:val="-2"/>
              </w:rPr>
              <w:t>Condominium Profit</w:t>
            </w:r>
            <w:r>
              <w:rPr>
                <w:b/>
                <w:spacing w:val="-2"/>
                <w:sz w:val="13"/>
              </w:rPr>
              <w:t>(1)</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341" w:type="dxa"/>
            <w:tcBorders>
              <w:bottom w:val="single" w:sz="2" w:space="0" w:color="CBCAC8"/>
            </w:tcBorders>
            <w:tcMar>
              <w:bottom w:w="50" w:type="dxa"/>
            </w:tcMar>
            <w:vAlign w:val="center"/>
          </w:tcPr>
          <w:p>
            <w:pPr>
              <w:pStyle w:val="TableContents"/>
              <w:bidi w:val="0"/>
              <w:spacing w:before="0" w:after="283"/>
              <w:jc w:val="right"/>
              <w:rPr/>
            </w:pPr>
            <w:r>
              <w:rPr/>
              <w:t xml:space="preserve">3,591,000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341" w:type="dxa"/>
            <w:tcBorders>
              <w:bottom w:val="single" w:sz="2" w:space="0" w:color="CBCAC8"/>
            </w:tcBorders>
            <w:tcMar>
              <w:bottom w:w="50" w:type="dxa"/>
            </w:tcMar>
            <w:vAlign w:val="center"/>
          </w:tcPr>
          <w:p>
            <w:pPr>
              <w:pStyle w:val="TableContents"/>
              <w:bidi w:val="0"/>
              <w:spacing w:before="0" w:after="283"/>
              <w:jc w:val="right"/>
              <w:rPr/>
            </w:pPr>
            <w:r>
              <w:rPr/>
              <w:t xml:space="preserve">4,662,000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60" w:type="dxa"/>
            <w:tcBorders>
              <w:bottom w:val="single" w:sz="2" w:space="0" w:color="CBCAC8"/>
            </w:tcBorders>
            <w:tcMar>
              <w:bottom w:w="28" w:type="dxa"/>
            </w:tcMar>
            <w:vAlign w:val="center"/>
          </w:tcPr>
          <w:p>
            <w:pPr>
              <w:pStyle w:val="TableContents"/>
              <w:bidi w:val="0"/>
              <w:spacing w:before="0" w:after="283"/>
              <w:jc w:val="left"/>
              <w:rPr/>
            </w:pPr>
            <w:r>
              <w:rPr/>
              <w:t>​</w:t>
            </w:r>
          </w:p>
        </w:tc>
        <w:tc>
          <w:tcPr>
            <w:tcW w:w="160" w:type="dxa"/>
            <w:tcBorders>
              <w:bottom w:val="single" w:sz="2" w:space="0" w:color="CBCAC8"/>
            </w:tcBorders>
            <w:tcMar>
              <w:bottom w:w="50" w:type="dxa"/>
            </w:tcMar>
            <w:vAlign w:val="center"/>
          </w:tcPr>
          <w:p>
            <w:pPr>
              <w:pStyle w:val="TableContents"/>
              <w:bidi w:val="0"/>
              <w:spacing w:before="0" w:after="283"/>
              <w:jc w:val="right"/>
              <w:rPr/>
            </w:pPr>
            <w:r>
              <w:rPr/>
              <w:t>​</w:t>
            </w:r>
          </w:p>
        </w:tc>
        <w:tc>
          <w:tcPr>
            <w:tcW w:w="690" w:type="dxa"/>
            <w:tcBorders>
              <w:bottom w:val="single" w:sz="2" w:space="0" w:color="CBCAC8"/>
            </w:tcBorders>
            <w:tcMar>
              <w:bottom w:w="50" w:type="dxa"/>
            </w:tcMar>
            <w:vAlign w:val="center"/>
          </w:tcPr>
          <w:p>
            <w:pPr>
              <w:pStyle w:val="TableContents"/>
              <w:bidi w:val="0"/>
              <w:spacing w:before="0" w:after="283"/>
              <w:jc w:val="right"/>
              <w:rPr/>
            </w:pPr>
            <w:r>
              <w:rPr/>
              <w:t>130%</w:t>
            </w:r>
          </w:p>
        </w:tc>
        <w:tc>
          <w:tcPr>
            <w:tcW w:w="163" w:type="dxa"/>
            <w:tcBorders>
              <w:bottom w:val="single" w:sz="2" w:space="0" w:color="CBCAC8"/>
            </w:tcBorders>
            <w:tcMar>
              <w:bottom w:w="28" w:type="dxa"/>
            </w:tcMar>
            <w:vAlign w:val="center"/>
          </w:tcPr>
          <w:p>
            <w:pPr>
              <w:pStyle w:val="TableContents"/>
              <w:bidi w:val="0"/>
              <w:spacing w:before="0" w:after="283"/>
              <w:jc w:val="left"/>
              <w:rPr/>
            </w:pPr>
            <w:r>
              <w:rPr/>
              <w:t>​</w:t>
            </w:r>
          </w:p>
        </w:tc>
        <w:tc>
          <w:tcPr>
            <w:tcW w:w="158" w:type="dxa"/>
            <w:tcBorders>
              <w:bottom w:val="single" w:sz="2" w:space="0" w:color="CBCAC8"/>
            </w:tcBorders>
            <w:tcMar>
              <w:bottom w:w="28" w:type="dxa"/>
            </w:tcMar>
            <w:vAlign w:val="center"/>
          </w:tcPr>
          <w:p>
            <w:pPr>
              <w:pStyle w:val="TableContents"/>
              <w:bidi w:val="0"/>
              <w:spacing w:before="0" w:after="283"/>
              <w:jc w:val="left"/>
              <w:rPr/>
            </w:pPr>
            <w:r>
              <w:rPr/>
              <w:t>​</w:t>
            </w:r>
          </w:p>
        </w:tc>
      </w:tr>
    </w:tbl>
    <w:tbl>
      <w:tblPr>
        <w:tblW w:w="9304" w:type="dxa"/>
        <w:jc w:val="left"/>
        <w:tblInd w:w="901" w:type="dxa"/>
        <w:tblLayout w:type="fixed"/>
        <w:tblCellMar>
          <w:top w:w="0" w:type="dxa"/>
          <w:left w:w="0" w:type="dxa"/>
          <w:bottom w:w="0" w:type="dxa"/>
          <w:right w:w="0" w:type="dxa"/>
        </w:tblCellMar>
      </w:tblPr>
      <w:tblGrid>
        <w:gridCol w:w="124"/>
        <w:gridCol w:w="3555"/>
        <w:gridCol w:w="109"/>
        <w:gridCol w:w="109"/>
        <w:gridCol w:w="109"/>
        <w:gridCol w:w="226"/>
        <w:gridCol w:w="1231"/>
        <w:gridCol w:w="109"/>
        <w:gridCol w:w="109"/>
        <w:gridCol w:w="109"/>
        <w:gridCol w:w="109"/>
        <w:gridCol w:w="226"/>
        <w:gridCol w:w="1231"/>
        <w:gridCol w:w="109"/>
        <w:gridCol w:w="109"/>
        <w:gridCol w:w="109"/>
        <w:gridCol w:w="236"/>
        <w:gridCol w:w="236"/>
        <w:gridCol w:w="754"/>
        <w:gridCol w:w="237"/>
        <w:gridCol w:w="158"/>
      </w:tblGrid>
      <w:tr>
        <w:trPr/>
        <w:tc>
          <w:tcPr>
            <w:tcW w:w="124" w:type="dxa"/>
            <w:tcBorders/>
            <w:shd w:fill="BAD8EA" w:val="clear"/>
            <w:vAlign w:val="center"/>
          </w:tcPr>
          <w:p>
            <w:pPr>
              <w:pStyle w:val="TableContents"/>
              <w:bidi w:val="0"/>
              <w:spacing w:before="0" w:after="283"/>
              <w:jc w:val="left"/>
              <w:rPr/>
            </w:pPr>
            <w:r>
              <w:rPr/>
              <w:t>​</w:t>
            </w:r>
          </w:p>
        </w:tc>
        <w:tc>
          <w:tcPr>
            <w:tcW w:w="3555" w:type="dxa"/>
            <w:tcBorders/>
            <w:shd w:fill="BAD8EA" w:val="clear"/>
            <w:vAlign w:val="center"/>
          </w:tcPr>
          <w:p>
            <w:pPr>
              <w:pStyle w:val="TableContents"/>
              <w:bidi w:val="0"/>
              <w:spacing w:before="0" w:after="0"/>
              <w:jc w:val="left"/>
              <w:rPr>
                <w:spacing w:val="0"/>
              </w:rPr>
            </w:pPr>
            <w:r>
              <w:rPr>
                <w:spacing w:val="0"/>
              </w:rPr>
              <w:t xml:space="preserve">Financial Metric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675" w:type="dxa"/>
            <w:gridSpan w:val="4"/>
            <w:tcBorders/>
            <w:shd w:fill="BAD8EA" w:val="clear"/>
            <w:vAlign w:val="center"/>
          </w:tcPr>
          <w:p>
            <w:pPr>
              <w:pStyle w:val="TableContents"/>
              <w:bidi w:val="0"/>
              <w:spacing w:before="0" w:after="0"/>
              <w:jc w:val="center"/>
              <w:rPr>
                <w:spacing w:val="0"/>
              </w:rPr>
            </w:pPr>
            <w:r>
              <w:rPr>
                <w:spacing w:val="0"/>
              </w:rPr>
              <w:t xml:space="preserve">Target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675" w:type="dxa"/>
            <w:gridSpan w:val="4"/>
            <w:tcBorders/>
            <w:shd w:fill="BAD8EA" w:val="clear"/>
            <w:vAlign w:val="center"/>
          </w:tcPr>
          <w:p>
            <w:pPr>
              <w:pStyle w:val="TableContents"/>
              <w:bidi w:val="0"/>
              <w:spacing w:before="0" w:after="0"/>
              <w:jc w:val="center"/>
              <w:rPr>
                <w:spacing w:val="0"/>
              </w:rPr>
            </w:pPr>
            <w:r>
              <w:rPr>
                <w:spacing w:val="0"/>
              </w:rPr>
              <w:t xml:space="preserve">Actual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463" w:type="dxa"/>
            <w:gridSpan w:val="4"/>
            <w:tcBorders/>
            <w:shd w:fill="BAD8EA" w:val="clear"/>
            <w:vAlign w:val="center"/>
          </w:tcPr>
          <w:p>
            <w:pPr>
              <w:pStyle w:val="TableContents"/>
              <w:bidi w:val="0"/>
              <w:spacing w:before="0" w:after="0"/>
              <w:jc w:val="center"/>
              <w:rPr/>
            </w:pPr>
            <w:r>
              <w:rPr>
                <w:spacing w:val="0"/>
              </w:rPr>
              <w:t>Favorable/</w:t>
            </w:r>
            <w:r>
              <w:rPr/>
              <w:t>​</w:t>
              <w:br/>
            </w:r>
            <w:r>
              <w:rPr>
                <w:spacing w:val="0"/>
              </w:rPr>
              <w:t xml:space="preserve">(Unfavorable) </w:t>
            </w:r>
          </w:p>
        </w:tc>
        <w:tc>
          <w:tcPr>
            <w:tcW w:w="158"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555" w:type="dxa"/>
            <w:tcBorders>
              <w:bottom w:val="single" w:sz="2" w:space="0" w:color="CBCAC8"/>
            </w:tcBorders>
            <w:tcMar>
              <w:bottom w:w="50" w:type="dxa"/>
            </w:tcMar>
            <w:vAlign w:val="center"/>
          </w:tcPr>
          <w:p>
            <w:pPr>
              <w:pStyle w:val="TableContents"/>
              <w:bidi w:val="0"/>
              <w:spacing w:lineRule="atLeast" w:line="142" w:before="0" w:after="283"/>
              <w:jc w:val="left"/>
              <w:rPr/>
            </w:pPr>
            <w:r>
              <w:rPr>
                <w:spacing w:val="-2"/>
              </w:rPr>
              <w:t>Achieve Budgeted Corporate Cash G&amp;A</w:t>
            </w:r>
            <w:r>
              <w:rPr>
                <w:b/>
                <w:spacing w:val="-2"/>
                <w:sz w:val="13"/>
              </w:rPr>
              <w:t>(1)(2)</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231" w:type="dxa"/>
            <w:tcBorders>
              <w:bottom w:val="single" w:sz="2" w:space="0" w:color="CBCAC8"/>
            </w:tcBorders>
            <w:tcMar>
              <w:bottom w:w="50" w:type="dxa"/>
            </w:tcMar>
            <w:vAlign w:val="center"/>
          </w:tcPr>
          <w:p>
            <w:pPr>
              <w:pStyle w:val="TableContents"/>
              <w:bidi w:val="0"/>
              <w:spacing w:before="0" w:after="283"/>
              <w:jc w:val="right"/>
              <w:rPr/>
            </w:pPr>
            <w:r>
              <w:rPr/>
              <w:t xml:space="preserve">81,340,000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231" w:type="dxa"/>
            <w:tcBorders>
              <w:bottom w:val="single" w:sz="2" w:space="0" w:color="CBCAC8"/>
            </w:tcBorders>
            <w:tcMar>
              <w:bottom w:w="50" w:type="dxa"/>
            </w:tcMar>
            <w:vAlign w:val="center"/>
          </w:tcPr>
          <w:p>
            <w:pPr>
              <w:pStyle w:val="TableContents"/>
              <w:bidi w:val="0"/>
              <w:spacing w:before="0" w:after="283"/>
              <w:jc w:val="right"/>
              <w:rPr/>
            </w:pPr>
            <w:r>
              <w:rPr/>
              <w:t xml:space="preserve">69,479,000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36" w:type="dxa"/>
            <w:tcBorders>
              <w:bottom w:val="single" w:sz="2" w:space="0" w:color="CBCAC8"/>
            </w:tcBorders>
            <w:tcMar>
              <w:bottom w:w="28" w:type="dxa"/>
            </w:tcMar>
            <w:vAlign w:val="center"/>
          </w:tcPr>
          <w:p>
            <w:pPr>
              <w:pStyle w:val="TableContents"/>
              <w:bidi w:val="0"/>
              <w:spacing w:before="0" w:after="283"/>
              <w:jc w:val="left"/>
              <w:rPr/>
            </w:pPr>
            <w:r>
              <w:rPr/>
              <w:t>​</w:t>
            </w:r>
          </w:p>
        </w:tc>
        <w:tc>
          <w:tcPr>
            <w:tcW w:w="236" w:type="dxa"/>
            <w:tcBorders>
              <w:bottom w:val="single" w:sz="2" w:space="0" w:color="CBCAC8"/>
            </w:tcBorders>
            <w:tcMar>
              <w:bottom w:w="50" w:type="dxa"/>
            </w:tcMar>
            <w:vAlign w:val="center"/>
          </w:tcPr>
          <w:p>
            <w:pPr>
              <w:pStyle w:val="TableContents"/>
              <w:bidi w:val="0"/>
              <w:spacing w:before="0" w:after="283"/>
              <w:jc w:val="right"/>
              <w:rPr/>
            </w:pPr>
            <w:r>
              <w:rPr/>
              <w:t>​</w:t>
            </w:r>
          </w:p>
        </w:tc>
        <w:tc>
          <w:tcPr>
            <w:tcW w:w="754" w:type="dxa"/>
            <w:tcBorders>
              <w:bottom w:val="single" w:sz="2" w:space="0" w:color="CBCAC8"/>
            </w:tcBorders>
            <w:tcMar>
              <w:bottom w:w="50" w:type="dxa"/>
            </w:tcMar>
            <w:vAlign w:val="center"/>
          </w:tcPr>
          <w:p>
            <w:pPr>
              <w:pStyle w:val="TableContents"/>
              <w:bidi w:val="0"/>
              <w:spacing w:before="0" w:after="283"/>
              <w:jc w:val="right"/>
              <w:rPr/>
            </w:pPr>
            <w:r>
              <w:rPr/>
              <w:t>15%</w:t>
            </w:r>
          </w:p>
        </w:tc>
        <w:tc>
          <w:tcPr>
            <w:tcW w:w="237" w:type="dxa"/>
            <w:tcBorders>
              <w:bottom w:val="single" w:sz="2" w:space="0" w:color="CBCAC8"/>
            </w:tcBorders>
            <w:tcMar>
              <w:bottom w:w="28" w:type="dxa"/>
            </w:tcMar>
            <w:vAlign w:val="center"/>
          </w:tcPr>
          <w:p>
            <w:pPr>
              <w:pStyle w:val="TableContents"/>
              <w:bidi w:val="0"/>
              <w:spacing w:before="0" w:after="283"/>
              <w:jc w:val="left"/>
              <w:rPr/>
            </w:pPr>
            <w:r>
              <w:rPr/>
              <w:t>​</w:t>
            </w:r>
          </w:p>
        </w:tc>
        <w:tc>
          <w:tcPr>
            <w:tcW w:w="158" w:type="dxa"/>
            <w:tcBorders>
              <w:bottom w:val="single" w:sz="2" w:space="0" w:color="CBCAC8"/>
            </w:tcBorders>
            <w:tcMar>
              <w:bottom w:w="28" w:type="dxa"/>
            </w:tcMar>
            <w:vAlign w:val="center"/>
          </w:tcPr>
          <w:p>
            <w:pPr>
              <w:pStyle w:val="TableContents"/>
              <w:bidi w:val="0"/>
              <w:spacing w:before="0" w:after="283"/>
              <w:jc w:val="left"/>
              <w:rPr/>
            </w:pPr>
            <w:r>
              <w:rPr/>
              <w:t>​</w:t>
            </w:r>
          </w:p>
        </w:tc>
      </w:tr>
    </w:tbl>
    <w:tbl>
      <w:tblPr>
        <w:tblW w:w="9304" w:type="dxa"/>
        <w:jc w:val="left"/>
        <w:tblInd w:w="901" w:type="dxa"/>
        <w:tblLayout w:type="fixed"/>
        <w:tblCellMar>
          <w:top w:w="0" w:type="dxa"/>
          <w:left w:w="0" w:type="dxa"/>
          <w:bottom w:w="0" w:type="dxa"/>
          <w:right w:w="0" w:type="dxa"/>
        </w:tblCellMar>
      </w:tblPr>
      <w:tblGrid>
        <w:gridCol w:w="124"/>
        <w:gridCol w:w="2129"/>
        <w:gridCol w:w="109"/>
        <w:gridCol w:w="109"/>
        <w:gridCol w:w="5313"/>
        <w:gridCol w:w="109"/>
        <w:gridCol w:w="109"/>
        <w:gridCol w:w="1146"/>
        <w:gridCol w:w="156"/>
      </w:tblGrid>
      <w:tr>
        <w:trPr/>
        <w:tc>
          <w:tcPr>
            <w:tcW w:w="124" w:type="dxa"/>
            <w:tcBorders/>
            <w:shd w:fill="BAD8EA" w:val="clear"/>
            <w:vAlign w:val="center"/>
          </w:tcPr>
          <w:p>
            <w:pPr>
              <w:pStyle w:val="TableContents"/>
              <w:bidi w:val="0"/>
              <w:spacing w:before="0" w:after="283"/>
              <w:jc w:val="left"/>
              <w:rPr/>
            </w:pPr>
            <w:r>
              <w:rPr/>
              <w:t>​</w:t>
            </w:r>
          </w:p>
        </w:tc>
        <w:tc>
          <w:tcPr>
            <w:tcW w:w="2129" w:type="dxa"/>
            <w:tcBorders/>
            <w:shd w:fill="BAD8EA" w:val="clear"/>
            <w:vAlign w:val="center"/>
          </w:tcPr>
          <w:p>
            <w:pPr>
              <w:pStyle w:val="TableContents"/>
              <w:bidi w:val="0"/>
              <w:spacing w:before="0" w:after="0"/>
              <w:jc w:val="left"/>
              <w:rPr>
                <w:spacing w:val="0"/>
              </w:rPr>
            </w:pPr>
            <w:r>
              <w:rPr>
                <w:spacing w:val="0"/>
              </w:rPr>
              <w:t xml:space="preserve">Strategic Goals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5313" w:type="dxa"/>
            <w:tcBorders/>
            <w:shd w:fill="BAD8EA" w:val="clear"/>
            <w:vAlign w:val="center"/>
          </w:tcPr>
          <w:p>
            <w:pPr>
              <w:pStyle w:val="TableContents"/>
              <w:bidi w:val="0"/>
              <w:spacing w:before="0" w:after="0"/>
              <w:jc w:val="center"/>
              <w:rPr>
                <w:spacing w:val="0"/>
              </w:rPr>
            </w:pPr>
            <w:r>
              <w:rPr>
                <w:spacing w:val="0"/>
              </w:rPr>
              <w:t xml:space="preserve">Actual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146" w:type="dxa"/>
            <w:tcBorders/>
            <w:shd w:fill="BAD8EA" w:val="clear"/>
            <w:vAlign w:val="center"/>
          </w:tcPr>
          <w:p>
            <w:pPr>
              <w:pStyle w:val="TableContents"/>
              <w:bidi w:val="0"/>
              <w:spacing w:before="0" w:after="0"/>
              <w:jc w:val="center"/>
              <w:rPr>
                <w:spacing w:val="0"/>
              </w:rPr>
            </w:pPr>
            <w:r>
              <w:rPr>
                <w:spacing w:val="0"/>
              </w:rPr>
              <w:t xml:space="preserve">Percentage </w:t>
              <w:br/>
              <w:t xml:space="preserve">Achieved </w:t>
            </w:r>
          </w:p>
        </w:tc>
        <w:tc>
          <w:tcPr>
            <w:tcW w:w="156"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129" w:type="dxa"/>
            <w:tcBorders>
              <w:bottom w:val="single" w:sz="2" w:space="0" w:color="CBCAC8"/>
            </w:tcBorders>
            <w:tcMar>
              <w:bottom w:w="37" w:type="dxa"/>
            </w:tcMar>
            <w:vAlign w:val="center"/>
          </w:tcPr>
          <w:p>
            <w:pPr>
              <w:pStyle w:val="TableContents"/>
              <w:bidi w:val="0"/>
              <w:spacing w:before="0" w:after="283"/>
              <w:jc w:val="left"/>
              <w:rPr>
                <w:spacing w:val="-2"/>
              </w:rPr>
            </w:pPr>
            <w:r>
              <w:rPr>
                <w:spacing w:val="-2"/>
              </w:rPr>
              <w:t xml:space="preserve">Delivery of strategic developments on-time and on-budget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5313" w:type="dxa"/>
            <w:tcBorders>
              <w:bottom w:val="single" w:sz="2" w:space="0" w:color="CBCAC8"/>
            </w:tcBorders>
            <w:tcMar>
              <w:bottom w:w="37" w:type="dxa"/>
            </w:tcMar>
            <w:vAlign w:val="center"/>
          </w:tcPr>
          <w:p>
            <w:pPr>
              <w:pStyle w:val="TableContents"/>
              <w:bidi w:val="0"/>
              <w:spacing w:before="0" w:after="283"/>
              <w:jc w:val="left"/>
              <w:rPr>
                <w:spacing w:val="-2"/>
              </w:rPr>
            </w:pPr>
            <w:r>
              <w:rPr>
                <w:spacing w:val="-2"/>
              </w:rPr>
              <w:t xml:space="preserve">Completed and delivered five new development projects in 2025, including 1 Riva Row, the Grogan’s Mill redevelopment, One Bridgeland Green, Village Green at Bridgeland Central, and the Ulana condominium tower in Ward Village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46" w:type="dxa"/>
            <w:tcBorders>
              <w:bottom w:val="single" w:sz="2" w:space="0" w:color="CBCAC8"/>
            </w:tcBorders>
            <w:tcMar>
              <w:bottom w:w="37" w:type="dxa"/>
            </w:tcMar>
            <w:vAlign w:val="center"/>
          </w:tcPr>
          <w:p>
            <w:pPr>
              <w:pStyle w:val="TableContents"/>
              <w:bidi w:val="0"/>
              <w:spacing w:before="0" w:after="283"/>
              <w:jc w:val="left"/>
              <w:rPr>
                <w:spacing w:val="-2"/>
              </w:rPr>
            </w:pPr>
            <w:r>
              <w:rPr>
                <w:spacing w:val="-2"/>
              </w:rPr>
              <w:t xml:space="preserve">110% </w:t>
            </w:r>
          </w:p>
        </w:tc>
        <w:tc>
          <w:tcPr>
            <w:tcW w:w="156"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129" w:type="dxa"/>
            <w:tcBorders>
              <w:bottom w:val="single" w:sz="2" w:space="0" w:color="CBCAC8"/>
            </w:tcBorders>
            <w:tcMar>
              <w:bottom w:w="37" w:type="dxa"/>
            </w:tcMar>
            <w:vAlign w:val="center"/>
          </w:tcPr>
          <w:p>
            <w:pPr>
              <w:pStyle w:val="TableContents"/>
              <w:bidi w:val="0"/>
              <w:spacing w:before="0" w:after="283"/>
              <w:jc w:val="left"/>
              <w:rPr>
                <w:spacing w:val="-2"/>
              </w:rPr>
            </w:pPr>
            <w:r>
              <w:rPr>
                <w:spacing w:val="-2"/>
              </w:rPr>
              <w:t xml:space="preserve">Acceleration of the Pre-Development Process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5313" w:type="dxa"/>
            <w:tcBorders>
              <w:bottom w:val="single" w:sz="2" w:space="0" w:color="CBCAC8"/>
            </w:tcBorders>
            <w:tcMar>
              <w:bottom w:w="37" w:type="dxa"/>
            </w:tcMar>
            <w:vAlign w:val="center"/>
          </w:tcPr>
          <w:p>
            <w:pPr>
              <w:pStyle w:val="TableContents"/>
              <w:bidi w:val="0"/>
              <w:spacing w:before="0" w:after="283"/>
              <w:jc w:val="left"/>
              <w:rPr>
                <w:spacing w:val="-2"/>
              </w:rPr>
            </w:pPr>
            <w:r>
              <w:rPr>
                <w:spacing w:val="-2"/>
              </w:rPr>
              <w:t xml:space="preserve">Restructured processes for Capital Allocations Committee (CAC) and expedited and consistent design review. Out of seven projects in pre-development, six met or exceeded their milestone targets, with only one project being placed on hold for re-evaluation based on market conditions.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46" w:type="dxa"/>
            <w:tcBorders>
              <w:bottom w:val="single" w:sz="2" w:space="0" w:color="CBCAC8"/>
            </w:tcBorders>
            <w:tcMar>
              <w:bottom w:w="37" w:type="dxa"/>
            </w:tcMar>
            <w:vAlign w:val="center"/>
          </w:tcPr>
          <w:p>
            <w:pPr>
              <w:pStyle w:val="TableContents"/>
              <w:bidi w:val="0"/>
              <w:spacing w:before="0" w:after="283"/>
              <w:jc w:val="left"/>
              <w:rPr>
                <w:spacing w:val="-2"/>
              </w:rPr>
            </w:pPr>
            <w:r>
              <w:rPr>
                <w:spacing w:val="-2"/>
              </w:rPr>
              <w:t xml:space="preserve">110% </w:t>
            </w:r>
          </w:p>
        </w:tc>
        <w:tc>
          <w:tcPr>
            <w:tcW w:w="156"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129" w:type="dxa"/>
            <w:tcBorders>
              <w:bottom w:val="single" w:sz="2" w:space="0" w:color="CBCAC8"/>
            </w:tcBorders>
            <w:tcMar>
              <w:bottom w:w="80" w:type="dxa"/>
            </w:tcMar>
            <w:vAlign w:val="center"/>
          </w:tcPr>
          <w:p>
            <w:pPr>
              <w:pStyle w:val="TableContents"/>
              <w:bidi w:val="0"/>
              <w:spacing w:before="0" w:after="283"/>
              <w:jc w:val="left"/>
              <w:rPr>
                <w:spacing w:val="-2"/>
              </w:rPr>
            </w:pPr>
            <w:r>
              <w:rPr>
                <w:spacing w:val="-2"/>
              </w:rPr>
              <w:t xml:space="preserve">Continued improvement of sustainability and social metrics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5313" w:type="dxa"/>
            <w:tcBorders>
              <w:bottom w:val="single" w:sz="2" w:space="0" w:color="CBCAC8"/>
            </w:tcBorders>
            <w:tcMar>
              <w:bottom w:w="80" w:type="dxa"/>
            </w:tcMar>
            <w:vAlign w:val="center"/>
          </w:tcPr>
          <w:p>
            <w:pPr>
              <w:pStyle w:val="TableContents"/>
              <w:bidi w:val="0"/>
              <w:spacing w:before="0" w:after="283"/>
              <w:jc w:val="left"/>
              <w:rPr>
                <w:spacing w:val="-2"/>
              </w:rPr>
            </w:pPr>
            <w:r>
              <w:rPr>
                <w:spacing w:val="-2"/>
              </w:rPr>
              <w:t xml:space="preserve">Reduced emissions by 10% year-over-year, keeping us on track to achieve our target of reducing Scope 1 and 2 emissions by 46.2% by 2030; achieved a GRESB score of 86, ranking first in peer group; achieved or on target to achieve LEED Gold status on 4 of 8 ground-up development projects; achieved ENERGY STAR certification on 25% of our Operating Asset portfolio, meeting target for the year.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46" w:type="dxa"/>
            <w:tcBorders>
              <w:bottom w:val="single" w:sz="2" w:space="0" w:color="CBCAC8"/>
            </w:tcBorders>
            <w:tcMar>
              <w:bottom w:w="80" w:type="dxa"/>
            </w:tcMar>
            <w:vAlign w:val="center"/>
          </w:tcPr>
          <w:p>
            <w:pPr>
              <w:pStyle w:val="TableContents"/>
              <w:bidi w:val="0"/>
              <w:spacing w:before="0" w:after="283"/>
              <w:jc w:val="left"/>
              <w:rPr/>
            </w:pPr>
            <w:r>
              <w:rPr>
                <w:spacing w:val="-2"/>
              </w:rPr>
              <w:t>110%</w:t>
            </w:r>
            <w:r>
              <w:rPr/>
              <w:t xml:space="preserve"> </w:t>
            </w:r>
          </w:p>
        </w:tc>
        <w:tc>
          <w:tcPr>
            <w:tcW w:w="156" w:type="dxa"/>
            <w:tcBorders>
              <w:bottom w:val="single" w:sz="2" w:space="0" w:color="CBCAC8"/>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4" w:after="0"/>
        <w:ind w:left="1301"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Annex A includes: (i) our Segment Operating Results as reported in our Form 10-K for fiscal 2025; (ii) a reconciliation of </w:t>
      </w:r>
      <w:r>
        <mc:AlternateContent>
          <mc:Choice Requires="wps">
            <w:drawing>
              <wp:anchor behindDoc="0" distT="78740" distB="0" distL="0" distR="0" simplePos="0" locked="0" layoutInCell="1" allowOverlap="1" relativeHeight="533">
                <wp:simplePos x="0" y="0"/>
                <wp:positionH relativeFrom="column">
                  <wp:align>left</wp:align>
                </wp:positionH>
                <wp:positionV relativeFrom="line">
                  <wp:align>top</wp:align>
                </wp:positionV>
                <wp:extent cx="254000" cy="279400"/>
                <wp:effectExtent l="0" t="0" r="0" b="0"/>
                <wp:wrapSquare wrapText="right"/>
                <wp:docPr id="546" name="Frame417"/>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(1)</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66 \ 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Compensation Discussion and Analysis</w:t>
      </w:r>
      <w:r>
        <w:rPr>
          <w:rFonts w:ascii="Arial;Helvetica;sans-serif" w:hAnsi="Arial;Helvetica;sans-serif"/>
          <w:b/>
          <w:i w:val="false"/>
          <w:caps w:val="false"/>
          <w:smallCaps w:val="false"/>
          <w:color w:val="7F7F7F"/>
          <w:sz w:val="22"/>
        </w:rPr>
        <w:t>​</w:t>
      </w:r>
    </w:p>
    <w:p>
      <w:pPr>
        <w:pStyle w:val="TextBody"/>
        <w:bidi w:val="0"/>
        <w:spacing w:lineRule="atLeast" w:line="210" w:before="120" w:after="283"/>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Operating Assets segment EBT to Operating Assets NOI as reported in our Form 10-K for fiscal 2025; (iii) Condominium Gross Profit; and (iv) Corporate Cash G&amp;A.</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Committee chose these measures because it believes that they motivate our NEOs to drive Company growth and to execute our business plan. For purposes of our 2025 annual incentive program, the Compensation Committee began with the Company’s reported GAAP results and the non-GAAP measures we disclose in our periodic reports, including Operating Assets NOI, MPC EBT, condominium gross profit and Cash G&amp;A. To better align the compensation metrics with the Board-approved budget and underlying operating performance, the Compensation Committee then applied limited, defined adjustments. For 2025, Cash G&amp;A was adjusted to exclude Pershing Square fees, Vantage acquisition costs, and severance costs associated with headcount reductions. Condominium gross profit was adjusted to reflect the timing of closings for the final Victoria Place units by adding back $3.9 million of profit recognized in 2024 to align with the 2025 budget. In addition, the Operating Assets NOI and MPC EBT measures used by the Committee were based on internal results available prior to finalization of the audited financial statements; the final audited amounts differed only by immaterial amounts and did not affect payout decisions.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With respect to performance for fiscal 2025, the Compensation Committee considered that MPC EBT performance was exceptional, achieving approximately 101% of the goal for 2025, and that the Operating Assets NOI goal achieved 106% of the goal for 2025. The Compensation Committee also noted that the Company achieved 130% of the 2025 goal for Condominium Profit. With respect to budgeted corporate cash G&amp;A, the result (15% favorable) was also excellent and reflected management’s continued successful efforts to monitor costs across the Company. The Compensation Committee also considered the “Key 2025 Performance Achievements” for each of our NEOs set forth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Therefore, the Compensation Committee believed it was appropriate to award: (i) Mr. O’Reilly an annual incentive award equal to 120% of his target bonus opportunity; (ii) Mr. Olea an annual incentive award equal to 120% of his target bonus opportunity; and (iii) Mr. Valane an annual incentive award equal to 120% of his target bonus opportunity. Accordingly, for fiscal 2025 performance: Mr. O’Reilly received an annual cash bonus of $2,100,000; Mr. Olea received an annual cash bonus of $990,000; and Mr. Valane received an annual cash bonus of $600,000.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40" w:before="240" w:after="283"/>
        <w:jc w:val="left"/>
        <w:rPr>
          <w:rFonts w:ascii="Arial;Helvetica;sans-serif" w:hAnsi="Arial;Helvetica;sans-serif"/>
          <w:b/>
          <w:i w:val="false"/>
          <w:caps w:val="false"/>
          <w:smallCaps w:val="false"/>
          <w:color w:val="7F7F7F"/>
          <w:sz w:val="30"/>
        </w:rPr>
      </w:pPr>
      <w:r>
        <w:rPr>
          <w:rFonts w:ascii="Arial;Helvetica;sans-serif" w:hAnsi="Arial;Helvetica;sans-serif"/>
          <w:b/>
          <w:i w:val="false"/>
          <w:caps w:val="false"/>
          <w:smallCaps w:val="false"/>
          <w:color w:val="7F7F7F"/>
          <w:spacing w:val="-1"/>
          <w:sz w:val="30"/>
        </w:rPr>
        <w:t>Doug Johnstone</w:t>
      </w:r>
      <w:r>
        <w:rPr>
          <w:rFonts w:ascii="Arial;Helvetica;sans-serif" w:hAnsi="Arial;Helvetica;sans-serif"/>
          <w:b/>
          <w:i w:val="false"/>
          <w:caps w:val="false"/>
          <w:smallCaps w:val="false"/>
          <w:color w:val="7F7F7F"/>
          <w:spacing w:val="-4"/>
          <w:sz w:val="30"/>
        </w:rPr>
        <w:t> – </w:t>
      </w:r>
      <w:r>
        <w:rPr>
          <w:rFonts w:ascii="Arial;Helvetica;sans-serif" w:hAnsi="Arial;Helvetica;sans-serif"/>
          <w:b/>
          <w:i w:val="false"/>
          <w:caps w:val="false"/>
          <w:smallCaps w:val="false"/>
          <w:color w:val="7F7F7F"/>
          <w:spacing w:val="-1"/>
          <w:sz w:val="30"/>
        </w:rPr>
        <w:t>2025 Annual Incentive</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Johnstone does not participate in the same annual cash bonus program as described above. Instead, Mr. Johnstone participates in the Company’s general annual incentive plan in which all corporate employees (other than the other NEOs) are eligible. Annual cash bonuses under that general program are recommended by the CEO based on evaluation of objective and subjective measures and approved by the Compensation Committee. For performance in fiscal 2025, Mr. Johnstone received an annual incentive award equal to 109% of his target amount for his fiscal 2025 performance. Accordingly, Mr. Johnstone received an annual cash bonus of $625,000. This amount is reflected in the “Bonus” column of the “Summary Compensation Table”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40" w:before="240" w:after="283"/>
        <w:jc w:val="left"/>
        <w:rPr>
          <w:rFonts w:ascii="Arial;Helvetica;sans-serif" w:hAnsi="Arial;Helvetica;sans-serif"/>
          <w:b/>
          <w:i w:val="false"/>
          <w:caps w:val="false"/>
          <w:smallCaps w:val="false"/>
          <w:color w:val="7F7F7F"/>
          <w:sz w:val="30"/>
        </w:rPr>
      </w:pPr>
      <w:r>
        <w:rPr>
          <w:rFonts w:ascii="Arial;Helvetica;sans-serif" w:hAnsi="Arial;Helvetica;sans-serif"/>
          <w:b/>
          <w:i w:val="false"/>
          <w:caps w:val="false"/>
          <w:smallCaps w:val="false"/>
          <w:color w:val="7F7F7F"/>
          <w:spacing w:val="-1"/>
          <w:sz w:val="30"/>
        </w:rPr>
        <w:t>Andrew Davis</w:t>
      </w:r>
      <w:r>
        <w:rPr>
          <w:rFonts w:ascii="Arial;Helvetica;sans-serif" w:hAnsi="Arial;Helvetica;sans-serif"/>
          <w:b/>
          <w:i w:val="false"/>
          <w:caps w:val="false"/>
          <w:smallCaps w:val="false"/>
          <w:color w:val="7F7F7F"/>
          <w:spacing w:val="-4"/>
          <w:sz w:val="30"/>
        </w:rPr>
        <w:t> – </w:t>
      </w:r>
      <w:r>
        <w:rPr>
          <w:rFonts w:ascii="Arial;Helvetica;sans-serif" w:hAnsi="Arial;Helvetica;sans-serif"/>
          <w:b/>
          <w:i w:val="false"/>
          <w:caps w:val="false"/>
          <w:smallCaps w:val="false"/>
          <w:color w:val="7F7F7F"/>
          <w:spacing w:val="-1"/>
          <w:sz w:val="30"/>
        </w:rPr>
        <w:t>2025 Annual Incentive</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Davis does not participate in the same annual cash bonus program as described above. Instead, Mr. Davis participates in the Company’s general annual incentive plan in which all corporate employees (other than the other NEOs) are eligible. Annual cash bonuses under that general program are recommended by the CEO based on evaluation of objective and subjective measures and approved by the Compensation Committee. For performance in fiscal 2025, Mr. Davis received an annual incentive award equal to 100% of his target amount for his fiscal 2025 performance. Accordingly, Mr. Davis received an annual cash bonus of $625,000. This amount is reflected in the “Bonus” column of the “Summary Compensation Table”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2E2925"/>
          <w:sz w:val="20"/>
        </w:rPr>
      </w:pPr>
      <w:r>
        <w:rPr>
          <w:rFonts w:ascii="Arial;Helvetica;sans-serif" w:hAnsi="Arial;Helvetica;sans-serif"/>
          <w:b/>
          <w:i w:val="false"/>
          <w:caps/>
          <w:color w:val="2E2925"/>
          <w:spacing w:val="-3"/>
          <w:sz w:val="20"/>
        </w:rPr>
        <w:t>LONG-TERM EQUITY INCENTIVES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long-term equity incentive program is designed to attract, retain and motivate officers, employees, non-employee directors and consultants of the Company and its subsidiaries, as well as promote the success of the Company’s business by providing participants with appropriate incentives. The table below provides a breakdown of restricted stock awards granted to Messrs. O’Reilly, Cross, Olea, Valane, Davis and Johnstone in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/ 67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Compensation Discussion and Analysis</w:t>
      </w:r>
      <w:r>
        <w:rPr>
          <w:rFonts w:ascii="Arial;Helvetica;sans-serif" w:hAnsi="Arial;Helvetica;sans-serif"/>
          <w:b/>
          <w:i w:val="false"/>
          <w:caps w:val="false"/>
          <w:smallCaps w:val="false"/>
          <w:color w:val="7F7F7F"/>
          <w:spacing w:val="-3"/>
          <w:sz w:val="22"/>
        </w:rPr>
        <w:t xml:space="preserve"> </w:t>
      </w:r>
    </w:p>
    <w:tbl>
      <w:tblPr>
        <w:tblW w:w="8119" w:type="dxa"/>
        <w:jc w:val="left"/>
        <w:tblInd w:w="901" w:type="dxa"/>
        <w:tblLayout w:type="fixed"/>
        <w:tblCellMar>
          <w:top w:w="0" w:type="dxa"/>
          <w:left w:w="0" w:type="dxa"/>
          <w:bottom w:w="0" w:type="dxa"/>
          <w:right w:w="0" w:type="dxa"/>
        </w:tblCellMar>
      </w:tblPr>
      <w:tblGrid>
        <w:gridCol w:w="124"/>
        <w:gridCol w:w="3217"/>
        <w:gridCol w:w="109"/>
        <w:gridCol w:w="109"/>
        <w:gridCol w:w="142"/>
        <w:gridCol w:w="142"/>
        <w:gridCol w:w="1009"/>
        <w:gridCol w:w="146"/>
        <w:gridCol w:w="109"/>
        <w:gridCol w:w="109"/>
        <w:gridCol w:w="143"/>
        <w:gridCol w:w="143"/>
        <w:gridCol w:w="1009"/>
        <w:gridCol w:w="143"/>
        <w:gridCol w:w="109"/>
        <w:gridCol w:w="109"/>
        <w:gridCol w:w="109"/>
        <w:gridCol w:w="109"/>
        <w:gridCol w:w="766"/>
        <w:gridCol w:w="109"/>
        <w:gridCol w:w="154"/>
      </w:tblGrid>
      <w:tr>
        <w:trPr/>
        <w:tc>
          <w:tcPr>
            <w:tcW w:w="124" w:type="dxa"/>
            <w:tcBorders/>
            <w:shd w:fill="BAD8EA" w:val="clear"/>
            <w:vAlign w:val="center"/>
          </w:tcPr>
          <w:p>
            <w:pPr>
              <w:pStyle w:val="TableContents"/>
              <w:bidi w:val="0"/>
              <w:spacing w:before="0" w:after="283"/>
              <w:jc w:val="left"/>
              <w:rPr/>
            </w:pPr>
            <w:r>
              <w:rPr/>
              <w:t>​</w:t>
            </w:r>
          </w:p>
        </w:tc>
        <w:tc>
          <w:tcPr>
            <w:tcW w:w="3217" w:type="dxa"/>
            <w:tcBorders/>
            <w:shd w:fill="BAD8EA" w:val="clear"/>
            <w:vAlign w:val="center"/>
          </w:tcPr>
          <w:p>
            <w:pPr>
              <w:pStyle w:val="TableContents"/>
              <w:bidi w:val="0"/>
              <w:spacing w:before="0" w:after="0"/>
              <w:jc w:val="left"/>
              <w:rPr>
                <w:spacing w:val="0"/>
              </w:rPr>
            </w:pPr>
            <w:r>
              <w:rPr>
                <w:spacing w:val="0"/>
              </w:rPr>
              <w:t xml:space="preserve">Name of Executive Officer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439" w:type="dxa"/>
            <w:gridSpan w:val="4"/>
            <w:tcBorders/>
            <w:shd w:fill="BAD8EA" w:val="clear"/>
            <w:vAlign w:val="center"/>
          </w:tcPr>
          <w:p>
            <w:pPr>
              <w:pStyle w:val="TableContents"/>
              <w:bidi w:val="0"/>
              <w:spacing w:lineRule="atLeast" w:line="202" w:before="0" w:after="0"/>
              <w:jc w:val="center"/>
              <w:rPr/>
            </w:pPr>
            <w:r>
              <w:rPr>
                <w:spacing w:val="0"/>
              </w:rPr>
              <w:t xml:space="preserve">Performance- </w:t>
              <w:br/>
              <w:t>Based Shares</w:t>
            </w:r>
            <w:r>
              <w:rPr/>
              <w:t xml:space="preserve"> </w:t>
              <w:br/>
            </w:r>
            <w:r>
              <w:rPr>
                <w:spacing w:val="-2"/>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438" w:type="dxa"/>
            <w:gridSpan w:val="4"/>
            <w:tcBorders/>
            <w:shd w:fill="BAD8EA" w:val="clear"/>
            <w:vAlign w:val="center"/>
          </w:tcPr>
          <w:p>
            <w:pPr>
              <w:pStyle w:val="TableContents"/>
              <w:bidi w:val="0"/>
              <w:spacing w:lineRule="atLeast" w:line="202" w:before="0" w:after="0"/>
              <w:jc w:val="center"/>
              <w:rPr/>
            </w:pPr>
            <w:r>
              <w:rPr>
                <w:spacing w:val="0"/>
              </w:rPr>
              <w:t xml:space="preserve">Time- </w:t>
              <w:br/>
              <w:t>Based Shares</w:t>
            </w:r>
            <w:r>
              <w:rPr/>
              <w:t xml:space="preserve"> </w:t>
              <w:br/>
            </w:r>
            <w:r>
              <w:rPr>
                <w:spacing w:val="-2"/>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3" w:type="dxa"/>
            <w:gridSpan w:val="4"/>
            <w:tcBorders/>
            <w:shd w:fill="BAD8EA" w:val="clear"/>
            <w:vAlign w:val="center"/>
          </w:tcPr>
          <w:p>
            <w:pPr>
              <w:pStyle w:val="TableContents"/>
              <w:bidi w:val="0"/>
              <w:spacing w:before="0" w:after="0"/>
              <w:jc w:val="center"/>
              <w:rPr/>
            </w:pPr>
            <w:r>
              <w:rPr>
                <w:spacing w:val="0"/>
              </w:rPr>
              <w:t>Total</w:t>
            </w:r>
            <w:r>
              <w:rPr/>
              <w:t xml:space="preserve"> </w:t>
              <w:br/>
            </w:r>
            <w:r>
              <w:rPr>
                <w:spacing w:val="-2"/>
              </w:rPr>
              <w:t xml:space="preserve">(#) </w:t>
            </w:r>
          </w:p>
        </w:tc>
        <w:tc>
          <w:tcPr>
            <w:tcW w:w="154"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217" w:type="dxa"/>
            <w:tcBorders>
              <w:bottom w:val="single" w:sz="2" w:space="0" w:color="CBCAC8"/>
            </w:tcBorders>
            <w:tcMar>
              <w:bottom w:w="50" w:type="dxa"/>
            </w:tcMar>
            <w:vAlign w:val="center"/>
          </w:tcPr>
          <w:p>
            <w:pPr>
              <w:pStyle w:val="TableContents"/>
              <w:bidi w:val="0"/>
              <w:spacing w:before="0" w:after="283"/>
              <w:jc w:val="left"/>
              <w:rPr/>
            </w:pPr>
            <w:r>
              <w:rPr>
                <w:spacing w:val="-2"/>
              </w:rPr>
              <w:t>David O’Reilly (</w:t>
            </w:r>
            <w:r>
              <w:rPr>
                <w:i/>
              </w:rPr>
              <w:t>Annual Grant</w:t>
            </w:r>
            <w:r>
              <w:rPr>
                <w:spacing w:val="-2"/>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2" w:type="dxa"/>
            <w:tcBorders>
              <w:bottom w:val="single" w:sz="2" w:space="0" w:color="CBCAC8"/>
            </w:tcBorders>
            <w:tcMar>
              <w:bottom w:w="28" w:type="dxa"/>
            </w:tcMar>
            <w:vAlign w:val="center"/>
          </w:tcPr>
          <w:p>
            <w:pPr>
              <w:pStyle w:val="TableContents"/>
              <w:bidi w:val="0"/>
              <w:spacing w:before="0" w:after="283"/>
              <w:jc w:val="left"/>
              <w:rPr/>
            </w:pPr>
            <w:r>
              <w:rPr/>
              <w:t>​</w:t>
            </w:r>
          </w:p>
        </w:tc>
        <w:tc>
          <w:tcPr>
            <w:tcW w:w="142" w:type="dxa"/>
            <w:tcBorders>
              <w:bottom w:val="single" w:sz="2" w:space="0" w:color="CBCAC8"/>
            </w:tcBorders>
            <w:tcMar>
              <w:bottom w:w="50" w:type="dxa"/>
            </w:tcMar>
            <w:vAlign w:val="center"/>
          </w:tcPr>
          <w:p>
            <w:pPr>
              <w:pStyle w:val="TableContents"/>
              <w:bidi w:val="0"/>
              <w:spacing w:before="0" w:after="283"/>
              <w:jc w:val="right"/>
              <w:rPr/>
            </w:pPr>
            <w:r>
              <w:rPr/>
              <w:t>​</w:t>
            </w:r>
          </w:p>
        </w:tc>
        <w:tc>
          <w:tcPr>
            <w:tcW w:w="1009" w:type="dxa"/>
            <w:tcBorders>
              <w:bottom w:val="single" w:sz="2" w:space="0" w:color="CBCAC8"/>
            </w:tcBorders>
            <w:tcMar>
              <w:bottom w:w="50" w:type="dxa"/>
            </w:tcMar>
            <w:vAlign w:val="center"/>
          </w:tcPr>
          <w:p>
            <w:pPr>
              <w:pStyle w:val="TableContents"/>
              <w:bidi w:val="0"/>
              <w:spacing w:before="0" w:after="283"/>
              <w:jc w:val="right"/>
              <w:rPr/>
            </w:pPr>
            <w:r>
              <w:rPr/>
              <w:t>29,640</w:t>
            </w:r>
          </w:p>
        </w:tc>
        <w:tc>
          <w:tcPr>
            <w:tcW w:w="14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3" w:type="dxa"/>
            <w:tcBorders>
              <w:bottom w:val="single" w:sz="2" w:space="0" w:color="CBCAC8"/>
            </w:tcBorders>
            <w:tcMar>
              <w:bottom w:w="28" w:type="dxa"/>
            </w:tcMar>
            <w:vAlign w:val="center"/>
          </w:tcPr>
          <w:p>
            <w:pPr>
              <w:pStyle w:val="TableContents"/>
              <w:bidi w:val="0"/>
              <w:spacing w:before="0" w:after="283"/>
              <w:jc w:val="left"/>
              <w:rPr/>
            </w:pPr>
            <w:r>
              <w:rPr/>
              <w:t>​</w:t>
            </w:r>
          </w:p>
        </w:tc>
        <w:tc>
          <w:tcPr>
            <w:tcW w:w="143" w:type="dxa"/>
            <w:tcBorders>
              <w:bottom w:val="single" w:sz="2" w:space="0" w:color="CBCAC8"/>
            </w:tcBorders>
            <w:tcMar>
              <w:bottom w:w="50" w:type="dxa"/>
            </w:tcMar>
            <w:vAlign w:val="center"/>
          </w:tcPr>
          <w:p>
            <w:pPr>
              <w:pStyle w:val="TableContents"/>
              <w:bidi w:val="0"/>
              <w:spacing w:before="0" w:after="283"/>
              <w:jc w:val="right"/>
              <w:rPr/>
            </w:pPr>
            <w:r>
              <w:rPr/>
              <w:t>​</w:t>
            </w:r>
          </w:p>
        </w:tc>
        <w:tc>
          <w:tcPr>
            <w:tcW w:w="1009" w:type="dxa"/>
            <w:tcBorders>
              <w:bottom w:val="single" w:sz="2" w:space="0" w:color="CBCAC8"/>
            </w:tcBorders>
            <w:tcMar>
              <w:bottom w:w="50" w:type="dxa"/>
            </w:tcMar>
            <w:vAlign w:val="center"/>
          </w:tcPr>
          <w:p>
            <w:pPr>
              <w:pStyle w:val="TableContents"/>
              <w:bidi w:val="0"/>
              <w:spacing w:before="0" w:after="283"/>
              <w:jc w:val="right"/>
              <w:rPr/>
            </w:pPr>
            <w:r>
              <w:rPr/>
              <w:t>29,640</w:t>
            </w:r>
          </w:p>
        </w:tc>
        <w:tc>
          <w:tcPr>
            <w:tcW w:w="143"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766" w:type="dxa"/>
            <w:tcBorders>
              <w:bottom w:val="single" w:sz="2" w:space="0" w:color="CBCAC8"/>
            </w:tcBorders>
            <w:tcMar>
              <w:bottom w:w="50" w:type="dxa"/>
            </w:tcMar>
            <w:vAlign w:val="center"/>
          </w:tcPr>
          <w:p>
            <w:pPr>
              <w:pStyle w:val="TableContents"/>
              <w:bidi w:val="0"/>
              <w:spacing w:before="0" w:after="283"/>
              <w:jc w:val="right"/>
              <w:rPr/>
            </w:pPr>
            <w:r>
              <w:rPr/>
              <w:t>59,280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217" w:type="dxa"/>
            <w:tcBorders>
              <w:bottom w:val="single" w:sz="2" w:space="0" w:color="CBCAC8"/>
            </w:tcBorders>
            <w:tcMar>
              <w:bottom w:w="50" w:type="dxa"/>
            </w:tcMar>
            <w:vAlign w:val="center"/>
          </w:tcPr>
          <w:p>
            <w:pPr>
              <w:pStyle w:val="TableContents"/>
              <w:bidi w:val="0"/>
              <w:spacing w:before="0" w:after="283"/>
              <w:jc w:val="left"/>
              <w:rPr/>
            </w:pPr>
            <w:r>
              <w:rPr>
                <w:spacing w:val="-2"/>
              </w:rPr>
              <w:t>L. Jay Cross (</w:t>
            </w:r>
            <w:r>
              <w:rPr>
                <w:i/>
              </w:rPr>
              <w:t>Annual Grant</w:t>
            </w:r>
            <w:r>
              <w:rPr>
                <w:spacing w:val="-2"/>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2" w:type="dxa"/>
            <w:tcBorders>
              <w:bottom w:val="single" w:sz="2" w:space="0" w:color="CBCAC8"/>
            </w:tcBorders>
            <w:tcMar>
              <w:bottom w:w="28" w:type="dxa"/>
            </w:tcMar>
            <w:vAlign w:val="center"/>
          </w:tcPr>
          <w:p>
            <w:pPr>
              <w:pStyle w:val="TableContents"/>
              <w:bidi w:val="0"/>
              <w:spacing w:before="0" w:after="283"/>
              <w:jc w:val="left"/>
              <w:rPr/>
            </w:pPr>
            <w:r>
              <w:rPr/>
              <w:t>​</w:t>
            </w:r>
          </w:p>
        </w:tc>
        <w:tc>
          <w:tcPr>
            <w:tcW w:w="142" w:type="dxa"/>
            <w:tcBorders>
              <w:bottom w:val="single" w:sz="2" w:space="0" w:color="CBCAC8"/>
            </w:tcBorders>
            <w:tcMar>
              <w:bottom w:w="50" w:type="dxa"/>
            </w:tcMar>
            <w:vAlign w:val="center"/>
          </w:tcPr>
          <w:p>
            <w:pPr>
              <w:pStyle w:val="TableContents"/>
              <w:bidi w:val="0"/>
              <w:spacing w:before="0" w:after="283"/>
              <w:jc w:val="right"/>
              <w:rPr/>
            </w:pPr>
            <w:r>
              <w:rPr/>
              <w:t>​</w:t>
            </w:r>
          </w:p>
        </w:tc>
        <w:tc>
          <w:tcPr>
            <w:tcW w:w="1009" w:type="dxa"/>
            <w:tcBorders>
              <w:bottom w:val="single" w:sz="2" w:space="0" w:color="CBCAC8"/>
            </w:tcBorders>
            <w:tcMar>
              <w:bottom w:w="50" w:type="dxa"/>
            </w:tcMar>
            <w:vAlign w:val="center"/>
          </w:tcPr>
          <w:p>
            <w:pPr>
              <w:pStyle w:val="TableContents"/>
              <w:bidi w:val="0"/>
              <w:spacing w:before="0" w:after="283"/>
              <w:jc w:val="right"/>
              <w:rPr/>
            </w:pPr>
            <w:r>
              <w:rPr/>
              <w:t>15,150</w:t>
            </w:r>
          </w:p>
        </w:tc>
        <w:tc>
          <w:tcPr>
            <w:tcW w:w="14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3" w:type="dxa"/>
            <w:tcBorders>
              <w:bottom w:val="single" w:sz="2" w:space="0" w:color="CBCAC8"/>
            </w:tcBorders>
            <w:tcMar>
              <w:bottom w:w="28" w:type="dxa"/>
            </w:tcMar>
            <w:vAlign w:val="center"/>
          </w:tcPr>
          <w:p>
            <w:pPr>
              <w:pStyle w:val="TableContents"/>
              <w:bidi w:val="0"/>
              <w:spacing w:before="0" w:after="283"/>
              <w:jc w:val="left"/>
              <w:rPr/>
            </w:pPr>
            <w:r>
              <w:rPr/>
              <w:t>​</w:t>
            </w:r>
          </w:p>
        </w:tc>
        <w:tc>
          <w:tcPr>
            <w:tcW w:w="143" w:type="dxa"/>
            <w:tcBorders>
              <w:bottom w:val="single" w:sz="2" w:space="0" w:color="CBCAC8"/>
            </w:tcBorders>
            <w:tcMar>
              <w:bottom w:w="50" w:type="dxa"/>
            </w:tcMar>
            <w:vAlign w:val="center"/>
          </w:tcPr>
          <w:p>
            <w:pPr>
              <w:pStyle w:val="TableContents"/>
              <w:bidi w:val="0"/>
              <w:spacing w:before="0" w:after="283"/>
              <w:jc w:val="right"/>
              <w:rPr/>
            </w:pPr>
            <w:r>
              <w:rPr/>
              <w:t>​</w:t>
            </w:r>
          </w:p>
        </w:tc>
        <w:tc>
          <w:tcPr>
            <w:tcW w:w="1009" w:type="dxa"/>
            <w:tcBorders>
              <w:bottom w:val="single" w:sz="2" w:space="0" w:color="CBCAC8"/>
            </w:tcBorders>
            <w:tcMar>
              <w:bottom w:w="50" w:type="dxa"/>
            </w:tcMar>
            <w:vAlign w:val="center"/>
          </w:tcPr>
          <w:p>
            <w:pPr>
              <w:pStyle w:val="TableContents"/>
              <w:bidi w:val="0"/>
              <w:spacing w:before="0" w:after="283"/>
              <w:jc w:val="right"/>
              <w:rPr/>
            </w:pPr>
            <w:r>
              <w:rPr/>
              <w:t>15,150</w:t>
            </w:r>
          </w:p>
        </w:tc>
        <w:tc>
          <w:tcPr>
            <w:tcW w:w="143"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766" w:type="dxa"/>
            <w:tcBorders>
              <w:bottom w:val="single" w:sz="2" w:space="0" w:color="CBCAC8"/>
            </w:tcBorders>
            <w:tcMar>
              <w:bottom w:w="50" w:type="dxa"/>
            </w:tcMar>
            <w:vAlign w:val="center"/>
          </w:tcPr>
          <w:p>
            <w:pPr>
              <w:pStyle w:val="TableContents"/>
              <w:bidi w:val="0"/>
              <w:spacing w:before="0" w:after="283"/>
              <w:jc w:val="right"/>
              <w:rPr/>
            </w:pPr>
            <w:r>
              <w:rPr/>
              <w:t>30,300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217" w:type="dxa"/>
            <w:tcBorders>
              <w:bottom w:val="single" w:sz="2" w:space="0" w:color="CBCAC8"/>
            </w:tcBorders>
            <w:tcMar>
              <w:bottom w:w="50" w:type="dxa"/>
            </w:tcMar>
            <w:vAlign w:val="center"/>
          </w:tcPr>
          <w:p>
            <w:pPr>
              <w:pStyle w:val="TableContents"/>
              <w:bidi w:val="0"/>
              <w:spacing w:before="0" w:after="283"/>
              <w:jc w:val="left"/>
              <w:rPr/>
            </w:pPr>
            <w:r>
              <w:rPr>
                <w:spacing w:val="-2"/>
              </w:rPr>
              <w:t>Carlos Olea (</w:t>
            </w:r>
            <w:r>
              <w:rPr>
                <w:i/>
              </w:rPr>
              <w:t>Annual Grant</w:t>
            </w:r>
            <w:r>
              <w:rPr>
                <w:spacing w:val="-2"/>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2" w:type="dxa"/>
            <w:tcBorders>
              <w:bottom w:val="single" w:sz="2" w:space="0" w:color="CBCAC8"/>
            </w:tcBorders>
            <w:tcMar>
              <w:bottom w:w="28" w:type="dxa"/>
            </w:tcMar>
            <w:vAlign w:val="center"/>
          </w:tcPr>
          <w:p>
            <w:pPr>
              <w:pStyle w:val="TableContents"/>
              <w:bidi w:val="0"/>
              <w:spacing w:before="0" w:after="283"/>
              <w:jc w:val="left"/>
              <w:rPr/>
            </w:pPr>
            <w:r>
              <w:rPr/>
              <w:t>​</w:t>
            </w:r>
          </w:p>
        </w:tc>
        <w:tc>
          <w:tcPr>
            <w:tcW w:w="142" w:type="dxa"/>
            <w:tcBorders>
              <w:bottom w:val="single" w:sz="2" w:space="0" w:color="CBCAC8"/>
            </w:tcBorders>
            <w:tcMar>
              <w:bottom w:w="50" w:type="dxa"/>
            </w:tcMar>
            <w:vAlign w:val="center"/>
          </w:tcPr>
          <w:p>
            <w:pPr>
              <w:pStyle w:val="TableContents"/>
              <w:bidi w:val="0"/>
              <w:spacing w:before="0" w:after="283"/>
              <w:jc w:val="right"/>
              <w:rPr/>
            </w:pPr>
            <w:r>
              <w:rPr/>
              <w:t>​</w:t>
            </w:r>
          </w:p>
        </w:tc>
        <w:tc>
          <w:tcPr>
            <w:tcW w:w="1009" w:type="dxa"/>
            <w:tcBorders>
              <w:bottom w:val="single" w:sz="2" w:space="0" w:color="CBCAC8"/>
            </w:tcBorders>
            <w:tcMar>
              <w:bottom w:w="50" w:type="dxa"/>
            </w:tcMar>
            <w:vAlign w:val="center"/>
          </w:tcPr>
          <w:p>
            <w:pPr>
              <w:pStyle w:val="TableContents"/>
              <w:bidi w:val="0"/>
              <w:spacing w:before="0" w:after="283"/>
              <w:jc w:val="right"/>
              <w:rPr/>
            </w:pPr>
            <w:r>
              <w:rPr/>
              <w:t>8,892</w:t>
            </w:r>
          </w:p>
        </w:tc>
        <w:tc>
          <w:tcPr>
            <w:tcW w:w="14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3" w:type="dxa"/>
            <w:tcBorders>
              <w:bottom w:val="single" w:sz="2" w:space="0" w:color="CBCAC8"/>
            </w:tcBorders>
            <w:tcMar>
              <w:bottom w:w="28" w:type="dxa"/>
            </w:tcMar>
            <w:vAlign w:val="center"/>
          </w:tcPr>
          <w:p>
            <w:pPr>
              <w:pStyle w:val="TableContents"/>
              <w:bidi w:val="0"/>
              <w:spacing w:before="0" w:after="283"/>
              <w:jc w:val="left"/>
              <w:rPr/>
            </w:pPr>
            <w:r>
              <w:rPr/>
              <w:t>​</w:t>
            </w:r>
          </w:p>
        </w:tc>
        <w:tc>
          <w:tcPr>
            <w:tcW w:w="143" w:type="dxa"/>
            <w:tcBorders>
              <w:bottom w:val="single" w:sz="2" w:space="0" w:color="CBCAC8"/>
            </w:tcBorders>
            <w:tcMar>
              <w:bottom w:w="50" w:type="dxa"/>
            </w:tcMar>
            <w:vAlign w:val="center"/>
          </w:tcPr>
          <w:p>
            <w:pPr>
              <w:pStyle w:val="TableContents"/>
              <w:bidi w:val="0"/>
              <w:spacing w:before="0" w:after="283"/>
              <w:jc w:val="right"/>
              <w:rPr/>
            </w:pPr>
            <w:r>
              <w:rPr/>
              <w:t>​</w:t>
            </w:r>
          </w:p>
        </w:tc>
        <w:tc>
          <w:tcPr>
            <w:tcW w:w="1009" w:type="dxa"/>
            <w:tcBorders>
              <w:bottom w:val="single" w:sz="2" w:space="0" w:color="CBCAC8"/>
            </w:tcBorders>
            <w:tcMar>
              <w:bottom w:w="50" w:type="dxa"/>
            </w:tcMar>
            <w:vAlign w:val="center"/>
          </w:tcPr>
          <w:p>
            <w:pPr>
              <w:pStyle w:val="TableContents"/>
              <w:bidi w:val="0"/>
              <w:spacing w:before="0" w:after="283"/>
              <w:jc w:val="right"/>
              <w:rPr/>
            </w:pPr>
            <w:r>
              <w:rPr/>
              <w:t>8,892</w:t>
            </w:r>
          </w:p>
        </w:tc>
        <w:tc>
          <w:tcPr>
            <w:tcW w:w="143"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766" w:type="dxa"/>
            <w:tcBorders>
              <w:bottom w:val="single" w:sz="2" w:space="0" w:color="CBCAC8"/>
            </w:tcBorders>
            <w:tcMar>
              <w:bottom w:w="50" w:type="dxa"/>
            </w:tcMar>
            <w:vAlign w:val="center"/>
          </w:tcPr>
          <w:p>
            <w:pPr>
              <w:pStyle w:val="TableContents"/>
              <w:bidi w:val="0"/>
              <w:spacing w:before="0" w:after="283"/>
              <w:jc w:val="right"/>
              <w:rPr/>
            </w:pPr>
            <w:r>
              <w:rPr/>
              <w:t>17,784</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217" w:type="dxa"/>
            <w:tcBorders>
              <w:bottom w:val="single" w:sz="2" w:space="0" w:color="CBCAC8"/>
            </w:tcBorders>
            <w:tcMar>
              <w:bottom w:w="50" w:type="dxa"/>
            </w:tcMar>
            <w:vAlign w:val="center"/>
          </w:tcPr>
          <w:p>
            <w:pPr>
              <w:pStyle w:val="TableContents"/>
              <w:bidi w:val="0"/>
              <w:spacing w:before="0" w:after="283"/>
              <w:jc w:val="left"/>
              <w:rPr/>
            </w:pPr>
            <w:r>
              <w:rPr>
                <w:spacing w:val="-2"/>
              </w:rPr>
              <w:t>Joseph Valane (</w:t>
            </w:r>
            <w:r>
              <w:rPr>
                <w:i/>
              </w:rPr>
              <w:t>Annual Grant</w:t>
            </w:r>
            <w:r>
              <w:rPr>
                <w:spacing w:val="-2"/>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2" w:type="dxa"/>
            <w:tcBorders>
              <w:bottom w:val="single" w:sz="2" w:space="0" w:color="CBCAC8"/>
            </w:tcBorders>
            <w:tcMar>
              <w:bottom w:w="28" w:type="dxa"/>
            </w:tcMar>
            <w:vAlign w:val="center"/>
          </w:tcPr>
          <w:p>
            <w:pPr>
              <w:pStyle w:val="TableContents"/>
              <w:bidi w:val="0"/>
              <w:spacing w:before="0" w:after="283"/>
              <w:jc w:val="left"/>
              <w:rPr/>
            </w:pPr>
            <w:r>
              <w:rPr/>
              <w:t>​</w:t>
            </w:r>
          </w:p>
        </w:tc>
        <w:tc>
          <w:tcPr>
            <w:tcW w:w="142" w:type="dxa"/>
            <w:tcBorders>
              <w:bottom w:val="single" w:sz="2" w:space="0" w:color="CBCAC8"/>
            </w:tcBorders>
            <w:tcMar>
              <w:bottom w:w="50" w:type="dxa"/>
            </w:tcMar>
            <w:vAlign w:val="center"/>
          </w:tcPr>
          <w:p>
            <w:pPr>
              <w:pStyle w:val="TableContents"/>
              <w:bidi w:val="0"/>
              <w:spacing w:before="0" w:after="283"/>
              <w:jc w:val="right"/>
              <w:rPr/>
            </w:pPr>
            <w:r>
              <w:rPr/>
              <w:t>​</w:t>
            </w:r>
          </w:p>
        </w:tc>
        <w:tc>
          <w:tcPr>
            <w:tcW w:w="1009" w:type="dxa"/>
            <w:tcBorders>
              <w:bottom w:val="single" w:sz="2" w:space="0" w:color="CBCAC8"/>
            </w:tcBorders>
            <w:tcMar>
              <w:bottom w:w="50" w:type="dxa"/>
            </w:tcMar>
            <w:vAlign w:val="center"/>
          </w:tcPr>
          <w:p>
            <w:pPr>
              <w:pStyle w:val="TableContents"/>
              <w:bidi w:val="0"/>
              <w:spacing w:before="0" w:after="283"/>
              <w:jc w:val="right"/>
              <w:rPr/>
            </w:pPr>
            <w:r>
              <w:rPr/>
              <w:t>4,940</w:t>
            </w:r>
          </w:p>
        </w:tc>
        <w:tc>
          <w:tcPr>
            <w:tcW w:w="14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3" w:type="dxa"/>
            <w:tcBorders>
              <w:bottom w:val="single" w:sz="2" w:space="0" w:color="CBCAC8"/>
            </w:tcBorders>
            <w:tcMar>
              <w:bottom w:w="28" w:type="dxa"/>
            </w:tcMar>
            <w:vAlign w:val="center"/>
          </w:tcPr>
          <w:p>
            <w:pPr>
              <w:pStyle w:val="TableContents"/>
              <w:bidi w:val="0"/>
              <w:spacing w:before="0" w:after="283"/>
              <w:jc w:val="left"/>
              <w:rPr/>
            </w:pPr>
            <w:r>
              <w:rPr/>
              <w:t>​</w:t>
            </w:r>
          </w:p>
        </w:tc>
        <w:tc>
          <w:tcPr>
            <w:tcW w:w="143" w:type="dxa"/>
            <w:tcBorders>
              <w:bottom w:val="single" w:sz="2" w:space="0" w:color="CBCAC8"/>
            </w:tcBorders>
            <w:tcMar>
              <w:bottom w:w="50" w:type="dxa"/>
            </w:tcMar>
            <w:vAlign w:val="center"/>
          </w:tcPr>
          <w:p>
            <w:pPr>
              <w:pStyle w:val="TableContents"/>
              <w:bidi w:val="0"/>
              <w:spacing w:before="0" w:after="283"/>
              <w:jc w:val="right"/>
              <w:rPr/>
            </w:pPr>
            <w:r>
              <w:rPr/>
              <w:t>​</w:t>
            </w:r>
          </w:p>
        </w:tc>
        <w:tc>
          <w:tcPr>
            <w:tcW w:w="1009" w:type="dxa"/>
            <w:tcBorders>
              <w:bottom w:val="single" w:sz="2" w:space="0" w:color="CBCAC8"/>
            </w:tcBorders>
            <w:tcMar>
              <w:bottom w:w="50" w:type="dxa"/>
            </w:tcMar>
            <w:vAlign w:val="center"/>
          </w:tcPr>
          <w:p>
            <w:pPr>
              <w:pStyle w:val="TableContents"/>
              <w:bidi w:val="0"/>
              <w:spacing w:before="0" w:after="283"/>
              <w:jc w:val="right"/>
              <w:rPr/>
            </w:pPr>
            <w:r>
              <w:rPr/>
              <w:t>4,940</w:t>
            </w:r>
          </w:p>
        </w:tc>
        <w:tc>
          <w:tcPr>
            <w:tcW w:w="143"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766" w:type="dxa"/>
            <w:tcBorders>
              <w:bottom w:val="single" w:sz="2" w:space="0" w:color="CBCAC8"/>
            </w:tcBorders>
            <w:tcMar>
              <w:bottom w:w="50" w:type="dxa"/>
            </w:tcMar>
            <w:vAlign w:val="center"/>
          </w:tcPr>
          <w:p>
            <w:pPr>
              <w:pStyle w:val="TableContents"/>
              <w:bidi w:val="0"/>
              <w:spacing w:before="0" w:after="283"/>
              <w:jc w:val="right"/>
              <w:rPr/>
            </w:pPr>
            <w:r>
              <w:rPr/>
              <w:t>9,880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217" w:type="dxa"/>
            <w:tcBorders>
              <w:bottom w:val="single" w:sz="2" w:space="0" w:color="CBCAC8"/>
            </w:tcBorders>
            <w:tcMar>
              <w:bottom w:w="50" w:type="dxa"/>
            </w:tcMar>
            <w:vAlign w:val="center"/>
          </w:tcPr>
          <w:p>
            <w:pPr>
              <w:pStyle w:val="TableContents"/>
              <w:bidi w:val="0"/>
              <w:spacing w:before="0" w:after="283"/>
              <w:jc w:val="left"/>
              <w:rPr/>
            </w:pPr>
            <w:r>
              <w:rPr>
                <w:spacing w:val="-2"/>
              </w:rPr>
              <w:t>Andrew Davis (</w:t>
            </w:r>
            <w:r>
              <w:rPr>
                <w:i/>
              </w:rPr>
              <w:t>Annual Grant</w:t>
            </w:r>
            <w:r>
              <w:rPr>
                <w:spacing w:val="-2"/>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2" w:type="dxa"/>
            <w:tcBorders>
              <w:bottom w:val="single" w:sz="2" w:space="0" w:color="CBCAC8"/>
            </w:tcBorders>
            <w:tcMar>
              <w:bottom w:w="28" w:type="dxa"/>
            </w:tcMar>
            <w:vAlign w:val="center"/>
          </w:tcPr>
          <w:p>
            <w:pPr>
              <w:pStyle w:val="TableContents"/>
              <w:bidi w:val="0"/>
              <w:spacing w:before="0" w:after="283"/>
              <w:jc w:val="left"/>
              <w:rPr/>
            </w:pPr>
            <w:r>
              <w:rPr/>
              <w:t>​</w:t>
            </w:r>
          </w:p>
        </w:tc>
        <w:tc>
          <w:tcPr>
            <w:tcW w:w="142" w:type="dxa"/>
            <w:tcBorders>
              <w:bottom w:val="single" w:sz="2" w:space="0" w:color="CBCAC8"/>
            </w:tcBorders>
            <w:tcMar>
              <w:bottom w:w="50" w:type="dxa"/>
            </w:tcMar>
            <w:vAlign w:val="center"/>
          </w:tcPr>
          <w:p>
            <w:pPr>
              <w:pStyle w:val="TableContents"/>
              <w:bidi w:val="0"/>
              <w:spacing w:before="0" w:after="283"/>
              <w:jc w:val="right"/>
              <w:rPr/>
            </w:pPr>
            <w:r>
              <w:rPr/>
              <w:t>​</w:t>
            </w:r>
          </w:p>
        </w:tc>
        <w:tc>
          <w:tcPr>
            <w:tcW w:w="1009" w:type="dxa"/>
            <w:tcBorders>
              <w:bottom w:val="single" w:sz="2" w:space="0" w:color="CBCAC8"/>
            </w:tcBorders>
            <w:tcMar>
              <w:bottom w:w="50" w:type="dxa"/>
            </w:tcMar>
            <w:vAlign w:val="center"/>
          </w:tcPr>
          <w:p>
            <w:pPr>
              <w:pStyle w:val="TableContents"/>
              <w:bidi w:val="0"/>
              <w:spacing w:before="0" w:after="283"/>
              <w:jc w:val="right"/>
              <w:rPr/>
            </w:pPr>
            <w:r>
              <w:rPr/>
              <w:t>4,940</w:t>
            </w:r>
          </w:p>
        </w:tc>
        <w:tc>
          <w:tcPr>
            <w:tcW w:w="14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3" w:type="dxa"/>
            <w:tcBorders>
              <w:bottom w:val="single" w:sz="2" w:space="0" w:color="CBCAC8"/>
            </w:tcBorders>
            <w:tcMar>
              <w:bottom w:w="28" w:type="dxa"/>
            </w:tcMar>
            <w:vAlign w:val="center"/>
          </w:tcPr>
          <w:p>
            <w:pPr>
              <w:pStyle w:val="TableContents"/>
              <w:bidi w:val="0"/>
              <w:spacing w:before="0" w:after="283"/>
              <w:jc w:val="left"/>
              <w:rPr/>
            </w:pPr>
            <w:r>
              <w:rPr/>
              <w:t>​</w:t>
            </w:r>
          </w:p>
        </w:tc>
        <w:tc>
          <w:tcPr>
            <w:tcW w:w="143" w:type="dxa"/>
            <w:tcBorders>
              <w:bottom w:val="single" w:sz="2" w:space="0" w:color="CBCAC8"/>
            </w:tcBorders>
            <w:tcMar>
              <w:bottom w:w="50" w:type="dxa"/>
            </w:tcMar>
            <w:vAlign w:val="center"/>
          </w:tcPr>
          <w:p>
            <w:pPr>
              <w:pStyle w:val="TableContents"/>
              <w:bidi w:val="0"/>
              <w:spacing w:before="0" w:after="283"/>
              <w:jc w:val="right"/>
              <w:rPr/>
            </w:pPr>
            <w:r>
              <w:rPr/>
              <w:t>​</w:t>
            </w:r>
          </w:p>
        </w:tc>
        <w:tc>
          <w:tcPr>
            <w:tcW w:w="1009" w:type="dxa"/>
            <w:tcBorders>
              <w:bottom w:val="single" w:sz="2" w:space="0" w:color="CBCAC8"/>
            </w:tcBorders>
            <w:tcMar>
              <w:bottom w:w="50" w:type="dxa"/>
            </w:tcMar>
            <w:vAlign w:val="center"/>
          </w:tcPr>
          <w:p>
            <w:pPr>
              <w:pStyle w:val="TableContents"/>
              <w:bidi w:val="0"/>
              <w:spacing w:before="0" w:after="283"/>
              <w:jc w:val="right"/>
              <w:rPr/>
            </w:pPr>
            <w:r>
              <w:rPr/>
              <w:t>4,940</w:t>
            </w:r>
          </w:p>
        </w:tc>
        <w:tc>
          <w:tcPr>
            <w:tcW w:w="143"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766" w:type="dxa"/>
            <w:tcBorders>
              <w:bottom w:val="single" w:sz="2" w:space="0" w:color="CBCAC8"/>
            </w:tcBorders>
            <w:tcMar>
              <w:bottom w:w="50" w:type="dxa"/>
            </w:tcMar>
            <w:vAlign w:val="center"/>
          </w:tcPr>
          <w:p>
            <w:pPr>
              <w:pStyle w:val="TableContents"/>
              <w:bidi w:val="0"/>
              <w:spacing w:before="0" w:after="283"/>
              <w:jc w:val="right"/>
              <w:rPr/>
            </w:pPr>
            <w:r>
              <w:rPr/>
              <w:t>9,880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217" w:type="dxa"/>
            <w:tcBorders>
              <w:bottom w:val="single" w:sz="2" w:space="0" w:color="CBCAC8"/>
            </w:tcBorders>
            <w:tcMar>
              <w:bottom w:w="50" w:type="dxa"/>
            </w:tcMar>
            <w:vAlign w:val="center"/>
          </w:tcPr>
          <w:p>
            <w:pPr>
              <w:pStyle w:val="TableContents"/>
              <w:bidi w:val="0"/>
              <w:spacing w:before="0" w:after="283"/>
              <w:jc w:val="left"/>
              <w:rPr/>
            </w:pPr>
            <w:r>
              <w:rPr>
                <w:spacing w:val="-2"/>
              </w:rPr>
              <w:t>Doug Johnstone (</w:t>
            </w:r>
            <w:r>
              <w:rPr>
                <w:i/>
              </w:rPr>
              <w:t>Annual Grant</w:t>
            </w:r>
            <w:r>
              <w:rPr>
                <w:spacing w:val="-2"/>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2" w:type="dxa"/>
            <w:tcBorders>
              <w:bottom w:val="single" w:sz="2" w:space="0" w:color="CBCAC8"/>
            </w:tcBorders>
            <w:tcMar>
              <w:bottom w:w="28" w:type="dxa"/>
            </w:tcMar>
            <w:vAlign w:val="center"/>
          </w:tcPr>
          <w:p>
            <w:pPr>
              <w:pStyle w:val="TableContents"/>
              <w:bidi w:val="0"/>
              <w:spacing w:before="0" w:after="283"/>
              <w:jc w:val="left"/>
              <w:rPr/>
            </w:pPr>
            <w:r>
              <w:rPr/>
              <w:t>​</w:t>
            </w:r>
          </w:p>
        </w:tc>
        <w:tc>
          <w:tcPr>
            <w:tcW w:w="142" w:type="dxa"/>
            <w:tcBorders>
              <w:bottom w:val="single" w:sz="2" w:space="0" w:color="CBCAC8"/>
            </w:tcBorders>
            <w:tcMar>
              <w:bottom w:w="50" w:type="dxa"/>
            </w:tcMar>
            <w:vAlign w:val="center"/>
          </w:tcPr>
          <w:p>
            <w:pPr>
              <w:pStyle w:val="TableContents"/>
              <w:bidi w:val="0"/>
              <w:spacing w:before="0" w:after="283"/>
              <w:jc w:val="right"/>
              <w:rPr/>
            </w:pPr>
            <w:r>
              <w:rPr/>
              <w:t>​</w:t>
            </w:r>
          </w:p>
        </w:tc>
        <w:tc>
          <w:tcPr>
            <w:tcW w:w="1009" w:type="dxa"/>
            <w:tcBorders>
              <w:bottom w:val="single" w:sz="2" w:space="0" w:color="CBCAC8"/>
            </w:tcBorders>
            <w:tcMar>
              <w:bottom w:w="50" w:type="dxa"/>
            </w:tcMar>
            <w:vAlign w:val="center"/>
          </w:tcPr>
          <w:p>
            <w:pPr>
              <w:pStyle w:val="TableContents"/>
              <w:bidi w:val="0"/>
              <w:spacing w:before="0" w:after="283"/>
              <w:jc w:val="right"/>
              <w:rPr/>
            </w:pPr>
            <w:r>
              <w:rPr/>
              <w:t>3,952</w:t>
            </w:r>
          </w:p>
        </w:tc>
        <w:tc>
          <w:tcPr>
            <w:tcW w:w="14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3" w:type="dxa"/>
            <w:tcBorders>
              <w:bottom w:val="single" w:sz="2" w:space="0" w:color="CBCAC8"/>
            </w:tcBorders>
            <w:tcMar>
              <w:bottom w:w="28" w:type="dxa"/>
            </w:tcMar>
            <w:vAlign w:val="center"/>
          </w:tcPr>
          <w:p>
            <w:pPr>
              <w:pStyle w:val="TableContents"/>
              <w:bidi w:val="0"/>
              <w:spacing w:before="0" w:after="283"/>
              <w:jc w:val="left"/>
              <w:rPr/>
            </w:pPr>
            <w:r>
              <w:rPr/>
              <w:t>​</w:t>
            </w:r>
          </w:p>
        </w:tc>
        <w:tc>
          <w:tcPr>
            <w:tcW w:w="143" w:type="dxa"/>
            <w:tcBorders>
              <w:bottom w:val="single" w:sz="2" w:space="0" w:color="CBCAC8"/>
            </w:tcBorders>
            <w:tcMar>
              <w:bottom w:w="50" w:type="dxa"/>
            </w:tcMar>
            <w:vAlign w:val="center"/>
          </w:tcPr>
          <w:p>
            <w:pPr>
              <w:pStyle w:val="TableContents"/>
              <w:bidi w:val="0"/>
              <w:spacing w:before="0" w:after="283"/>
              <w:jc w:val="right"/>
              <w:rPr/>
            </w:pPr>
            <w:r>
              <w:rPr/>
              <w:t>​</w:t>
            </w:r>
          </w:p>
        </w:tc>
        <w:tc>
          <w:tcPr>
            <w:tcW w:w="1009" w:type="dxa"/>
            <w:tcBorders>
              <w:bottom w:val="single" w:sz="2" w:space="0" w:color="CBCAC8"/>
            </w:tcBorders>
            <w:tcMar>
              <w:bottom w:w="50" w:type="dxa"/>
            </w:tcMar>
            <w:vAlign w:val="center"/>
          </w:tcPr>
          <w:p>
            <w:pPr>
              <w:pStyle w:val="TableContents"/>
              <w:bidi w:val="0"/>
              <w:spacing w:before="0" w:after="283"/>
              <w:jc w:val="right"/>
              <w:rPr/>
            </w:pPr>
            <w:r>
              <w:rPr/>
              <w:t>3,952</w:t>
            </w:r>
          </w:p>
        </w:tc>
        <w:tc>
          <w:tcPr>
            <w:tcW w:w="143"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0" w:type="dxa"/>
            </w:tcMar>
            <w:vAlign w:val="center"/>
          </w:tcPr>
          <w:p>
            <w:pPr>
              <w:pStyle w:val="TableContents"/>
              <w:bidi w:val="0"/>
              <w:spacing w:before="0" w:after="283"/>
              <w:jc w:val="right"/>
              <w:rPr/>
            </w:pPr>
            <w:r>
              <w:rPr/>
              <w:t>​</w:t>
            </w:r>
          </w:p>
        </w:tc>
        <w:tc>
          <w:tcPr>
            <w:tcW w:w="766" w:type="dxa"/>
            <w:tcBorders>
              <w:bottom w:val="single" w:sz="2" w:space="0" w:color="CBCAC8"/>
            </w:tcBorders>
            <w:tcMar>
              <w:bottom w:w="50" w:type="dxa"/>
            </w:tcMar>
            <w:vAlign w:val="center"/>
          </w:tcPr>
          <w:p>
            <w:pPr>
              <w:pStyle w:val="TableContents"/>
              <w:bidi w:val="0"/>
              <w:spacing w:before="0" w:after="283"/>
              <w:jc w:val="right"/>
              <w:rPr/>
            </w:pPr>
            <w:r>
              <w:rPr/>
              <w:t>7,904</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bl>
    <w:p>
      <w:pPr>
        <w:pStyle w:val="TextBody"/>
        <w:bidi w:val="0"/>
        <w:spacing w:lineRule="atLeast" w:line="340" w:before="150" w:after="283"/>
        <w:ind w:left="901" w:right="0" w:hanging="0"/>
        <w:jc w:val="left"/>
        <w:rPr>
          <w:rFonts w:ascii="Arial;Helvetica;sans-serif" w:hAnsi="Arial;Helvetica;sans-serif"/>
          <w:b/>
          <w:i w:val="false"/>
          <w:caps w:val="false"/>
          <w:smallCaps w:val="false"/>
          <w:color w:val="7F7F7F"/>
          <w:sz w:val="30"/>
        </w:rPr>
      </w:pPr>
      <w:r>
        <w:rPr>
          <w:rFonts w:ascii="Arial;Helvetica;sans-serif" w:hAnsi="Arial;Helvetica;sans-serif"/>
          <w:b/>
          <w:i w:val="false"/>
          <w:caps w:val="false"/>
          <w:smallCaps w:val="false"/>
          <w:color w:val="7F7F7F"/>
          <w:spacing w:val="-1"/>
          <w:sz w:val="30"/>
        </w:rPr>
        <w:t>Restricted Stock Grants</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believes that restricted stock grants provide a long-term equity opportunity that is competitive in the Company’s industry and serves as a retention tool. The grants to all employees have historically been evenly divided between performance and time vesting shares. From March 2023 through 2025, 50% of the restricted stock awards granted to each NEO under our general annual equity award program were performance-based and eligible to cliff-vest after three years upon the achievement of net asset value growth metrics. Beginning in 2026, 80% of restricted stock awards granted to certain NEOs (including HHH’s CEO, CFO, and Chief Legal Officer, and HHC’s COO) under our general annual equity award program will be performance based and eligible to cliff-vest after three years upon the achievement of specified cumulative total stockholder return (“TSR”) growth percentages over the same period. The Company believes that the performance targets set for our NEOs are challenging and appropriate. The Company also believes that the long-term vesting component of the restricted stock aligns management’s interest with the long-term performance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5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amounts of restricted stock granted in early 2025 to Messrs. O’Reilly, Cross, Olea, Valane, Davis, and Johnstone were based on numerous factors, including the Compensation Committee’s evaluation of our prior-year performance and the individuals’ respective contributions to their primary areas of oversight. Based on our fiscal 2024 performance and the Compensation Committee’s overall evaluation of the individual 2024 performance of each eligible NEO, the Compensation Committee determined that (a) Mr. O’Reilly should receive an annual long-term equity incentive in an amount equal to 113% of the target amount set forth in his employment agreement, (b) each of Messrs. Cross, Olea and Valane should receive an annual long-term equity incentive in an amount equal to the target amounts set forth in their respective employment agreements; and (c) Mr. Johnstone should receive an annual long-term equity incentive in an amount equal to 120% of his target amount of 100% of his base salary. In recognition of his exceptional contributions to the Company in 2024, Mr. Davis was awarded an annual long-term equity incentive in an amount equal to 343% of his target amount of 50% of his base salary.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5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performance-based shares are eligible to cliff-vest as shown in the table below on December 31, 2027. Vesting is based on the Company’s adjusted NAV growth over a three-year term. The Company’s adjusted NAV of $113.00 as of December 31, 2024, as determined by an independent third-party consultant, and approved by the Compensation Committee, will be used as the beginning amount for calculating NAV growth. The ending price for calculating NAV growth will be the adjusted NAV of the Company as of December 31, 2027, as determined by an independent third-party consultant and approved by the Compensation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8"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each award of performance-based shares to Messrs. O’Reilly, Cross, Olea, Valane, Johnstone, and Davis in early 2025, a vesting percentage target shall be deemed satisfied if the average annual adjusted NAV/share growth rate over the measurement period is equal to or higher than the applicable threshold, in accordance with the vesting schedule below:</w:t>
      </w:r>
      <w:r>
        <w:rPr>
          <w:rFonts w:ascii="Arial;Helvetica;sans-serif" w:hAnsi="Arial;Helvetica;sans-serif"/>
          <w:b w:val="false"/>
          <w:i w:val="false"/>
          <w:caps w:val="false"/>
          <w:smallCaps w:val="false"/>
          <w:color w:val="000000"/>
          <w:spacing w:val="4"/>
          <w:sz w:val="20"/>
        </w:rPr>
        <w:t xml:space="preserve"> </w:t>
      </w:r>
    </w:p>
    <w:tbl>
      <w:tblPr>
        <w:tblW w:w="9304" w:type="dxa"/>
        <w:jc w:val="left"/>
        <w:tblInd w:w="901" w:type="dxa"/>
        <w:tblLayout w:type="fixed"/>
        <w:tblCellMar>
          <w:top w:w="0" w:type="dxa"/>
          <w:left w:w="0" w:type="dxa"/>
          <w:bottom w:w="0" w:type="dxa"/>
          <w:right w:w="0" w:type="dxa"/>
        </w:tblCellMar>
      </w:tblPr>
      <w:tblGrid>
        <w:gridCol w:w="124"/>
        <w:gridCol w:w="5655"/>
        <w:gridCol w:w="109"/>
        <w:gridCol w:w="109"/>
        <w:gridCol w:w="1791"/>
        <w:gridCol w:w="109"/>
        <w:gridCol w:w="109"/>
        <w:gridCol w:w="126"/>
        <w:gridCol w:w="126"/>
        <w:gridCol w:w="764"/>
        <w:gridCol w:w="126"/>
        <w:gridCol w:w="156"/>
      </w:tblGrid>
      <w:tr>
        <w:trPr/>
        <w:tc>
          <w:tcPr>
            <w:tcW w:w="124" w:type="dxa"/>
            <w:tcBorders/>
            <w:shd w:fill="BAD8EA" w:val="clear"/>
            <w:vAlign w:val="center"/>
          </w:tcPr>
          <w:p>
            <w:pPr>
              <w:pStyle w:val="TableContents"/>
              <w:bidi w:val="0"/>
              <w:spacing w:before="0" w:after="283"/>
              <w:jc w:val="left"/>
              <w:rPr/>
            </w:pPr>
            <w:r>
              <w:rPr/>
              <w:t>​</w:t>
            </w:r>
          </w:p>
        </w:tc>
        <w:tc>
          <w:tcPr>
            <w:tcW w:w="5655" w:type="dxa"/>
            <w:tcBorders/>
            <w:shd w:fill="BAD8EA" w:val="clear"/>
            <w:vAlign w:val="center"/>
          </w:tcPr>
          <w:p>
            <w:pPr>
              <w:pStyle w:val="TableContents"/>
              <w:bidi w:val="0"/>
              <w:spacing w:before="0" w:after="0"/>
              <w:jc w:val="left"/>
              <w:rPr>
                <w:spacing w:val="0"/>
              </w:rPr>
            </w:pPr>
            <w:r>
              <w:rPr>
                <w:spacing w:val="0"/>
              </w:rPr>
              <w:t xml:space="preserve">Target Average Annual Adjusted NAV/Share Growth Rate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791" w:type="dxa"/>
            <w:tcBorders/>
            <w:shd w:fill="BAD8EA" w:val="clear"/>
            <w:vAlign w:val="center"/>
          </w:tcPr>
          <w:p>
            <w:pPr>
              <w:pStyle w:val="TableContents"/>
              <w:bidi w:val="0"/>
              <w:spacing w:before="0" w:after="0"/>
              <w:jc w:val="center"/>
              <w:rPr>
                <w:spacing w:val="0"/>
              </w:rPr>
            </w:pPr>
            <w:r>
              <w:rPr>
                <w:spacing w:val="0"/>
              </w:rPr>
              <w:t xml:space="preserve">End Date </w:t>
              <w:br/>
              <w:t xml:space="preserve">Adj. </w:t>
              <w:br/>
              <w:t xml:space="preserve">NAV/Share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142" w:type="dxa"/>
            <w:gridSpan w:val="4"/>
            <w:tcBorders/>
            <w:shd w:fill="BAD8EA" w:val="clear"/>
            <w:vAlign w:val="center"/>
          </w:tcPr>
          <w:p>
            <w:pPr>
              <w:pStyle w:val="TableContents"/>
              <w:bidi w:val="0"/>
              <w:spacing w:before="0" w:after="0"/>
              <w:jc w:val="center"/>
              <w:rPr>
                <w:spacing w:val="0"/>
              </w:rPr>
            </w:pPr>
            <w:r>
              <w:rPr>
                <w:spacing w:val="0"/>
              </w:rPr>
              <w:t xml:space="preserve">Vesting % </w:t>
            </w:r>
          </w:p>
        </w:tc>
        <w:tc>
          <w:tcPr>
            <w:tcW w:w="156"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655"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0.00% to 5.99%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791" w:type="dxa"/>
            <w:tcBorders>
              <w:bottom w:val="single" w:sz="2" w:space="0" w:color="CBCAC8"/>
            </w:tcBorders>
            <w:tcMar>
              <w:bottom w:w="50" w:type="dxa"/>
            </w:tcMar>
            <w:vAlign w:val="center"/>
          </w:tcPr>
          <w:p>
            <w:pPr>
              <w:pStyle w:val="TableContents"/>
              <w:bidi w:val="0"/>
              <w:spacing w:before="0" w:after="0"/>
              <w:jc w:val="center"/>
              <w:rPr>
                <w:spacing w:val="-2"/>
              </w:rPr>
            </w:pPr>
            <w:r>
              <w:rPr>
                <w:spacing w:val="-2"/>
              </w:rPr>
              <w:t xml:space="preserve">$133.33 or below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50" w:type="dxa"/>
            </w:tcMar>
            <w:vAlign w:val="center"/>
          </w:tcPr>
          <w:p>
            <w:pPr>
              <w:pStyle w:val="TableContents"/>
              <w:bidi w:val="0"/>
              <w:spacing w:before="0" w:after="283"/>
              <w:jc w:val="right"/>
              <w:rPr/>
            </w:pPr>
            <w:r>
              <w:rPr/>
              <w:t>​</w:t>
            </w:r>
          </w:p>
        </w:tc>
        <w:tc>
          <w:tcPr>
            <w:tcW w:w="764" w:type="dxa"/>
            <w:tcBorders>
              <w:bottom w:val="single" w:sz="2" w:space="0" w:color="CBCAC8"/>
            </w:tcBorders>
            <w:tcMar>
              <w:bottom w:w="50" w:type="dxa"/>
            </w:tcMar>
            <w:vAlign w:val="center"/>
          </w:tcPr>
          <w:p>
            <w:pPr>
              <w:pStyle w:val="TableContents"/>
              <w:bidi w:val="0"/>
              <w:spacing w:before="0" w:after="283"/>
              <w:jc w:val="right"/>
              <w:rPr/>
            </w:pPr>
            <w:r>
              <w:rPr/>
              <w:t>0%</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56"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655"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6.00% to 8.99%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791" w:type="dxa"/>
            <w:tcBorders>
              <w:bottom w:val="single" w:sz="2" w:space="0" w:color="CBCAC8"/>
            </w:tcBorders>
            <w:tcMar>
              <w:bottom w:w="50" w:type="dxa"/>
            </w:tcMar>
            <w:vAlign w:val="center"/>
          </w:tcPr>
          <w:p>
            <w:pPr>
              <w:pStyle w:val="TableContents"/>
              <w:bidi w:val="0"/>
              <w:spacing w:before="0" w:after="0"/>
              <w:jc w:val="center"/>
              <w:rPr>
                <w:spacing w:val="-2"/>
              </w:rPr>
            </w:pPr>
            <w:r>
              <w:rPr>
                <w:spacing w:val="-2"/>
              </w:rPr>
              <w:t xml:space="preserve">$133.34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50" w:type="dxa"/>
            </w:tcMar>
            <w:vAlign w:val="center"/>
          </w:tcPr>
          <w:p>
            <w:pPr>
              <w:pStyle w:val="TableContents"/>
              <w:bidi w:val="0"/>
              <w:spacing w:before="0" w:after="283"/>
              <w:jc w:val="right"/>
              <w:rPr/>
            </w:pPr>
            <w:r>
              <w:rPr/>
              <w:t>​</w:t>
            </w:r>
          </w:p>
        </w:tc>
        <w:tc>
          <w:tcPr>
            <w:tcW w:w="764" w:type="dxa"/>
            <w:tcBorders>
              <w:bottom w:val="single" w:sz="2" w:space="0" w:color="CBCAC8"/>
            </w:tcBorders>
            <w:tcMar>
              <w:bottom w:w="50" w:type="dxa"/>
            </w:tcMar>
            <w:vAlign w:val="center"/>
          </w:tcPr>
          <w:p>
            <w:pPr>
              <w:pStyle w:val="TableContents"/>
              <w:bidi w:val="0"/>
              <w:spacing w:before="0" w:after="283"/>
              <w:jc w:val="right"/>
              <w:rPr/>
            </w:pPr>
            <w:r>
              <w:rPr/>
              <w:t>100%</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56"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655"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9.00% to 11.99%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791" w:type="dxa"/>
            <w:tcBorders>
              <w:bottom w:val="single" w:sz="2" w:space="0" w:color="CBCAC8"/>
            </w:tcBorders>
            <w:tcMar>
              <w:bottom w:w="50" w:type="dxa"/>
            </w:tcMar>
            <w:vAlign w:val="center"/>
          </w:tcPr>
          <w:p>
            <w:pPr>
              <w:pStyle w:val="TableContents"/>
              <w:bidi w:val="0"/>
              <w:spacing w:before="0" w:after="0"/>
              <w:jc w:val="center"/>
              <w:rPr>
                <w:spacing w:val="-2"/>
              </w:rPr>
            </w:pPr>
            <w:r>
              <w:rPr>
                <w:spacing w:val="-2"/>
              </w:rPr>
              <w:t xml:space="preserve">$143.51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50" w:type="dxa"/>
            </w:tcMar>
            <w:vAlign w:val="center"/>
          </w:tcPr>
          <w:p>
            <w:pPr>
              <w:pStyle w:val="TableContents"/>
              <w:bidi w:val="0"/>
              <w:spacing w:before="0" w:after="283"/>
              <w:jc w:val="right"/>
              <w:rPr/>
            </w:pPr>
            <w:r>
              <w:rPr/>
              <w:t>​</w:t>
            </w:r>
          </w:p>
        </w:tc>
        <w:tc>
          <w:tcPr>
            <w:tcW w:w="764" w:type="dxa"/>
            <w:tcBorders>
              <w:bottom w:val="single" w:sz="2" w:space="0" w:color="CBCAC8"/>
            </w:tcBorders>
            <w:tcMar>
              <w:bottom w:w="50" w:type="dxa"/>
            </w:tcMar>
            <w:vAlign w:val="center"/>
          </w:tcPr>
          <w:p>
            <w:pPr>
              <w:pStyle w:val="TableContents"/>
              <w:bidi w:val="0"/>
              <w:spacing w:before="0" w:after="283"/>
              <w:jc w:val="right"/>
              <w:rPr/>
            </w:pPr>
            <w:r>
              <w:rPr/>
              <w:t>150%</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56"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655"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12.00% and above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791" w:type="dxa"/>
            <w:tcBorders>
              <w:bottom w:val="single" w:sz="2" w:space="0" w:color="CBCAC8"/>
            </w:tcBorders>
            <w:tcMar>
              <w:bottom w:w="50" w:type="dxa"/>
            </w:tcMar>
            <w:vAlign w:val="center"/>
          </w:tcPr>
          <w:p>
            <w:pPr>
              <w:pStyle w:val="TableContents"/>
              <w:bidi w:val="0"/>
              <w:spacing w:before="0" w:after="0"/>
              <w:jc w:val="center"/>
              <w:rPr>
                <w:spacing w:val="-2"/>
              </w:rPr>
            </w:pPr>
            <w:r>
              <w:rPr>
                <w:spacing w:val="-2"/>
              </w:rPr>
              <w:t xml:space="preserve">$153.68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26" w:type="dxa"/>
            <w:tcBorders>
              <w:bottom w:val="single" w:sz="2" w:space="0" w:color="CBCAC8"/>
            </w:tcBorders>
            <w:tcMar>
              <w:bottom w:w="50" w:type="dxa"/>
            </w:tcMar>
            <w:vAlign w:val="center"/>
          </w:tcPr>
          <w:p>
            <w:pPr>
              <w:pStyle w:val="TableContents"/>
              <w:bidi w:val="0"/>
              <w:spacing w:before="0" w:after="283"/>
              <w:jc w:val="right"/>
              <w:rPr/>
            </w:pPr>
            <w:r>
              <w:rPr/>
              <w:t>​</w:t>
            </w:r>
          </w:p>
        </w:tc>
        <w:tc>
          <w:tcPr>
            <w:tcW w:w="764" w:type="dxa"/>
            <w:tcBorders>
              <w:bottom w:val="single" w:sz="2" w:space="0" w:color="CBCAC8"/>
            </w:tcBorders>
            <w:tcMar>
              <w:bottom w:w="50" w:type="dxa"/>
            </w:tcMar>
            <w:vAlign w:val="center"/>
          </w:tcPr>
          <w:p>
            <w:pPr>
              <w:pStyle w:val="TableContents"/>
              <w:bidi w:val="0"/>
              <w:spacing w:before="0" w:after="283"/>
              <w:jc w:val="right"/>
              <w:rPr/>
            </w:pPr>
            <w:r>
              <w:rPr/>
              <w:t>200%</w:t>
            </w:r>
          </w:p>
        </w:tc>
        <w:tc>
          <w:tcPr>
            <w:tcW w:w="126" w:type="dxa"/>
            <w:tcBorders>
              <w:bottom w:val="single" w:sz="2" w:space="0" w:color="CBCAC8"/>
            </w:tcBorders>
            <w:tcMar>
              <w:bottom w:w="28" w:type="dxa"/>
            </w:tcMar>
            <w:vAlign w:val="center"/>
          </w:tcPr>
          <w:p>
            <w:pPr>
              <w:pStyle w:val="TableContents"/>
              <w:bidi w:val="0"/>
              <w:spacing w:before="0" w:after="283"/>
              <w:jc w:val="left"/>
              <w:rPr/>
            </w:pPr>
            <w:r>
              <w:rPr/>
              <w:t>​</w:t>
            </w:r>
          </w:p>
        </w:tc>
        <w:tc>
          <w:tcPr>
            <w:tcW w:w="156" w:type="dxa"/>
            <w:tcBorders>
              <w:bottom w:val="single" w:sz="2" w:space="0" w:color="CBCAC8"/>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68 \ 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Compensation Discussion and Analysis</w:t>
      </w:r>
      <w:r>
        <w:rPr>
          <w:rFonts w:ascii="Arial;Helvetica;sans-serif" w:hAnsi="Arial;Helvetica;sans-serif"/>
          <w:b/>
          <w:i w:val="false"/>
          <w:caps w:val="false"/>
          <w:smallCaps w:val="false"/>
          <w:color w:val="7F7F7F"/>
          <w:sz w:val="22"/>
        </w:rPr>
        <w:t>​</w:t>
      </w:r>
    </w:p>
    <w:p>
      <w:pPr>
        <w:pStyle w:val="TextBody"/>
        <w:bidi w:val="0"/>
        <w:spacing w:lineRule="atLeast" w:line="230" w:before="120" w:after="283"/>
        <w:ind w:left="9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time-based shares granted to each of our NEOs in February 2025 vest ratably over an approximately three-year period. The first one-third (1/3) tranche of each time-based award vested on February 3, 2026 (the first anniversary of the date of the grant), and the remaining one-third (1/3) tranches vest on December 31, 2026, and December 31, 2027 (in each case, generally subject to continued employment on the applicable vesting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2E2925"/>
          <w:sz w:val="20"/>
        </w:rPr>
      </w:pPr>
      <w:r>
        <w:rPr>
          <w:rFonts w:ascii="Arial;Helvetica;sans-serif" w:hAnsi="Arial;Helvetica;sans-serif"/>
          <w:b/>
          <w:i w:val="false"/>
          <w:caps/>
          <w:color w:val="2E2925"/>
          <w:spacing w:val="-3"/>
          <w:sz w:val="20"/>
        </w:rPr>
        <w:t>OTHER COMPONENTS OF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Deferred Compensation Plan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provides a deferred compensation plan to the NEOs and other highly compensated employees to provide tax-deferred methods for general savings and retirement. Although the Company has the flexibility to make discretionary contributions to the deferred compensation plan, it has not made any such contributions.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Employee Benefits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provides health, life, and other insurance benefits to its NEOs on the same basis as its other full-time employees. The Company does not provide its executives and other employees with defined benefit pension benefits, supplemental retirement benefits, or post-retirement welfare benefits.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Severance Benefits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provide certain severance benefits to our NEOs under their respective employment agreements, and, for Mr. Davis and Mr. Johnstone, their respective offer letters and under The Howard Hughes Management Co. LLC Separation Benefits Plan (as amended and restated, the “Separation Benefits Plan”). For additional information regarding the employment agreements and arrangements with the Company’s NEOs, see “</w:t>
      </w:r>
      <w:r>
        <w:rPr>
          <w:rFonts w:ascii="Arial;Helvetica;sans-serif" w:hAnsi="Arial;Helvetica;sans-serif"/>
          <w:b w:val="false"/>
          <w:i/>
          <w:caps w:val="false"/>
          <w:smallCaps w:val="false"/>
          <w:color w:val="000000"/>
          <w:sz w:val="20"/>
        </w:rPr>
        <w:t>Executive Compensation – Employment Agreements and Arrangements with the NEOs</w:t>
      </w:r>
      <w:r>
        <w:rPr>
          <w:rFonts w:ascii="Arial;Helvetica;sans-serif" w:hAnsi="Arial;Helvetica;sans-serif"/>
          <w:b w:val="false"/>
          <w:i w:val="false"/>
          <w:caps w:val="false"/>
          <w:smallCaps w:val="false"/>
          <w:color w:val="000000"/>
          <w:spacing w:val="-2"/>
          <w:sz w:val="20"/>
        </w:rPr>
        <w:t>” and “</w:t>
      </w:r>
      <w:r>
        <w:rPr>
          <w:rFonts w:ascii="Arial;Helvetica;sans-serif" w:hAnsi="Arial;Helvetica;sans-serif"/>
          <w:b w:val="false"/>
          <w:i/>
          <w:caps w:val="false"/>
          <w:smallCaps w:val="false"/>
          <w:color w:val="000000"/>
          <w:sz w:val="20"/>
        </w:rPr>
        <w:t>Potential Payments Upon Termination or Change in Control</w:t>
      </w:r>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Committee believes that these benefits are necessary and appropriate to attract and retain qualified NEOs given that these benefits are generally made available by other companies and that the change in control benefits help to ensure that the NEOs are able, as a practical matter, to evaluate any potential change in control transaction objectively and to appropriately encourage NEOs to remain employed by the Company in the event a change in control becomes a real possibility.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No Excise Tax “Gross-Up” Payments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does not provide, and no NEO is entitled to receive, any excise tax “gross-up” payments under our employment agreements.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Executive Compensation Recoupment Policy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has adopted an Executive Compensation Recoupment, or clawback, policy regarding recovery of compensation for fiscal years for which financial results are later restated from executive officers whose fraud or willful misconduct contributed to the need for such restatement. Under this policy, in the event of a material restatement of the Company’s financial results due to misconduct, the Compensation Committee will review the facts and circumstances and take the actions it considers appropriate with respect to any executive officer whose fraud or willful misconduct contributed to the need for such restatement. Such actions may include, without limitation, (a) seeking reimbursement of any bonus paid to such officer exceeding the amount that, in the judgment of the Compensation Committee, would have been paid had the financial results been properly reported, and (b) seeking to recover profits received by such officer during the 12 months after the restated period under any equity compensation awards (whether time- or performance-based).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In accordance with applicable stock exchange listing requirements, the Executive Compensation Recoupment policy also </w:t>
      </w:r>
      <w:r>
        <w:rPr>
          <w:rFonts w:ascii="Arial;Helvetica;sans-serif" w:hAnsi="Arial;Helvetica;sans-serif"/>
          <w:b w:val="false"/>
          <w:i w:val="false"/>
          <w:caps w:val="false"/>
          <w:smallCaps w:val="false"/>
          <w:color w:val="000000"/>
          <w:spacing w:val="-2"/>
          <w:sz w:val="20"/>
          <w:u w:val="single"/>
        </w:rPr>
        <w:t>requires</w:t>
      </w:r>
      <w:r>
        <w:rPr>
          <w:rFonts w:ascii="Arial;Helvetica;sans-serif" w:hAnsi="Arial;Helvetica;sans-serif"/>
          <w:b w:val="false"/>
          <w:i w:val="false"/>
          <w:caps w:val="false"/>
          <w:smallCaps w:val="false"/>
          <w:color w:val="000000"/>
          <w:spacing w:val="-2"/>
          <w:sz w:val="20"/>
        </w:rPr>
        <w:t xml:space="preserve"> recoupment of incentive-based compensation received by current or former executive officers in the event that our financial results are later misstated due to material noncompliance with financial reporting requirements, </w:t>
      </w:r>
      <w:r>
        <w:rPr>
          <w:rFonts w:ascii="Arial;Helvetica;sans-serif" w:hAnsi="Arial;Helvetica;sans-serif"/>
          <w:b w:val="false"/>
          <w:i w:val="false"/>
          <w:caps w:val="false"/>
          <w:smallCaps w:val="false"/>
          <w:color w:val="000000"/>
          <w:spacing w:val="-2"/>
          <w:sz w:val="20"/>
          <w:u w:val="single"/>
        </w:rPr>
        <w:t>irrespective</w:t>
      </w:r>
      <w:r>
        <w:rPr>
          <w:rFonts w:ascii="Arial;Helvetica;sans-serif" w:hAnsi="Arial;Helvetica;sans-serif"/>
          <w:b w:val="false"/>
          <w:i w:val="false"/>
          <w:caps w:val="false"/>
          <w:smallCaps w:val="false"/>
          <w:color w:val="000000"/>
          <w:spacing w:val="-2"/>
          <w:sz w:val="20"/>
        </w:rPr>
        <w:t xml:space="preserve"> of any misconduct by, or failure of oversight on the part of, the executive. All determinations made by the Compensation Committee with respect to this policy shall be final and binding on all interested parties. </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/ 69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Compensation Discussion and Analysis</w:t>
      </w:r>
      <w:r>
        <w:rPr>
          <w:rFonts w:ascii="Arial;Helvetica;sans-serif" w:hAnsi="Arial;Helvetica;sans-serif"/>
          <w:b/>
          <w:i w:val="false"/>
          <w:caps w:val="false"/>
          <w:smallCaps w:val="false"/>
          <w:color w:val="7F7F7F"/>
          <w:spacing w:val="-3"/>
          <w:sz w:val="22"/>
        </w:rPr>
        <w:t xml:space="preserve"> </w:t>
      </w:r>
    </w:p>
    <w:p>
      <w:pPr>
        <w:pStyle w:val="TextBody"/>
        <w:bidi w:val="0"/>
        <w:spacing w:lineRule="atLeast" w:line="240" w:before="120" w:after="283"/>
        <w:ind w:left="901"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Deductibility of Compensation/Accounting Considerations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Section 162(m) of the Internal Revenue Code (the “IRC”) places a limit of $1.0 million on the amount of compensation a public company may deduct for federal income tax purposes in any one year paid to certain covered employees, who generally include the chief executive officer, chief financial officer and the three next most highly compensated executive officers, as well as any individual who is (or was) a covered employee for any taxable year beginning after December 31, 2016.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deductibility of compensation is only one factor that the Compensation Committee considers when establishing executive compensation. Because the Compensation Committee believes that it needs to maintain flexibility in compensating executive officers in a manner designed to promote varying corporate goals and to appropriately retain and incentivize our executive officers, the Compensation Committee will not necessarily limit executive compensation to that which is deductible under Section 162(m) and has not adopted a policy requiring that all compensation be deductible.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Likewise, while accounting treatment is another factor that the Compensation Committee considers when establishing executive compensation, the Compensation Committee will not limit executive compensation to that which is treated in any particular way for financial accounting purposes because the Compensation Committee believes that it needs to maintain flexibility in compensating executive officers in a manner designed to promote varying corporate goals and to appropriately retain and incentivize our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Stock Ownership Guidelines (Senior Executives)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has adopted stock ownership requirements for our CEO, CFO and Chief Legal Officer &amp; Secretary to encourage such executives to hold a meaningful stake in the Company and thereby demonstrate the alignment of their interests with those of the stockholders. The Company uses the following methodology for the purpose of determining the level of stock ownership: (1) vested and unvested time-based restricted stock is valued at its current fair market price; (2) unvested performance-based restricted stock is valued at the current fair market price of the threshold vesting level; and (3) stock options granted by the Company are not valued (whether currently exercisable or in the money/out-of-the-money). The requirements also provide that until an executive has met the required level of ownership, such executive is required to retain the after-tax value of common shares received on the exercise of options or warrants and the lapsing of restrictions on common restricted shares. In addition, the Company allows a five-year grace period to reach the ownership requirement with respect to any promotions or newly hired executives. As of August 17, 2026, our NEOs who are subject to the policy are within the grace period for reaching the required ownership level and therefore in compliance with our policy. The requirements are expressed as a multiple of base salary as follows:</w:t>
      </w:r>
      <w:r>
        <w:rPr>
          <w:rFonts w:ascii="Arial;Helvetica;sans-serif" w:hAnsi="Arial;Helvetica;sans-serif"/>
          <w:b w:val="false"/>
          <w:i w:val="false"/>
          <w:caps w:val="false"/>
          <w:smallCaps w:val="false"/>
          <w:color w:val="000000"/>
          <w:spacing w:val="4"/>
          <w:sz w:val="20"/>
        </w:rPr>
        <w:t xml:space="preserve"> </w:t>
      </w:r>
    </w:p>
    <w:tbl>
      <w:tblPr>
        <w:tblW w:w="6420" w:type="dxa"/>
        <w:jc w:val="left"/>
        <w:tblInd w:w="901" w:type="dxa"/>
        <w:tblLayout w:type="fixed"/>
        <w:tblCellMar>
          <w:top w:w="0" w:type="dxa"/>
          <w:left w:w="0" w:type="dxa"/>
          <w:bottom w:w="0" w:type="dxa"/>
          <w:right w:w="0" w:type="dxa"/>
        </w:tblCellMar>
      </w:tblPr>
      <w:tblGrid>
        <w:gridCol w:w="124"/>
        <w:gridCol w:w="3523"/>
        <w:gridCol w:w="109"/>
        <w:gridCol w:w="109"/>
        <w:gridCol w:w="2401"/>
        <w:gridCol w:w="154"/>
      </w:tblGrid>
      <w:tr>
        <w:trPr/>
        <w:tc>
          <w:tcPr>
            <w:tcW w:w="124" w:type="dxa"/>
            <w:tcBorders/>
            <w:shd w:fill="BAD8EA" w:val="clear"/>
            <w:vAlign w:val="center"/>
          </w:tcPr>
          <w:p>
            <w:pPr>
              <w:pStyle w:val="TableContents"/>
              <w:bidi w:val="0"/>
              <w:spacing w:before="0" w:after="283"/>
              <w:jc w:val="left"/>
              <w:rPr/>
            </w:pPr>
            <w:r>
              <w:rPr/>
              <w:t>​</w:t>
            </w:r>
          </w:p>
        </w:tc>
        <w:tc>
          <w:tcPr>
            <w:tcW w:w="3523" w:type="dxa"/>
            <w:tcBorders/>
            <w:shd w:fill="BAD8EA" w:val="clear"/>
            <w:vAlign w:val="center"/>
          </w:tcPr>
          <w:p>
            <w:pPr>
              <w:pStyle w:val="TableContents"/>
              <w:bidi w:val="0"/>
              <w:spacing w:before="0" w:after="0"/>
              <w:jc w:val="left"/>
              <w:rPr>
                <w:spacing w:val="0"/>
              </w:rPr>
            </w:pPr>
            <w:r>
              <w:rPr>
                <w:spacing w:val="0"/>
              </w:rPr>
              <w:t xml:space="preserve">Position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2401" w:type="dxa"/>
            <w:tcBorders/>
            <w:shd w:fill="BAD8EA" w:val="clear"/>
            <w:vAlign w:val="center"/>
          </w:tcPr>
          <w:p>
            <w:pPr>
              <w:pStyle w:val="TableContents"/>
              <w:bidi w:val="0"/>
              <w:spacing w:before="0" w:after="0"/>
              <w:jc w:val="center"/>
              <w:rPr>
                <w:spacing w:val="0"/>
              </w:rPr>
            </w:pPr>
            <w:r>
              <w:rPr>
                <w:spacing w:val="0"/>
              </w:rPr>
              <w:t xml:space="preserve">Multiple of Base Salary </w:t>
            </w:r>
          </w:p>
        </w:tc>
        <w:tc>
          <w:tcPr>
            <w:tcW w:w="154"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523" w:type="dxa"/>
            <w:tcBorders>
              <w:bottom w:val="single" w:sz="2" w:space="0" w:color="CBCAC8"/>
            </w:tcBorders>
            <w:tcMar>
              <w:bottom w:w="30" w:type="dxa"/>
            </w:tcMar>
            <w:vAlign w:val="center"/>
          </w:tcPr>
          <w:p>
            <w:pPr>
              <w:pStyle w:val="TableContents"/>
              <w:bidi w:val="0"/>
              <w:spacing w:lineRule="atLeast" w:line="200" w:before="0" w:after="0"/>
              <w:ind w:left="360" w:right="0" w:hanging="0"/>
              <w:jc w:val="left"/>
              <w:rPr>
                <w:spacing w:val="-2"/>
              </w:rPr>
            </w:pPr>
            <w:r>
              <w:rPr>
                <w:spacing w:val="-2"/>
              </w:rPr>
              <w:t xml:space="preserve">Chief Executive Officer </w:t>
            </w:r>
            <w:r>
              <mc:AlternateContent>
                <mc:Choice Requires="wps">
                  <w:drawing>
                    <wp:anchor behindDoc="0" distT="0" distB="0" distL="0" distR="0" simplePos="0" locked="0" layoutInCell="1" allowOverlap="1" relativeHeight="534">
                      <wp:simplePos x="0" y="0"/>
                      <wp:positionH relativeFrom="column">
                        <wp:align>left</wp:align>
                      </wp:positionH>
                      <wp:positionV relativeFrom="line">
                        <wp:posOffset>635</wp:posOffset>
                      </wp:positionV>
                      <wp:extent cx="228600" cy="350520"/>
                      <wp:effectExtent l="0" t="0" r="0" b="0"/>
                      <wp:wrapSquare wrapText="right"/>
                      <wp:docPr id="547" name="Frame41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401" w:type="dxa"/>
            <w:tcBorders>
              <w:bottom w:val="single" w:sz="2" w:space="0" w:color="CBCAC8"/>
            </w:tcBorders>
            <w:tcMar>
              <w:bottom w:w="30" w:type="dxa"/>
            </w:tcMar>
            <w:vAlign w:val="center"/>
          </w:tcPr>
          <w:p>
            <w:pPr>
              <w:pStyle w:val="TableContents"/>
              <w:bidi w:val="0"/>
              <w:spacing w:lineRule="atLeast" w:line="200" w:before="0" w:after="0"/>
              <w:ind w:left="360" w:right="0" w:hanging="0"/>
              <w:jc w:val="left"/>
              <w:rPr>
                <w:spacing w:val="-2"/>
              </w:rPr>
            </w:pPr>
            <w:r>
              <w:rPr>
                <w:spacing w:val="-2"/>
              </w:rPr>
              <w:t xml:space="preserve">5x </w:t>
            </w:r>
            <w:r>
              <mc:AlternateContent>
                <mc:Choice Requires="wps">
                  <w:drawing>
                    <wp:anchor behindDoc="0" distT="0" distB="0" distL="0" distR="0" simplePos="0" locked="0" layoutInCell="1" allowOverlap="1" relativeHeight="535">
                      <wp:simplePos x="0" y="0"/>
                      <wp:positionH relativeFrom="column">
                        <wp:align>left</wp:align>
                      </wp:positionH>
                      <wp:positionV relativeFrom="line">
                        <wp:posOffset>635</wp:posOffset>
                      </wp:positionV>
                      <wp:extent cx="228600" cy="350520"/>
                      <wp:effectExtent l="0" t="0" r="0" b="0"/>
                      <wp:wrapSquare wrapText="right"/>
                      <wp:docPr id="548" name="Frame41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523" w:type="dxa"/>
            <w:tcBorders>
              <w:bottom w:val="single" w:sz="2" w:space="0" w:color="CBCAC8"/>
            </w:tcBorders>
            <w:tcMar>
              <w:bottom w:w="30" w:type="dxa"/>
            </w:tcMar>
            <w:vAlign w:val="center"/>
          </w:tcPr>
          <w:p>
            <w:pPr>
              <w:pStyle w:val="TableContents"/>
              <w:bidi w:val="0"/>
              <w:spacing w:lineRule="atLeast" w:line="200" w:before="0" w:after="0"/>
              <w:ind w:left="360" w:right="0" w:hanging="0"/>
              <w:jc w:val="left"/>
              <w:rPr>
                <w:spacing w:val="-2"/>
              </w:rPr>
            </w:pPr>
            <w:r>
              <w:rPr>
                <w:spacing w:val="-2"/>
              </w:rPr>
              <w:t xml:space="preserve">Chief Financial Officer </w:t>
            </w:r>
            <w:r>
              <mc:AlternateContent>
                <mc:Choice Requires="wps">
                  <w:drawing>
                    <wp:anchor behindDoc="0" distT="0" distB="0" distL="0" distR="0" simplePos="0" locked="0" layoutInCell="1" allowOverlap="1" relativeHeight="536">
                      <wp:simplePos x="0" y="0"/>
                      <wp:positionH relativeFrom="column">
                        <wp:align>left</wp:align>
                      </wp:positionH>
                      <wp:positionV relativeFrom="line">
                        <wp:posOffset>635</wp:posOffset>
                      </wp:positionV>
                      <wp:extent cx="228600" cy="350520"/>
                      <wp:effectExtent l="0" t="0" r="0" b="0"/>
                      <wp:wrapSquare wrapText="right"/>
                      <wp:docPr id="549" name="Frame42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401" w:type="dxa"/>
            <w:tcBorders>
              <w:bottom w:val="single" w:sz="2" w:space="0" w:color="CBCAC8"/>
            </w:tcBorders>
            <w:tcMar>
              <w:bottom w:w="30" w:type="dxa"/>
            </w:tcMar>
            <w:vAlign w:val="center"/>
          </w:tcPr>
          <w:p>
            <w:pPr>
              <w:pStyle w:val="TableContents"/>
              <w:bidi w:val="0"/>
              <w:spacing w:lineRule="atLeast" w:line="200" w:before="0" w:after="0"/>
              <w:ind w:left="360" w:right="0" w:hanging="0"/>
              <w:jc w:val="left"/>
              <w:rPr>
                <w:spacing w:val="-2"/>
              </w:rPr>
            </w:pPr>
            <w:r>
              <w:rPr>
                <w:spacing w:val="-2"/>
              </w:rPr>
              <w:t xml:space="preserve">3x </w:t>
            </w:r>
            <w:r>
              <mc:AlternateContent>
                <mc:Choice Requires="wps">
                  <w:drawing>
                    <wp:anchor behindDoc="0" distT="0" distB="0" distL="0" distR="0" simplePos="0" locked="0" layoutInCell="1" allowOverlap="1" relativeHeight="537">
                      <wp:simplePos x="0" y="0"/>
                      <wp:positionH relativeFrom="column">
                        <wp:align>left</wp:align>
                      </wp:positionH>
                      <wp:positionV relativeFrom="line">
                        <wp:posOffset>635</wp:posOffset>
                      </wp:positionV>
                      <wp:extent cx="228600" cy="350520"/>
                      <wp:effectExtent l="0" t="0" r="0" b="0"/>
                      <wp:wrapSquare wrapText="right"/>
                      <wp:docPr id="550" name="Frame42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8" w:space="0" w:color="7F7F7F"/>
            </w:tcBorders>
            <w:tcMar>
              <w:bottom w:w="28" w:type="dxa"/>
            </w:tcMar>
            <w:vAlign w:val="center"/>
          </w:tcPr>
          <w:p>
            <w:pPr>
              <w:pStyle w:val="TableContents"/>
              <w:bidi w:val="0"/>
              <w:spacing w:before="0" w:after="283"/>
              <w:jc w:val="left"/>
              <w:rPr/>
            </w:pPr>
            <w:r>
              <w:rPr/>
              <w:t>​</w:t>
            </w:r>
          </w:p>
        </w:tc>
        <w:tc>
          <w:tcPr>
            <w:tcW w:w="3523" w:type="dxa"/>
            <w:tcBorders>
              <w:bottom w:val="single" w:sz="8" w:space="0" w:color="7F7F7F"/>
            </w:tcBorders>
            <w:tcMar>
              <w:bottom w:w="80" w:type="dxa"/>
            </w:tcMar>
            <w:vAlign w:val="center"/>
          </w:tcPr>
          <w:p>
            <w:pPr>
              <w:pStyle w:val="TableContents"/>
              <w:bidi w:val="0"/>
              <w:spacing w:lineRule="atLeast" w:line="200" w:before="0" w:after="0"/>
              <w:ind w:left="360" w:right="0" w:hanging="0"/>
              <w:jc w:val="left"/>
              <w:rPr>
                <w:spacing w:val="-2"/>
              </w:rPr>
            </w:pPr>
            <w:r>
              <w:rPr>
                <w:spacing w:val="-2"/>
              </w:rPr>
              <w:t xml:space="preserve">Chief Legal Officer &amp; Secretary </w:t>
            </w:r>
            <w:r>
              <mc:AlternateContent>
                <mc:Choice Requires="wps">
                  <w:drawing>
                    <wp:anchor behindDoc="0" distT="0" distB="0" distL="0" distR="0" simplePos="0" locked="0" layoutInCell="1" allowOverlap="1" relativeHeight="538">
                      <wp:simplePos x="0" y="0"/>
                      <wp:positionH relativeFrom="column">
                        <wp:align>left</wp:align>
                      </wp:positionH>
                      <wp:positionV relativeFrom="line">
                        <wp:posOffset>635</wp:posOffset>
                      </wp:positionV>
                      <wp:extent cx="228600" cy="350520"/>
                      <wp:effectExtent l="0" t="0" r="0" b="0"/>
                      <wp:wrapSquare wrapText="right"/>
                      <wp:docPr id="551" name="Frame42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2401" w:type="dxa"/>
            <w:tcBorders>
              <w:bottom w:val="single" w:sz="8" w:space="0" w:color="7F7F7F"/>
            </w:tcBorders>
            <w:tcMar>
              <w:bottom w:w="80" w:type="dxa"/>
            </w:tcMar>
            <w:vAlign w:val="center"/>
          </w:tcPr>
          <w:p>
            <w:pPr>
              <w:pStyle w:val="TableContents"/>
              <w:bidi w:val="0"/>
              <w:spacing w:lineRule="atLeast" w:line="200" w:before="0" w:after="0"/>
              <w:ind w:left="360" w:right="0" w:hanging="0"/>
              <w:jc w:val="left"/>
              <w:rPr/>
            </w:pPr>
            <w:r>
              <w:rPr>
                <w:spacing w:val="-2"/>
              </w:rPr>
              <w:t>2x</w:t>
            </w:r>
            <w:r>
              <w:rPr/>
              <w:t xml:space="preserve"> </w:t>
            </w:r>
            <w:r>
              <mc:AlternateContent>
                <mc:Choice Requires="wps">
                  <w:drawing>
                    <wp:anchor behindDoc="0" distT="0" distB="0" distL="0" distR="0" simplePos="0" locked="0" layoutInCell="1" allowOverlap="1" relativeHeight="539">
                      <wp:simplePos x="0" y="0"/>
                      <wp:positionH relativeFrom="column">
                        <wp:align>left</wp:align>
                      </wp:positionH>
                      <wp:positionV relativeFrom="line">
                        <wp:posOffset>635</wp:posOffset>
                      </wp:positionV>
                      <wp:extent cx="228600" cy="350520"/>
                      <wp:effectExtent l="0" t="0" r="0" b="0"/>
                      <wp:wrapSquare wrapText="right"/>
                      <wp:docPr id="552" name="Frame42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8" w:space="0" w:color="7F7F7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18" w:after="283"/>
        <w:ind w:left="901"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Hedging/Pledging Policy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Company’s insider trading policy includes a prohibition on hedging or pledging our securities. Executive officers are not permitted to be a party to hedging transactions to ensure their objectives and risk remain aligned with those of our stockholders. In addition, executive officers may not pledge as collateral any securities of the Company. By virtue of his position as CEO of PSCM, Mr. Ackman may be deemed to be the beneficial owner of securities held by Pershing Square, its affiliates and the Pershing Square Funds. Mr. Ackman is exempt from prohibitions on hedging or pledging in the policy solely in connection with any hedging or swap transactions based on derivatives of Company Securities entered into by Pershing Square, its affiliates and the Pershing Square Funds.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Insider Trading Policy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Company has insider trading policies and procedures that are reasonably designed to promote compliance with insider trading laws, rules and regulations, and NYSE listing standards and govern the buying and selling of securities </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70 \ 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Compensation Discussion and Analysis</w:t>
      </w:r>
      <w:r>
        <w:rPr>
          <w:rFonts w:ascii="Arial;Helvetica;sans-serif" w:hAnsi="Arial;Helvetica;sans-serif"/>
          <w:b/>
          <w:i w:val="false"/>
          <w:caps w:val="false"/>
          <w:smallCaps w:val="false"/>
          <w:color w:val="7F7F7F"/>
          <w:sz w:val="22"/>
        </w:rPr>
        <w:t>​</w:t>
      </w:r>
    </w:p>
    <w:p>
      <w:pPr>
        <w:pStyle w:val="TextBody"/>
        <w:bidi w:val="0"/>
        <w:spacing w:lineRule="atLeast" w:line="240" w:before="120" w:after="7120"/>
        <w:ind w:left="9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of the Company and its subsidiaries by directors, officers, and employees, and related persons, as well as by the Company itself. A copy of our Insider Trading Policy was filed with the Company’s FY2025 Annual Report on Form 10-K as Exhibit 19.1.</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Equity Grant Practices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Generally, equity grants to executives and other employees have been approved at regularly scheduled Compensation Committee meetings, except for special situations such as new hire grants. Since we became a standalone public company in 2010 in connection with our spinoff from General Growth Properties, or GGP, our annual grants to executives and employees (including in fiscal 2025) have been reviewed by the Compensation Committee at its first regularly scheduled meeting during the applicable year. The regular Compensation Committee meeting schedule is typically set at least a year in advance, with meetings to approve annual equity grants to executives and employees held in late-January or early-February. The annual grants are typically approved by the Committee at its first annual meeting; however, the Compensation Committee may further evaluate proposed grant amounts and/or terms prior to approving via written consent or at a reconvened meeting held in February. Additionally, specific grants may be made at other Committee meetings to recognize an employee’s promotion, change in responsibility or specific achievement, or to achieve other key compensation objectives, such as retention. We do not time material non-public information (“MNPI”) disclosure for purposes of affecting the value of executive compensation. We do not take MNPI into account when determining the timing and terms of awards. At the time equity grant decisions are made, the Compensation Committee may be aware of the earnings results, but it does not adjust the size or the mix of grants to reflect possible market reaction.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restricted stock grants do not accrue or pay dividends or dividend equivalents prior to vesting.</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/ 71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CCRO"/>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480" w:before="200" w:after="283"/>
        <w:ind w:left="80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480" w:before="240" w:after="283"/>
        <w:ind w:left="800" w:right="0" w:hanging="0"/>
        <w:jc w:val="left"/>
        <w:rPr>
          <w:rFonts w:ascii="Arial;Helvetica;sans-serif" w:hAnsi="Arial;Helvetica;sans-serif"/>
          <w:b/>
          <w:i w:val="false"/>
          <w:caps w:val="false"/>
          <w:smallCaps w:val="false"/>
          <w:color w:val="000000"/>
          <w:sz w:val="44"/>
        </w:rPr>
      </w:pPr>
      <w:r>
        <w:rPr>
          <w:rFonts w:ascii="Arial;Helvetica;sans-serif" w:hAnsi="Arial;Helvetica;sans-serif"/>
          <w:b/>
          <w:i w:val="false"/>
          <w:caps w:val="false"/>
          <w:smallCaps w:val="false"/>
          <w:color w:val="000000"/>
          <w:spacing w:val="-1"/>
          <w:sz w:val="44"/>
        </w:rPr>
        <w:t xml:space="preserve">Compensation Committee Report on </w:t>
        <w:br/>
        <w:t>Executive Compensation</w:t>
      </w:r>
      <w:r>
        <w:rPr>
          <w:rFonts w:ascii="Arial;Helvetica;sans-serif" w:hAnsi="Arial;Helvetica;sans-serif"/>
          <w:b/>
          <w:i w:val="false"/>
          <w:caps w:val="false"/>
          <w:smallCaps w:val="false"/>
          <w:color w:val="000000"/>
          <w:spacing w:val="-3"/>
          <w:sz w:val="44"/>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540">
                <wp:simplePos x="0" y="0"/>
                <wp:positionH relativeFrom="column">
                  <wp:align>left</wp:align>
                </wp:positionH>
                <wp:positionV relativeFrom="line">
                  <wp:posOffset>635</wp:posOffset>
                </wp:positionV>
                <wp:extent cx="3054350" cy="876300"/>
                <wp:effectExtent l="0" t="0" r="0" b="0"/>
                <wp:wrapSquare wrapText="right"/>
                <wp:docPr id="553" name="Frame424"/>
                <a:graphic xmlns:a="http://schemas.openxmlformats.org/drawingml/2006/main">
                  <a:graphicData uri="http://schemas.microsoft.com/office/word/2010/wordprocessingShape">
                    <wps:wsp>
                      <wps:cNvSpPr txBox="1"/>
                      <wps:spPr>
                        <a:xfrm>
                          <a:off x="0" y="0"/>
                          <a:ext cx="3054350" cy="876300"/>
                        </a:xfrm>
                        <a:prstGeom prst="rect"/>
                        <a:solidFill>
                          <a:srgbClr val="FFFFFF"/>
                        </a:solidFill>
                      </wps:spPr>
                      <wps:txbx>
                        <w:txbxContent>
                          <w:p>
                            <w:pPr>
                              <w:pStyle w:val="TextBody"/>
                              <w:bidi w:val="0"/>
                              <w:spacing w:lineRule="atLeast" w:line="250" w:before="0" w:after="0"/>
                              <w:jc w:val="both"/>
                              <w:rPr>
                                <w:spacing w:val="-2"/>
                              </w:rPr>
                            </w:pPr>
                            <w:r>
                              <w:rPr>
                                <w:spacing w:val="-2"/>
                              </w:rPr>
                              <w:t xml:space="preserve">The Compensation Committee has reviewed and discussed the Compensation Discussion and Analysis required by Item 402(b) of Regulation S-K with management and, based on such review and discussions, the Compensation Committee </w:t>
                            </w:r>
                          </w:p>
                        </w:txbxContent>
                      </wps:txbx>
                      <wps:bodyPr anchor="t" lIns="0" tIns="0" rIns="0" bIns="0">
                        <a:noAutofit/>
                      </wps:bodyPr>
                    </wps:wsp>
                  </a:graphicData>
                </a:graphic>
              </wp:anchor>
            </w:drawing>
          </mc:Choice>
          <mc:Fallback>
            <w:pict>
              <v:rect style="position:absolute;rotation:-0;width:240.5pt;height:69pt;mso-wrap-distance-left:45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lineRule="atLeast" w:line="250" w:before="0" w:after="0"/>
                        <w:jc w:val="both"/>
                        <w:rPr>
                          <w:spacing w:val="-2"/>
                        </w:rPr>
                      </w:pPr>
                      <w:r>
                        <w:rPr>
                          <w:spacing w:val="-2"/>
                        </w:rPr>
                        <w:t xml:space="preserve">The Compensation Committee has reviewed and discussed the Compensation Discussion and Analysis required by Item 402(b) of Regulation S-K with management and, based on such review and discussions, the Compensation Committee </w:t>
                      </w:r>
                    </w:p>
                  </w:txbxContent>
                </v:textbox>
                <w10:wrap type="square" side="right"/>
              </v:rect>
            </w:pict>
          </mc:Fallback>
        </mc:AlternateContent>
      </w:r>
      <w:r>
        <mc:AlternateContent>
          <mc:Choice Requires="wps">
            <w:drawing>
              <wp:anchor behindDoc="0" distT="0" distB="0" distL="304800" distR="0" simplePos="0" locked="0" layoutInCell="1" allowOverlap="1" relativeHeight="541">
                <wp:simplePos x="0" y="0"/>
                <wp:positionH relativeFrom="column">
                  <wp:align>left</wp:align>
                </wp:positionH>
                <wp:positionV relativeFrom="line">
                  <wp:posOffset>635</wp:posOffset>
                </wp:positionV>
                <wp:extent cx="3054350" cy="1880235"/>
                <wp:effectExtent l="0" t="0" r="0" b="0"/>
                <wp:wrapSquare wrapText="right"/>
                <wp:docPr id="554" name="Frame425"/>
                <a:graphic xmlns:a="http://schemas.openxmlformats.org/drawingml/2006/main">
                  <a:graphicData uri="http://schemas.microsoft.com/office/word/2010/wordprocessingShape">
                    <wps:wsp>
                      <wps:cNvSpPr txBox="1"/>
                      <wps:spPr>
                        <a:xfrm>
                          <a:off x="0" y="0"/>
                          <a:ext cx="3054350" cy="1880235"/>
                        </a:xfrm>
                        <a:prstGeom prst="rect"/>
                        <a:solidFill>
                          <a:srgbClr val="FFFFFF"/>
                        </a:solidFill>
                      </wps:spPr>
                      <wps:txbx>
                        <w:txbxContent>
                          <w:p>
                            <w:pPr>
                              <w:pStyle w:val="TextBody"/>
                              <w:bidi w:val="0"/>
                              <w:spacing w:lineRule="atLeast" w:line="230" w:before="0" w:after="0"/>
                              <w:jc w:val="both"/>
                              <w:rPr/>
                            </w:pPr>
                            <w:r>
                              <w:rPr>
                                <w:spacing w:val="-2"/>
                              </w:rPr>
                              <w:t>recommended to the Board that the Compensation Discussion and Analysis be included in this Proxy Statement.</w:t>
                            </w:r>
                            <w:r>
                              <w:rPr>
                                <w:spacing w:val="4"/>
                              </w:rPr>
                              <w:t xml:space="preserve"> </w:t>
                            </w:r>
                          </w:p>
                          <w:p>
                            <w:pPr>
                              <w:pStyle w:val="TextBody"/>
                              <w:bidi w:val="0"/>
                              <w:spacing w:lineRule="atLeast" w:line="240" w:before="230" w:after="283"/>
                              <w:jc w:val="left"/>
                              <w:rPr>
                                <w:b/>
                              </w:rPr>
                            </w:pPr>
                            <w:r>
                              <w:rPr>
                                <w:b/>
                                <w:spacing w:val="-3"/>
                              </w:rPr>
                              <w:t>THE COMPENSATION COMMITTEE</w:t>
                            </w:r>
                            <w:r>
                              <w:rPr>
                                <w:b/>
                                <w:spacing w:val="4"/>
                              </w:rPr>
                              <w:t xml:space="preserve"> </w:t>
                            </w:r>
                          </w:p>
                          <w:p>
                            <w:pPr>
                              <w:pStyle w:val="TextBody"/>
                              <w:bidi w:val="0"/>
                              <w:spacing w:lineRule="atLeast" w:line="230" w:before="240" w:after="283"/>
                              <w:jc w:val="left"/>
                              <w:rPr>
                                <w:spacing w:val="-2"/>
                              </w:rPr>
                            </w:pPr>
                            <w:r>
                              <w:rPr>
                                <w:spacing w:val="-2"/>
                              </w:rPr>
                              <w:t xml:space="preserve">R. Scot Sellers, </w:t>
                              <w:br/>
                              <w:t xml:space="preserve">Chair </w:t>
                              <w:br/>
                              <w:t xml:space="preserve">Mary Ann Tighe </w:t>
                              <w:br/>
                              <w:t>Anthony Williams</w:t>
                            </w:r>
                          </w:p>
                        </w:txbxContent>
                      </wps:txbx>
                      <wps:bodyPr anchor="t" lIns="0" tIns="0" rIns="0" bIns="0">
                        <a:noAutofit/>
                      </wps:bodyPr>
                    </wps:wsp>
                  </a:graphicData>
                </a:graphic>
              </wp:anchor>
            </w:drawing>
          </mc:Choice>
          <mc:Fallback>
            <w:pict>
              <v:rect style="position:absolute;rotation:-0;width:240.5pt;height:148.0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30" w:before="0" w:after="0"/>
                        <w:jc w:val="both"/>
                        <w:rPr/>
                      </w:pPr>
                      <w:r>
                        <w:rPr>
                          <w:spacing w:val="-2"/>
                        </w:rPr>
                        <w:t>recommended to the Board that the Compensation Discussion and Analysis be included in this Proxy Statement.</w:t>
                      </w:r>
                      <w:r>
                        <w:rPr>
                          <w:spacing w:val="4"/>
                        </w:rPr>
                        <w:t xml:space="preserve"> </w:t>
                      </w:r>
                    </w:p>
                    <w:p>
                      <w:pPr>
                        <w:pStyle w:val="TextBody"/>
                        <w:bidi w:val="0"/>
                        <w:spacing w:lineRule="atLeast" w:line="240" w:before="230" w:after="283"/>
                        <w:jc w:val="left"/>
                        <w:rPr>
                          <w:b/>
                        </w:rPr>
                      </w:pPr>
                      <w:r>
                        <w:rPr>
                          <w:b/>
                          <w:spacing w:val="-3"/>
                        </w:rPr>
                        <w:t>THE COMPENSATION COMMITTEE</w:t>
                      </w:r>
                      <w:r>
                        <w:rPr>
                          <w:b/>
                          <w:spacing w:val="4"/>
                        </w:rPr>
                        <w:t xml:space="preserve"> </w:t>
                      </w:r>
                    </w:p>
                    <w:p>
                      <w:pPr>
                        <w:pStyle w:val="TextBody"/>
                        <w:bidi w:val="0"/>
                        <w:spacing w:lineRule="atLeast" w:line="230" w:before="240" w:after="283"/>
                        <w:jc w:val="left"/>
                        <w:rPr>
                          <w:spacing w:val="-2"/>
                        </w:rPr>
                      </w:pPr>
                      <w:r>
                        <w:rPr>
                          <w:spacing w:val="-2"/>
                        </w:rPr>
                        <w:t xml:space="preserve">R. Scot Sellers, </w:t>
                        <w:br/>
                        <w:t xml:space="preserve">Chair </w:t>
                        <w:br/>
                        <w:t xml:space="preserve">Mary Ann Tighe </w:t>
                        <w:br/>
                        <w:t>Anthony Williams</w:t>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72 \ 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EXCO1"/>
      <w:bookmarkEnd w:id="64"/>
      <w:r>
        <w:rPr>
          <w:rFonts w:ascii="calibri;arial;sans-serif" w:hAnsi="calibri;arial;sans-serif"/>
          <w:b w:val="false"/>
          <w:i w:val="false"/>
          <w:caps w:val="false"/>
          <w:smallCaps w:val="false"/>
          <w:color w:val="000000"/>
          <w:sz w:val="16"/>
        </w:rPr>
        <w:t>​</w:t>
      </w:r>
      <w:bookmarkStart w:id="65" w:name="tSCT"/>
      <w:bookmarkEnd w:id="65"/>
      <w:r>
        <w:rPr>
          <w:rFonts w:ascii="calibri;arial;sans-serif" w:hAnsi="calibri;arial;sans-serif"/>
          <w:b w:val="false"/>
          <w:i w:val="false"/>
          <w:caps w:val="false"/>
          <w:smallCaps w:val="false"/>
          <w:color w:val="000000"/>
          <w:sz w:val="16"/>
        </w:rPr>
        <w:t xml:space="preserve">​ </w:t>
      </w:r>
    </w:p>
    <w:p>
      <w:pPr>
        <w:pStyle w:val="TextBody"/>
        <w:bidi w:val="0"/>
        <w:spacing w:lineRule="atLeast" w:line="480" w:before="200" w:after="580"/>
        <w:ind w:left="80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480" w:before="674" w:after="283"/>
        <w:ind w:left="800" w:right="0" w:hanging="0"/>
        <w:jc w:val="left"/>
        <w:rPr>
          <w:rFonts w:ascii="Arial;Helvetica;sans-serif" w:hAnsi="Arial;Helvetica;sans-serif"/>
          <w:b/>
          <w:i w:val="false"/>
          <w:caps w:val="false"/>
          <w:smallCaps w:val="false"/>
          <w:color w:val="000000"/>
          <w:sz w:val="44"/>
        </w:rPr>
      </w:pPr>
      <w:r>
        <w:rPr>
          <w:rFonts w:ascii="Arial;Helvetica;sans-serif" w:hAnsi="Arial;Helvetica;sans-serif"/>
          <w:b/>
          <w:i w:val="false"/>
          <w:caps w:val="false"/>
          <w:smallCaps w:val="false"/>
          <w:color w:val="000000"/>
          <w:spacing w:val="-1"/>
          <w:sz w:val="44"/>
        </w:rPr>
        <w:t>Executive Compensation</w:t>
      </w:r>
      <w:r>
        <w:rPr>
          <w:rFonts w:ascii="Arial;Helvetica;sans-serif" w:hAnsi="Arial;Helvetica;sans-serif"/>
          <w:b/>
          <w:i w:val="false"/>
          <w:caps w:val="false"/>
          <w:smallCaps w:val="false"/>
          <w:color w:val="000000"/>
          <w:spacing w:val="-3"/>
          <w:sz w:val="44"/>
        </w:rPr>
        <w:t xml:space="preserve"> </w:t>
      </w:r>
    </w:p>
    <w:p>
      <w:pPr>
        <w:pStyle w:val="TextBody"/>
        <w:bidi w:val="0"/>
        <w:spacing w:lineRule="atLeast" w:line="230" w:before="160" w:after="283"/>
        <w:ind w:left="90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tables, narrative and footnotes discuss the compensation of our NEOs. The following tables and related information should be read together with the disclosure regarding the executive compensation program presented under the caption “</w:t>
      </w:r>
      <w:r>
        <w:rPr>
          <w:rFonts w:ascii="Arial;Helvetica;sans-serif" w:hAnsi="Arial;Helvetica;sans-serif"/>
          <w:b w:val="false"/>
          <w:i/>
          <w:caps w:val="false"/>
          <w:smallCaps w:val="false"/>
          <w:color w:val="000000"/>
          <w:sz w:val="20"/>
        </w:rPr>
        <w:t>Compensation Discussion and Analysis</w:t>
      </w:r>
      <w:r>
        <w:rPr>
          <w:rFonts w:ascii="Arial;Helvetica;sans-serif" w:hAnsi="Arial;Helvetica;sans-serif"/>
          <w:b w:val="false"/>
          <w:i w:val="false"/>
          <w:caps w:val="false"/>
          <w:smallCaps w:val="false"/>
          <w:color w:val="000000"/>
          <w:spacing w:val="-2"/>
          <w:sz w:val="20"/>
        </w:rPr>
        <w:t>”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40" w:before="320" w:after="283"/>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SUMMARY COMPENSATION TABLE</w:t>
      </w:r>
      <w:r>
        <w:rPr>
          <w:rFonts w:ascii="Arial;Helvetica;sans-serif" w:hAnsi="Arial;Helvetica;sans-serif"/>
          <w:b/>
          <w:i w:val="false"/>
          <w:caps w:val="false"/>
          <w:smallCaps w:val="false"/>
          <w:color w:val="000000"/>
          <w:spacing w:val="6"/>
          <w:sz w:val="30"/>
        </w:rPr>
        <w:t xml:space="preserve"> </w:t>
      </w:r>
    </w:p>
    <w:tbl>
      <w:tblPr>
        <w:tblW w:w="15780" w:type="dxa"/>
        <w:jc w:val="left"/>
        <w:tblInd w:w="900" w:type="dxa"/>
        <w:tblLayout w:type="fixed"/>
        <w:tblCellMar>
          <w:top w:w="0" w:type="dxa"/>
          <w:left w:w="0" w:type="dxa"/>
          <w:bottom w:w="0" w:type="dxa"/>
          <w:right w:w="0" w:type="dxa"/>
        </w:tblCellMar>
      </w:tblPr>
      <w:tblGrid>
        <w:gridCol w:w="124"/>
        <w:gridCol w:w="1966"/>
        <w:gridCol w:w="109"/>
        <w:gridCol w:w="109"/>
        <w:gridCol w:w="109"/>
        <w:gridCol w:w="109"/>
        <w:gridCol w:w="586"/>
        <w:gridCol w:w="109"/>
        <w:gridCol w:w="109"/>
        <w:gridCol w:w="109"/>
        <w:gridCol w:w="109"/>
        <w:gridCol w:w="109"/>
        <w:gridCol w:w="1066"/>
        <w:gridCol w:w="109"/>
        <w:gridCol w:w="109"/>
        <w:gridCol w:w="109"/>
        <w:gridCol w:w="109"/>
        <w:gridCol w:w="109"/>
        <w:gridCol w:w="886"/>
        <w:gridCol w:w="109"/>
        <w:gridCol w:w="109"/>
        <w:gridCol w:w="109"/>
        <w:gridCol w:w="109"/>
        <w:gridCol w:w="109"/>
        <w:gridCol w:w="1066"/>
        <w:gridCol w:w="109"/>
        <w:gridCol w:w="109"/>
        <w:gridCol w:w="109"/>
        <w:gridCol w:w="168"/>
        <w:gridCol w:w="168"/>
        <w:gridCol w:w="349"/>
        <w:gridCol w:w="171"/>
        <w:gridCol w:w="109"/>
        <w:gridCol w:w="109"/>
        <w:gridCol w:w="117"/>
        <w:gridCol w:w="117"/>
        <w:gridCol w:w="1148"/>
        <w:gridCol w:w="119"/>
        <w:gridCol w:w="109"/>
        <w:gridCol w:w="109"/>
        <w:gridCol w:w="278"/>
        <w:gridCol w:w="278"/>
        <w:gridCol w:w="576"/>
        <w:gridCol w:w="279"/>
        <w:gridCol w:w="109"/>
        <w:gridCol w:w="109"/>
        <w:gridCol w:w="117"/>
        <w:gridCol w:w="117"/>
        <w:gridCol w:w="1148"/>
        <w:gridCol w:w="119"/>
        <w:gridCol w:w="109"/>
        <w:gridCol w:w="109"/>
        <w:gridCol w:w="109"/>
        <w:gridCol w:w="109"/>
        <w:gridCol w:w="1066"/>
        <w:gridCol w:w="109"/>
        <w:gridCol w:w="154"/>
      </w:tblGrid>
      <w:tr>
        <w:trPr/>
        <w:tc>
          <w:tcPr>
            <w:tcW w:w="124" w:type="dxa"/>
            <w:tcBorders/>
            <w:shd w:fill="BAD8EA" w:val="clear"/>
            <w:vAlign w:val="center"/>
          </w:tcPr>
          <w:p>
            <w:pPr>
              <w:pStyle w:val="TableContents"/>
              <w:bidi w:val="0"/>
              <w:spacing w:before="0" w:after="283"/>
              <w:jc w:val="left"/>
              <w:rPr/>
            </w:pPr>
            <w:r>
              <w:rPr/>
              <w:t>​</w:t>
            </w:r>
          </w:p>
        </w:tc>
        <w:tc>
          <w:tcPr>
            <w:tcW w:w="1966" w:type="dxa"/>
            <w:tcBorders/>
            <w:shd w:fill="BAD8EA" w:val="clear"/>
            <w:vAlign w:val="center"/>
          </w:tcPr>
          <w:p>
            <w:pPr>
              <w:pStyle w:val="TableContents"/>
              <w:bidi w:val="0"/>
              <w:spacing w:before="0" w:after="283"/>
              <w:jc w:val="left"/>
              <w:rPr>
                <w:spacing w:val="0"/>
              </w:rPr>
            </w:pPr>
            <w:r>
              <w:rPr>
                <w:spacing w:val="0"/>
              </w:rPr>
              <w:t xml:space="preserve">Name and </w:t>
              <w:br/>
              <w:t xml:space="preserve">Principal Position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913" w:type="dxa"/>
            <w:gridSpan w:val="4"/>
            <w:tcBorders/>
            <w:shd w:fill="BAD8EA" w:val="clear"/>
            <w:vAlign w:val="center"/>
          </w:tcPr>
          <w:p>
            <w:pPr>
              <w:pStyle w:val="TableContents"/>
              <w:bidi w:val="0"/>
              <w:spacing w:before="0" w:after="0"/>
              <w:jc w:val="center"/>
              <w:rPr>
                <w:spacing w:val="0"/>
              </w:rPr>
            </w:pPr>
            <w:r>
              <w:rPr>
                <w:spacing w:val="0"/>
              </w:rPr>
              <w:t xml:space="preserve">Year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393" w:type="dxa"/>
            <w:gridSpan w:val="4"/>
            <w:tcBorders/>
            <w:shd w:fill="BAD8EA" w:val="clear"/>
            <w:vAlign w:val="center"/>
          </w:tcPr>
          <w:p>
            <w:pPr>
              <w:pStyle w:val="TableContents"/>
              <w:bidi w:val="0"/>
              <w:spacing w:before="0" w:after="0"/>
              <w:jc w:val="center"/>
              <w:rPr/>
            </w:pPr>
            <w:r>
              <w:rPr>
                <w:spacing w:val="0"/>
              </w:rPr>
              <w:t>Salary</w:t>
            </w:r>
            <w:r>
              <w:rPr/>
              <w:t xml:space="preserve"> </w:t>
              <w:br/>
            </w:r>
            <w:r>
              <w:rPr>
                <w:spacing w:val="-2"/>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213" w:type="dxa"/>
            <w:gridSpan w:val="4"/>
            <w:tcBorders/>
            <w:shd w:fill="BAD8EA" w:val="clear"/>
            <w:vAlign w:val="center"/>
          </w:tcPr>
          <w:p>
            <w:pPr>
              <w:pStyle w:val="TableContents"/>
              <w:bidi w:val="0"/>
              <w:spacing w:lineRule="atLeast" w:line="142" w:before="0" w:after="0"/>
              <w:jc w:val="center"/>
              <w:rPr/>
            </w:pPr>
            <w:r>
              <w:rPr>
                <w:spacing w:val="0"/>
              </w:rPr>
              <w:t>Bonus</w:t>
            </w:r>
            <w:r>
              <w:rPr>
                <w:spacing w:val="-2"/>
                <w:sz w:val="10"/>
              </w:rPr>
              <w:t>(1)</w:t>
            </w:r>
            <w:r>
              <w:rPr/>
              <w:t xml:space="preserve"> </w:t>
              <w:br/>
            </w:r>
            <w:r>
              <w:rPr>
                <w:spacing w:val="-2"/>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393" w:type="dxa"/>
            <w:gridSpan w:val="4"/>
            <w:tcBorders/>
            <w:shd w:fill="BAD8EA" w:val="clear"/>
            <w:vAlign w:val="center"/>
          </w:tcPr>
          <w:p>
            <w:pPr>
              <w:pStyle w:val="TableContents"/>
              <w:bidi w:val="0"/>
              <w:spacing w:lineRule="atLeast" w:line="142" w:before="0" w:after="0"/>
              <w:jc w:val="center"/>
              <w:rPr/>
            </w:pPr>
            <w:r>
              <w:rPr>
                <w:spacing w:val="0"/>
              </w:rPr>
              <w:t xml:space="preserve">Stock </w:t>
              <w:br/>
              <w:t>Awards</w:t>
            </w:r>
            <w:r>
              <w:rPr>
                <w:spacing w:val="-2"/>
                <w:sz w:val="10"/>
              </w:rPr>
              <w:t>(2)</w:t>
            </w:r>
            <w:r>
              <w:rPr/>
              <w:t xml:space="preserve"> </w:t>
              <w:br/>
            </w:r>
            <w:r>
              <w:rPr>
                <w:spacing w:val="-2"/>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856" w:type="dxa"/>
            <w:gridSpan w:val="4"/>
            <w:tcBorders/>
            <w:shd w:fill="BAD8EA" w:val="clear"/>
            <w:vAlign w:val="center"/>
          </w:tcPr>
          <w:p>
            <w:pPr>
              <w:pStyle w:val="TableContents"/>
              <w:bidi w:val="0"/>
              <w:spacing w:before="0" w:after="0"/>
              <w:jc w:val="center"/>
              <w:rPr/>
            </w:pPr>
            <w:r>
              <w:rPr>
                <w:spacing w:val="0"/>
              </w:rPr>
              <w:t xml:space="preserve">Option </w:t>
              <w:br/>
              <w:t>Awards</w:t>
            </w:r>
            <w:r>
              <w:rPr/>
              <w:t xml:space="preserve"> </w:t>
              <w:br/>
            </w:r>
            <w:r>
              <w:rPr>
                <w:spacing w:val="-2"/>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501" w:type="dxa"/>
            <w:gridSpan w:val="4"/>
            <w:tcBorders/>
            <w:shd w:fill="BAD8EA" w:val="clear"/>
            <w:vAlign w:val="center"/>
          </w:tcPr>
          <w:p>
            <w:pPr>
              <w:pStyle w:val="TableContents"/>
              <w:bidi w:val="0"/>
              <w:spacing w:lineRule="atLeast" w:line="142" w:before="0" w:after="0"/>
              <w:jc w:val="center"/>
              <w:rPr/>
            </w:pPr>
            <w:r>
              <w:rPr>
                <w:spacing w:val="0"/>
              </w:rPr>
              <w:t xml:space="preserve">Non-Equity </w:t>
              <w:br/>
              <w:t xml:space="preserve">Incentive Plan </w:t>
              <w:br/>
              <w:t>Compensation</w:t>
            </w:r>
            <w:r>
              <w:rPr>
                <w:spacing w:val="-2"/>
                <w:sz w:val="10"/>
              </w:rPr>
              <w:t>(3)</w:t>
            </w:r>
            <w:r>
              <w:rPr/>
              <w:t xml:space="preserve"> </w:t>
              <w:br/>
            </w:r>
            <w:r>
              <w:rPr>
                <w:spacing w:val="-2"/>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411" w:type="dxa"/>
            <w:gridSpan w:val="4"/>
            <w:tcBorders/>
            <w:shd w:fill="BAD8EA" w:val="clear"/>
            <w:vAlign w:val="center"/>
          </w:tcPr>
          <w:p>
            <w:pPr>
              <w:pStyle w:val="TableContents"/>
              <w:bidi w:val="0"/>
              <w:spacing w:before="0" w:after="0"/>
              <w:jc w:val="center"/>
              <w:rPr/>
            </w:pPr>
            <w:r>
              <w:rPr>
                <w:spacing w:val="0"/>
              </w:rPr>
              <w:t xml:space="preserve">Change in </w:t>
              <w:br/>
              <w:t xml:space="preserve">pension </w:t>
              <w:br/>
              <w:t xml:space="preserve">value and </w:t>
              <w:br/>
              <w:t xml:space="preserve">nonqualified </w:t>
              <w:br/>
              <w:t xml:space="preserve">deferred </w:t>
              <w:br/>
              <w:t xml:space="preserve">compensation </w:t>
              <w:br/>
              <w:t>earnings</w:t>
            </w:r>
            <w:r>
              <w:rPr/>
              <w:t xml:space="preserve"> </w:t>
              <w:br/>
            </w:r>
            <w:r>
              <w:rPr>
                <w:spacing w:val="-2"/>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501" w:type="dxa"/>
            <w:gridSpan w:val="4"/>
            <w:tcBorders/>
            <w:shd w:fill="BAD8EA" w:val="clear"/>
            <w:vAlign w:val="center"/>
          </w:tcPr>
          <w:p>
            <w:pPr>
              <w:pStyle w:val="TableContents"/>
              <w:bidi w:val="0"/>
              <w:spacing w:lineRule="atLeast" w:line="142" w:before="0" w:after="0"/>
              <w:jc w:val="center"/>
              <w:rPr/>
            </w:pPr>
            <w:r>
              <w:rPr>
                <w:spacing w:val="0"/>
              </w:rPr>
              <w:t xml:space="preserve">All Other </w:t>
              <w:br/>
              <w:t>Compensation</w:t>
            </w:r>
            <w:r>
              <w:rPr>
                <w:spacing w:val="-2"/>
                <w:sz w:val="10"/>
              </w:rPr>
              <w:t>(4)</w:t>
            </w:r>
            <w:r>
              <w:rPr/>
              <w:t xml:space="preserve"> </w:t>
              <w:br/>
            </w:r>
            <w:r>
              <w:rPr>
                <w:spacing w:val="-2"/>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393" w:type="dxa"/>
            <w:gridSpan w:val="4"/>
            <w:tcBorders/>
            <w:shd w:fill="BAD8EA" w:val="clear"/>
            <w:vAlign w:val="center"/>
          </w:tcPr>
          <w:p>
            <w:pPr>
              <w:pStyle w:val="TableContents"/>
              <w:bidi w:val="0"/>
              <w:spacing w:before="0" w:after="0"/>
              <w:jc w:val="center"/>
              <w:rPr/>
            </w:pPr>
            <w:r>
              <w:rPr>
                <w:spacing w:val="0"/>
              </w:rPr>
              <w:t>Total</w:t>
            </w:r>
            <w:r>
              <w:rPr/>
              <w:t xml:space="preserve"> </w:t>
              <w:br/>
            </w:r>
            <w:r>
              <w:rPr>
                <w:spacing w:val="-2"/>
              </w:rPr>
              <w:t xml:space="preserve">($) </w:t>
            </w:r>
          </w:p>
        </w:tc>
        <w:tc>
          <w:tcPr>
            <w:tcW w:w="154" w:type="dxa"/>
            <w:tcBorders/>
            <w:shd w:fill="BAD8EA" w:val="clear"/>
            <w:vAlign w:val="center"/>
          </w:tcPr>
          <w:p>
            <w:pPr>
              <w:pStyle w:val="TableContents"/>
              <w:bidi w:val="0"/>
              <w:spacing w:before="0" w:after="283"/>
              <w:jc w:val="left"/>
              <w:rPr/>
            </w:pPr>
            <w:r>
              <w:rPr/>
              <w:t>​</w:t>
            </w:r>
          </w:p>
        </w:tc>
      </w:tr>
      <w:tr>
        <w:trPr/>
        <w:tc>
          <w:tcPr>
            <w:tcW w:w="124" w:type="dxa"/>
            <w:vMerge w:val="restart"/>
            <w:tcBorders>
              <w:bottom w:val="single" w:sz="2" w:space="0" w:color="D5D4D3"/>
            </w:tcBorders>
            <w:tcMar>
              <w:bottom w:w="28" w:type="dxa"/>
            </w:tcMar>
            <w:vAlign w:val="center"/>
          </w:tcPr>
          <w:p>
            <w:pPr>
              <w:pStyle w:val="TableContents"/>
              <w:bidi w:val="0"/>
              <w:spacing w:before="0" w:after="283"/>
              <w:jc w:val="left"/>
              <w:rPr/>
            </w:pPr>
            <w:r>
              <w:rPr/>
              <w:t>​</w:t>
            </w:r>
          </w:p>
        </w:tc>
        <w:tc>
          <w:tcPr>
            <w:tcW w:w="1966" w:type="dxa"/>
            <w:vMerge w:val="restart"/>
            <w:tcBorders>
              <w:bottom w:val="single" w:sz="2" w:space="0" w:color="D5D4D3"/>
            </w:tcBorders>
            <w:tcMar>
              <w:bottom w:w="55" w:type="dxa"/>
            </w:tcMar>
            <w:vAlign w:val="center"/>
          </w:tcPr>
          <w:p>
            <w:pPr>
              <w:pStyle w:val="TableContents"/>
              <w:bidi w:val="0"/>
              <w:spacing w:lineRule="atLeast" w:line="204" w:before="0" w:after="0"/>
              <w:jc w:val="left"/>
              <w:rPr/>
            </w:pPr>
            <w:r>
              <w:rPr>
                <w:spacing w:val="-1"/>
              </w:rPr>
              <w:t>David O’Reilly</w:t>
            </w:r>
            <w:r>
              <w:rPr/>
              <w:t xml:space="preserve"> </w:t>
              <w:br/>
            </w:r>
            <w:r>
              <w:rPr>
                <w:i/>
              </w:rPr>
              <w:t>Chief Executive Officer</w:t>
            </w:r>
            <w:r>
              <w:rPr/>
              <w:t xml:space="preserve"> </w:t>
            </w:r>
          </w:p>
        </w:tc>
        <w:tc>
          <w:tcPr>
            <w:tcW w:w="109" w:type="dxa"/>
            <w:vMerge w:val="restart"/>
            <w:tcBorders>
              <w:bottom w:val="single" w:sz="2" w:space="0" w:color="D5D4D3"/>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586" w:type="dxa"/>
            <w:tcBorders/>
            <w:vAlign w:val="center"/>
          </w:tcPr>
          <w:p>
            <w:pPr>
              <w:pStyle w:val="TableContents"/>
              <w:bidi w:val="0"/>
              <w:spacing w:lineRule="atLeast" w:line="204" w:before="0" w:after="283"/>
              <w:jc w:val="right"/>
              <w:rPr/>
            </w:pPr>
            <w:r>
              <w:rPr/>
              <w:t>2025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1066" w:type="dxa"/>
            <w:tcBorders/>
            <w:vAlign w:val="center"/>
          </w:tcPr>
          <w:p>
            <w:pPr>
              <w:pStyle w:val="TableContents"/>
              <w:bidi w:val="0"/>
              <w:spacing w:lineRule="atLeast" w:line="204" w:before="0" w:after="283"/>
              <w:jc w:val="right"/>
              <w:rPr/>
            </w:pPr>
            <w:r>
              <w:rPr/>
              <w:t>1,000,000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886" w:type="dxa"/>
            <w:tcBorders/>
            <w:vAlign w:val="center"/>
          </w:tcPr>
          <w:p>
            <w:pPr>
              <w:pStyle w:val="TableContents"/>
              <w:bidi w:val="0"/>
              <w:spacing w:lineRule="atLeast" w:line="204"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1066" w:type="dxa"/>
            <w:tcBorders/>
            <w:vAlign w:val="center"/>
          </w:tcPr>
          <w:p>
            <w:pPr>
              <w:pStyle w:val="TableContents"/>
              <w:bidi w:val="0"/>
              <w:spacing w:lineRule="atLeast" w:line="204" w:before="0" w:after="283"/>
              <w:jc w:val="right"/>
              <w:rPr/>
            </w:pPr>
            <w:r>
              <w:rPr/>
              <w:t>4,677,785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lineRule="atLeast" w:line="204" w:before="0" w:after="283"/>
              <w:jc w:val="right"/>
              <w:rPr/>
            </w:pPr>
            <w:r>
              <w:rPr/>
              <w:t>​</w:t>
            </w:r>
          </w:p>
        </w:tc>
        <w:tc>
          <w:tcPr>
            <w:tcW w:w="349" w:type="dxa"/>
            <w:tcBorders/>
            <w:vAlign w:val="center"/>
          </w:tcPr>
          <w:p>
            <w:pPr>
              <w:pStyle w:val="TableContents"/>
              <w:bidi w:val="0"/>
              <w:spacing w:lineRule="atLeast" w:line="204" w:before="0" w:after="283"/>
              <w:jc w:val="right"/>
              <w:rPr/>
            </w:pPr>
            <w:r>
              <w:rPr/>
              <w:t>–</w:t>
            </w:r>
          </w:p>
        </w:tc>
        <w:tc>
          <w:tcPr>
            <w:tcW w:w="1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lineRule="atLeast" w:line="204" w:before="0" w:after="283"/>
              <w:jc w:val="right"/>
              <w:rPr/>
            </w:pPr>
            <w:r>
              <w:rPr/>
              <w:t>​</w:t>
            </w:r>
          </w:p>
        </w:tc>
        <w:tc>
          <w:tcPr>
            <w:tcW w:w="1148" w:type="dxa"/>
            <w:tcBorders/>
            <w:vAlign w:val="center"/>
          </w:tcPr>
          <w:p>
            <w:pPr>
              <w:pStyle w:val="TableContents"/>
              <w:bidi w:val="0"/>
              <w:spacing w:lineRule="atLeast" w:line="204" w:before="0" w:after="283"/>
              <w:jc w:val="right"/>
              <w:rPr/>
            </w:pPr>
            <w:r>
              <w:rPr/>
              <w:t>2,100,000</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lineRule="atLeast" w:line="204" w:before="0" w:after="283"/>
              <w:jc w:val="right"/>
              <w:rPr/>
            </w:pPr>
            <w:r>
              <w:rPr/>
              <w:t>​</w:t>
            </w:r>
          </w:p>
        </w:tc>
        <w:tc>
          <w:tcPr>
            <w:tcW w:w="576" w:type="dxa"/>
            <w:tcBorders/>
            <w:vAlign w:val="center"/>
          </w:tcPr>
          <w:p>
            <w:pPr>
              <w:pStyle w:val="TableContents"/>
              <w:bidi w:val="0"/>
              <w:spacing w:lineRule="atLeast" w:line="204" w:before="0" w:after="283"/>
              <w:jc w:val="right"/>
              <w:rPr/>
            </w:pPr>
            <w:r>
              <w:rPr/>
              <w:t>–</w:t>
            </w:r>
          </w:p>
        </w:tc>
        <w:tc>
          <w:tcPr>
            <w:tcW w:w="2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lineRule="atLeast" w:line="204" w:before="0" w:after="283"/>
              <w:jc w:val="right"/>
              <w:rPr/>
            </w:pPr>
            <w:r>
              <w:rPr/>
              <w:t>​</w:t>
            </w:r>
          </w:p>
        </w:tc>
        <w:tc>
          <w:tcPr>
            <w:tcW w:w="1148" w:type="dxa"/>
            <w:tcBorders/>
            <w:vAlign w:val="center"/>
          </w:tcPr>
          <w:p>
            <w:pPr>
              <w:pStyle w:val="TableContents"/>
              <w:bidi w:val="0"/>
              <w:spacing w:lineRule="atLeast" w:line="204" w:before="0" w:after="283"/>
              <w:jc w:val="right"/>
              <w:rPr/>
            </w:pPr>
            <w:r>
              <w:rPr/>
              <w:t>48,993</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1066" w:type="dxa"/>
            <w:tcBorders/>
            <w:vAlign w:val="center"/>
          </w:tcPr>
          <w:p>
            <w:pPr>
              <w:pStyle w:val="TableContents"/>
              <w:bidi w:val="0"/>
              <w:spacing w:lineRule="atLeast" w:line="204" w:before="0" w:after="283"/>
              <w:jc w:val="right"/>
              <w:rPr/>
            </w:pPr>
            <w:r>
              <w:rPr/>
              <w:t>7,826,778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D5D4D3"/>
            </w:tcBorders>
            <w:tcMar>
              <w:bottom w:w="28" w:type="dxa"/>
            </w:tcMar>
            <w:vAlign w:val="center"/>
          </w:tcPr>
          <w:p>
            <w:pPr>
              <w:pStyle w:val="Normal"/>
              <w:bidi w:val="0"/>
              <w:jc w:val="left"/>
              <w:rPr/>
            </w:pPr>
            <w:r>
              <w:rPr/>
            </w:r>
          </w:p>
        </w:tc>
        <w:tc>
          <w:tcPr>
            <w:tcW w:w="1966" w:type="dxa"/>
            <w:vMerge w:val="continue"/>
            <w:tcBorders>
              <w:bottom w:val="single" w:sz="2" w:space="0" w:color="D5D4D3"/>
            </w:tcBorders>
            <w:tcMar>
              <w:bottom w:w="55" w:type="dxa"/>
            </w:tcMar>
            <w:vAlign w:val="center"/>
          </w:tcPr>
          <w:p>
            <w:pPr>
              <w:pStyle w:val="Normal"/>
              <w:bidi w:val="0"/>
              <w:jc w:val="left"/>
              <w:rPr/>
            </w:pPr>
            <w:r>
              <w:rPr/>
            </w:r>
          </w:p>
        </w:tc>
        <w:tc>
          <w:tcPr>
            <w:tcW w:w="109" w:type="dxa"/>
            <w:vMerge w:val="continue"/>
            <w:tcBorders>
              <w:bottom w:val="single" w:sz="2" w:space="0" w:color="D5D4D3"/>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1,000,000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2,520,031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right"/>
              <w:rPr/>
            </w:pPr>
            <w:r>
              <w:rPr/>
              <w:t>​</w:t>
            </w:r>
          </w:p>
        </w:tc>
        <w:tc>
          <w:tcPr>
            <w:tcW w:w="349" w:type="dxa"/>
            <w:tcBorders/>
            <w:vAlign w:val="center"/>
          </w:tcPr>
          <w:p>
            <w:pPr>
              <w:pStyle w:val="TableContents"/>
              <w:bidi w:val="0"/>
              <w:spacing w:before="0" w:after="283"/>
              <w:jc w:val="right"/>
              <w:rPr/>
            </w:pPr>
            <w:r>
              <w:rPr/>
              <w:t>–</w:t>
            </w:r>
          </w:p>
        </w:tc>
        <w:tc>
          <w:tcPr>
            <w:tcW w:w="1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2,100,000</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r>
              <w:rPr/>
              <w:t>–</w:t>
            </w:r>
          </w:p>
        </w:tc>
        <w:tc>
          <w:tcPr>
            <w:tcW w:w="2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104,846</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5,724,877</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D5D4D3"/>
            </w:tcBorders>
            <w:tcMar>
              <w:bottom w:w="28" w:type="dxa"/>
            </w:tcMar>
            <w:vAlign w:val="center"/>
          </w:tcPr>
          <w:p>
            <w:pPr>
              <w:pStyle w:val="Normal"/>
              <w:bidi w:val="0"/>
              <w:jc w:val="left"/>
              <w:rPr/>
            </w:pPr>
            <w:r>
              <w:rPr/>
            </w:r>
          </w:p>
        </w:tc>
        <w:tc>
          <w:tcPr>
            <w:tcW w:w="1966" w:type="dxa"/>
            <w:vMerge w:val="continue"/>
            <w:tcBorders>
              <w:bottom w:val="single" w:sz="2" w:space="0" w:color="D5D4D3"/>
            </w:tcBorders>
            <w:tcMar>
              <w:bottom w:w="55" w:type="dxa"/>
            </w:tcMar>
            <w:vAlign w:val="center"/>
          </w:tcPr>
          <w:p>
            <w:pPr>
              <w:pStyle w:val="Normal"/>
              <w:bidi w:val="0"/>
              <w:jc w:val="left"/>
              <w:rPr/>
            </w:pPr>
            <w:r>
              <w:rPr/>
            </w:r>
          </w:p>
        </w:tc>
        <w:tc>
          <w:tcPr>
            <w:tcW w:w="109" w:type="dxa"/>
            <w:vMerge w:val="continue"/>
            <w:tcBorders>
              <w:bottom w:val="single" w:sz="2" w:space="0" w:color="D5D4D3"/>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750,000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2,321,025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right"/>
              <w:rPr/>
            </w:pPr>
            <w:r>
              <w:rPr/>
              <w:t>​</w:t>
            </w:r>
          </w:p>
        </w:tc>
        <w:tc>
          <w:tcPr>
            <w:tcW w:w="349" w:type="dxa"/>
            <w:tcBorders/>
            <w:vAlign w:val="center"/>
          </w:tcPr>
          <w:p>
            <w:pPr>
              <w:pStyle w:val="TableContents"/>
              <w:bidi w:val="0"/>
              <w:spacing w:before="0" w:after="283"/>
              <w:jc w:val="right"/>
              <w:rPr/>
            </w:pPr>
            <w:r>
              <w:rPr/>
              <w:t>–</w:t>
            </w:r>
          </w:p>
        </w:tc>
        <w:tc>
          <w:tcPr>
            <w:tcW w:w="1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1,725,000</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r>
              <w:rPr/>
              <w:t>–</w:t>
            </w:r>
          </w:p>
        </w:tc>
        <w:tc>
          <w:tcPr>
            <w:tcW w:w="2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170,971</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4,966,996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bottom w:val="single" w:sz="2" w:space="0" w:color="D5D4D3"/>
            </w:tcBorders>
            <w:tcMar>
              <w:bottom w:w="28" w:type="dxa"/>
            </w:tcMar>
            <w:vAlign w:val="center"/>
          </w:tcPr>
          <w:p>
            <w:pPr>
              <w:pStyle w:val="TableContents"/>
              <w:bidi w:val="0"/>
              <w:spacing w:before="0" w:after="283"/>
              <w:jc w:val="left"/>
              <w:rPr/>
            </w:pPr>
            <w:r>
              <w:rPr/>
              <w:t>​</w:t>
            </w:r>
          </w:p>
        </w:tc>
        <w:tc>
          <w:tcPr>
            <w:tcW w:w="1966" w:type="dxa"/>
            <w:vMerge w:val="restart"/>
            <w:tcBorders>
              <w:bottom w:val="single" w:sz="2" w:space="0" w:color="D5D4D3"/>
            </w:tcBorders>
            <w:tcMar>
              <w:bottom w:w="55" w:type="dxa"/>
            </w:tcMar>
            <w:vAlign w:val="center"/>
          </w:tcPr>
          <w:p>
            <w:pPr>
              <w:pStyle w:val="TableContents"/>
              <w:bidi w:val="0"/>
              <w:spacing w:lineRule="atLeast" w:line="204" w:before="0" w:after="0"/>
              <w:jc w:val="left"/>
              <w:rPr/>
            </w:pPr>
            <w:r>
              <w:rPr>
                <w:spacing w:val="-1"/>
              </w:rPr>
              <w:t>L. Jay Cross</w:t>
            </w:r>
            <w:r>
              <w:rPr/>
              <w:t xml:space="preserve"> </w:t>
              <w:br/>
            </w:r>
            <w:r>
              <w:rPr>
                <w:i/>
              </w:rPr>
              <w:t>Former President</w:t>
            </w:r>
            <w:r>
              <w:rPr>
                <w:spacing w:val="-1"/>
              </w:rPr>
              <w:t xml:space="preserve">* </w:t>
            </w:r>
          </w:p>
        </w:tc>
        <w:tc>
          <w:tcPr>
            <w:tcW w:w="109" w:type="dxa"/>
            <w:vMerge w:val="restart"/>
            <w:tcBorders>
              <w:bottom w:val="single" w:sz="2" w:space="0" w:color="D5D4D3"/>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586" w:type="dxa"/>
            <w:tcBorders/>
            <w:vAlign w:val="center"/>
          </w:tcPr>
          <w:p>
            <w:pPr>
              <w:pStyle w:val="TableContents"/>
              <w:bidi w:val="0"/>
              <w:spacing w:lineRule="atLeast" w:line="204" w:before="0" w:after="283"/>
              <w:jc w:val="right"/>
              <w:rPr/>
            </w:pPr>
            <w:r>
              <w:rPr/>
              <w:t>2025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1066" w:type="dxa"/>
            <w:tcBorders/>
            <w:vAlign w:val="center"/>
          </w:tcPr>
          <w:p>
            <w:pPr>
              <w:pStyle w:val="TableContents"/>
              <w:bidi w:val="0"/>
              <w:spacing w:lineRule="atLeast" w:line="204" w:before="0" w:after="283"/>
              <w:jc w:val="right"/>
              <w:rPr/>
            </w:pPr>
            <w:r>
              <w:rPr/>
              <w:t>377,885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886" w:type="dxa"/>
            <w:tcBorders/>
            <w:vAlign w:val="center"/>
          </w:tcPr>
          <w:p>
            <w:pPr>
              <w:pStyle w:val="TableContents"/>
              <w:bidi w:val="0"/>
              <w:spacing w:lineRule="atLeast" w:line="204"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1066" w:type="dxa"/>
            <w:tcBorders/>
            <w:vAlign w:val="center"/>
          </w:tcPr>
          <w:p>
            <w:pPr>
              <w:pStyle w:val="TableContents"/>
              <w:bidi w:val="0"/>
              <w:spacing w:lineRule="atLeast" w:line="204" w:before="0" w:after="283"/>
              <w:jc w:val="right"/>
              <w:rPr/>
            </w:pPr>
            <w:r>
              <w:rPr/>
              <w:t>2,390,973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lineRule="atLeast" w:line="204" w:before="0" w:after="283"/>
              <w:jc w:val="right"/>
              <w:rPr/>
            </w:pPr>
            <w:r>
              <w:rPr/>
              <w:t>​</w:t>
            </w:r>
          </w:p>
        </w:tc>
        <w:tc>
          <w:tcPr>
            <w:tcW w:w="349" w:type="dxa"/>
            <w:tcBorders/>
            <w:vAlign w:val="center"/>
          </w:tcPr>
          <w:p>
            <w:pPr>
              <w:pStyle w:val="TableContents"/>
              <w:bidi w:val="0"/>
              <w:spacing w:lineRule="atLeast" w:line="204" w:before="0" w:after="283"/>
              <w:jc w:val="right"/>
              <w:rPr/>
            </w:pPr>
            <w:r>
              <w:rPr/>
              <w:t>–</w:t>
            </w:r>
          </w:p>
        </w:tc>
        <w:tc>
          <w:tcPr>
            <w:tcW w:w="1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lineRule="atLeast" w:line="204" w:before="0" w:after="283"/>
              <w:jc w:val="right"/>
              <w:rPr/>
            </w:pPr>
            <w:r>
              <w:rPr/>
              <w:t>​</w:t>
            </w:r>
          </w:p>
        </w:tc>
        <w:tc>
          <w:tcPr>
            <w:tcW w:w="1148" w:type="dxa"/>
            <w:tcBorders/>
            <w:vAlign w:val="center"/>
          </w:tcPr>
          <w:p>
            <w:pPr>
              <w:pStyle w:val="TableContents"/>
              <w:bidi w:val="0"/>
              <w:spacing w:lineRule="atLeast" w:line="204"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lineRule="atLeast" w:line="204" w:before="0" w:after="283"/>
              <w:jc w:val="right"/>
              <w:rPr/>
            </w:pPr>
            <w:r>
              <w:rPr/>
              <w:t>​</w:t>
            </w:r>
          </w:p>
        </w:tc>
        <w:tc>
          <w:tcPr>
            <w:tcW w:w="576" w:type="dxa"/>
            <w:tcBorders/>
            <w:vAlign w:val="center"/>
          </w:tcPr>
          <w:p>
            <w:pPr>
              <w:pStyle w:val="TableContents"/>
              <w:bidi w:val="0"/>
              <w:spacing w:lineRule="atLeast" w:line="204" w:before="0" w:after="283"/>
              <w:jc w:val="right"/>
              <w:rPr/>
            </w:pPr>
            <w:r>
              <w:rPr/>
              <w:t>–</w:t>
            </w:r>
          </w:p>
        </w:tc>
        <w:tc>
          <w:tcPr>
            <w:tcW w:w="2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lineRule="atLeast" w:line="204" w:before="0" w:after="283"/>
              <w:jc w:val="right"/>
              <w:rPr/>
            </w:pPr>
            <w:r>
              <w:rPr/>
              <w:t>​</w:t>
            </w:r>
          </w:p>
        </w:tc>
        <w:tc>
          <w:tcPr>
            <w:tcW w:w="1148" w:type="dxa"/>
            <w:tcBorders/>
            <w:vAlign w:val="center"/>
          </w:tcPr>
          <w:p>
            <w:pPr>
              <w:pStyle w:val="TableContents"/>
              <w:bidi w:val="0"/>
              <w:spacing w:lineRule="atLeast" w:line="204" w:before="0" w:after="283"/>
              <w:jc w:val="right"/>
              <w:rPr/>
            </w:pPr>
            <w:r>
              <w:rPr/>
              <w:t>4,644,203</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1066" w:type="dxa"/>
            <w:tcBorders/>
            <w:vAlign w:val="center"/>
          </w:tcPr>
          <w:p>
            <w:pPr>
              <w:pStyle w:val="TableContents"/>
              <w:bidi w:val="0"/>
              <w:spacing w:lineRule="atLeast" w:line="204" w:before="0" w:after="283"/>
              <w:jc w:val="right"/>
              <w:rPr/>
            </w:pPr>
            <w:r>
              <w:rPr/>
              <w:t>7,413,060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D5D4D3"/>
            </w:tcBorders>
            <w:tcMar>
              <w:bottom w:w="28" w:type="dxa"/>
            </w:tcMar>
            <w:vAlign w:val="center"/>
          </w:tcPr>
          <w:p>
            <w:pPr>
              <w:pStyle w:val="Normal"/>
              <w:bidi w:val="0"/>
              <w:jc w:val="left"/>
              <w:rPr/>
            </w:pPr>
            <w:r>
              <w:rPr/>
            </w:r>
          </w:p>
        </w:tc>
        <w:tc>
          <w:tcPr>
            <w:tcW w:w="1966" w:type="dxa"/>
            <w:vMerge w:val="continue"/>
            <w:tcBorders>
              <w:bottom w:val="single" w:sz="2" w:space="0" w:color="D5D4D3"/>
            </w:tcBorders>
            <w:tcMar>
              <w:bottom w:w="55" w:type="dxa"/>
            </w:tcMar>
            <w:vAlign w:val="center"/>
          </w:tcPr>
          <w:p>
            <w:pPr>
              <w:pStyle w:val="Normal"/>
              <w:bidi w:val="0"/>
              <w:jc w:val="left"/>
              <w:rPr/>
            </w:pPr>
            <w:r>
              <w:rPr/>
            </w:r>
          </w:p>
        </w:tc>
        <w:tc>
          <w:tcPr>
            <w:tcW w:w="109" w:type="dxa"/>
            <w:vMerge w:val="continue"/>
            <w:tcBorders>
              <w:bottom w:val="single" w:sz="2" w:space="0" w:color="D5D4D3"/>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750,000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1,752,980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right"/>
              <w:rPr/>
            </w:pPr>
            <w:r>
              <w:rPr/>
              <w:t>​</w:t>
            </w:r>
          </w:p>
        </w:tc>
        <w:tc>
          <w:tcPr>
            <w:tcW w:w="349" w:type="dxa"/>
            <w:tcBorders/>
            <w:vAlign w:val="center"/>
          </w:tcPr>
          <w:p>
            <w:pPr>
              <w:pStyle w:val="TableContents"/>
              <w:bidi w:val="0"/>
              <w:spacing w:before="0" w:after="283"/>
              <w:jc w:val="right"/>
              <w:rPr/>
            </w:pPr>
            <w:r>
              <w:rPr/>
              <w:t>–</w:t>
            </w:r>
          </w:p>
        </w:tc>
        <w:tc>
          <w:tcPr>
            <w:tcW w:w="1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2,086,500</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r>
              <w:rPr/>
              <w:t>–</w:t>
            </w:r>
          </w:p>
        </w:tc>
        <w:tc>
          <w:tcPr>
            <w:tcW w:w="2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150,039</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4,739,520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D5D4D3"/>
            </w:tcBorders>
            <w:tcMar>
              <w:bottom w:w="28" w:type="dxa"/>
            </w:tcMar>
            <w:vAlign w:val="center"/>
          </w:tcPr>
          <w:p>
            <w:pPr>
              <w:pStyle w:val="Normal"/>
              <w:bidi w:val="0"/>
              <w:jc w:val="left"/>
              <w:rPr/>
            </w:pPr>
            <w:r>
              <w:rPr/>
            </w:r>
          </w:p>
        </w:tc>
        <w:tc>
          <w:tcPr>
            <w:tcW w:w="1966" w:type="dxa"/>
            <w:vMerge w:val="continue"/>
            <w:tcBorders>
              <w:bottom w:val="single" w:sz="2" w:space="0" w:color="D5D4D3"/>
            </w:tcBorders>
            <w:tcMar>
              <w:bottom w:w="55" w:type="dxa"/>
            </w:tcMar>
            <w:vAlign w:val="center"/>
          </w:tcPr>
          <w:p>
            <w:pPr>
              <w:pStyle w:val="Normal"/>
              <w:bidi w:val="0"/>
              <w:jc w:val="left"/>
              <w:rPr/>
            </w:pPr>
            <w:r>
              <w:rPr/>
            </w:r>
          </w:p>
        </w:tc>
        <w:tc>
          <w:tcPr>
            <w:tcW w:w="109" w:type="dxa"/>
            <w:vMerge w:val="continue"/>
            <w:tcBorders>
              <w:bottom w:val="single" w:sz="2" w:space="0" w:color="D5D4D3"/>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750,000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1,856,755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right"/>
              <w:rPr/>
            </w:pPr>
            <w:r>
              <w:rPr/>
              <w:t>​</w:t>
            </w:r>
          </w:p>
        </w:tc>
        <w:tc>
          <w:tcPr>
            <w:tcW w:w="349" w:type="dxa"/>
            <w:tcBorders/>
            <w:vAlign w:val="center"/>
          </w:tcPr>
          <w:p>
            <w:pPr>
              <w:pStyle w:val="TableContents"/>
              <w:bidi w:val="0"/>
              <w:spacing w:before="0" w:after="283"/>
              <w:jc w:val="right"/>
              <w:rPr/>
            </w:pPr>
            <w:r>
              <w:rPr/>
              <w:t>–</w:t>
            </w:r>
          </w:p>
        </w:tc>
        <w:tc>
          <w:tcPr>
            <w:tcW w:w="1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2,242,500</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r>
              <w:rPr/>
              <w:t>–</w:t>
            </w:r>
          </w:p>
        </w:tc>
        <w:tc>
          <w:tcPr>
            <w:tcW w:w="2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319,684</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5,168,939</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bottom w:val="single" w:sz="2" w:space="0" w:color="D5D4D3"/>
            </w:tcBorders>
            <w:tcMar>
              <w:bottom w:w="28" w:type="dxa"/>
            </w:tcMar>
            <w:vAlign w:val="center"/>
          </w:tcPr>
          <w:p>
            <w:pPr>
              <w:pStyle w:val="TableContents"/>
              <w:bidi w:val="0"/>
              <w:spacing w:before="0" w:after="283"/>
              <w:jc w:val="left"/>
              <w:rPr/>
            </w:pPr>
            <w:r>
              <w:rPr/>
              <w:t>​</w:t>
            </w:r>
          </w:p>
        </w:tc>
        <w:tc>
          <w:tcPr>
            <w:tcW w:w="1966" w:type="dxa"/>
            <w:vMerge w:val="restart"/>
            <w:tcBorders>
              <w:bottom w:val="single" w:sz="2" w:space="0" w:color="D5D4D3"/>
            </w:tcBorders>
            <w:tcMar>
              <w:bottom w:w="55" w:type="dxa"/>
            </w:tcMar>
            <w:vAlign w:val="center"/>
          </w:tcPr>
          <w:p>
            <w:pPr>
              <w:pStyle w:val="TableContents"/>
              <w:bidi w:val="0"/>
              <w:spacing w:lineRule="atLeast" w:line="204" w:before="0" w:after="0"/>
              <w:jc w:val="left"/>
              <w:rPr/>
            </w:pPr>
            <w:r>
              <w:rPr>
                <w:spacing w:val="-1"/>
              </w:rPr>
              <w:t>Carlos A. Olea</w:t>
            </w:r>
            <w:r>
              <w:rPr/>
              <w:t xml:space="preserve"> </w:t>
              <w:br/>
            </w:r>
            <w:r>
              <w:rPr>
                <w:i/>
              </w:rPr>
              <w:t>Chief Financial Officer</w:t>
            </w:r>
            <w:r>
              <w:rPr/>
              <w:t xml:space="preserve"> </w:t>
            </w:r>
          </w:p>
        </w:tc>
        <w:tc>
          <w:tcPr>
            <w:tcW w:w="109" w:type="dxa"/>
            <w:vMerge w:val="restart"/>
            <w:tcBorders>
              <w:bottom w:val="single" w:sz="2" w:space="0" w:color="D5D4D3"/>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586" w:type="dxa"/>
            <w:tcBorders/>
            <w:vAlign w:val="center"/>
          </w:tcPr>
          <w:p>
            <w:pPr>
              <w:pStyle w:val="TableContents"/>
              <w:bidi w:val="0"/>
              <w:spacing w:lineRule="atLeast" w:line="204" w:before="0" w:after="283"/>
              <w:jc w:val="right"/>
              <w:rPr/>
            </w:pPr>
            <w:r>
              <w:rPr/>
              <w:t>2025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1066" w:type="dxa"/>
            <w:tcBorders/>
            <w:vAlign w:val="center"/>
          </w:tcPr>
          <w:p>
            <w:pPr>
              <w:pStyle w:val="TableContents"/>
              <w:bidi w:val="0"/>
              <w:spacing w:lineRule="atLeast" w:line="204" w:before="0" w:after="283"/>
              <w:jc w:val="right"/>
              <w:rPr/>
            </w:pPr>
            <w:r>
              <w:rPr/>
              <w:t>550,000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886" w:type="dxa"/>
            <w:tcBorders/>
            <w:vAlign w:val="center"/>
          </w:tcPr>
          <w:p>
            <w:pPr>
              <w:pStyle w:val="TableContents"/>
              <w:bidi w:val="0"/>
              <w:spacing w:lineRule="atLeast" w:line="204"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1066" w:type="dxa"/>
            <w:tcBorders/>
            <w:vAlign w:val="center"/>
          </w:tcPr>
          <w:p>
            <w:pPr>
              <w:pStyle w:val="TableContents"/>
              <w:bidi w:val="0"/>
              <w:spacing w:lineRule="atLeast" w:line="204" w:before="0" w:after="283"/>
              <w:jc w:val="right"/>
              <w:rPr/>
            </w:pPr>
            <w:r>
              <w:rPr/>
              <w:t>1,403,335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lineRule="atLeast" w:line="204" w:before="0" w:after="283"/>
              <w:jc w:val="right"/>
              <w:rPr/>
            </w:pPr>
            <w:r>
              <w:rPr/>
              <w:t>​</w:t>
            </w:r>
          </w:p>
        </w:tc>
        <w:tc>
          <w:tcPr>
            <w:tcW w:w="349" w:type="dxa"/>
            <w:tcBorders/>
            <w:vAlign w:val="center"/>
          </w:tcPr>
          <w:p>
            <w:pPr>
              <w:pStyle w:val="TableContents"/>
              <w:bidi w:val="0"/>
              <w:spacing w:lineRule="atLeast" w:line="204" w:before="0" w:after="283"/>
              <w:jc w:val="right"/>
              <w:rPr/>
            </w:pPr>
            <w:r>
              <w:rPr/>
              <w:t>–</w:t>
            </w:r>
          </w:p>
        </w:tc>
        <w:tc>
          <w:tcPr>
            <w:tcW w:w="1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lineRule="atLeast" w:line="204" w:before="0" w:after="283"/>
              <w:jc w:val="right"/>
              <w:rPr/>
            </w:pPr>
            <w:r>
              <w:rPr/>
              <w:t>​</w:t>
            </w:r>
          </w:p>
        </w:tc>
        <w:tc>
          <w:tcPr>
            <w:tcW w:w="1148" w:type="dxa"/>
            <w:tcBorders/>
            <w:vAlign w:val="center"/>
          </w:tcPr>
          <w:p>
            <w:pPr>
              <w:pStyle w:val="TableContents"/>
              <w:bidi w:val="0"/>
              <w:spacing w:lineRule="atLeast" w:line="204" w:before="0" w:after="283"/>
              <w:jc w:val="right"/>
              <w:rPr/>
            </w:pPr>
            <w:r>
              <w:rPr/>
              <w:t>990,000</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lineRule="atLeast" w:line="204" w:before="0" w:after="283"/>
              <w:jc w:val="right"/>
              <w:rPr/>
            </w:pPr>
            <w:r>
              <w:rPr/>
              <w:t>​</w:t>
            </w:r>
          </w:p>
        </w:tc>
        <w:tc>
          <w:tcPr>
            <w:tcW w:w="576" w:type="dxa"/>
            <w:tcBorders/>
            <w:vAlign w:val="center"/>
          </w:tcPr>
          <w:p>
            <w:pPr>
              <w:pStyle w:val="TableContents"/>
              <w:bidi w:val="0"/>
              <w:spacing w:lineRule="atLeast" w:line="204" w:before="0" w:after="283"/>
              <w:jc w:val="right"/>
              <w:rPr/>
            </w:pPr>
            <w:r>
              <w:rPr/>
              <w:t>–</w:t>
            </w:r>
          </w:p>
        </w:tc>
        <w:tc>
          <w:tcPr>
            <w:tcW w:w="2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lineRule="atLeast" w:line="204" w:before="0" w:after="283"/>
              <w:jc w:val="right"/>
              <w:rPr/>
            </w:pPr>
            <w:r>
              <w:rPr/>
              <w:t>​</w:t>
            </w:r>
          </w:p>
        </w:tc>
        <w:tc>
          <w:tcPr>
            <w:tcW w:w="1148" w:type="dxa"/>
            <w:tcBorders/>
            <w:vAlign w:val="center"/>
          </w:tcPr>
          <w:p>
            <w:pPr>
              <w:pStyle w:val="TableContents"/>
              <w:bidi w:val="0"/>
              <w:spacing w:lineRule="atLeast" w:line="204" w:before="0" w:after="283"/>
              <w:jc w:val="right"/>
              <w:rPr/>
            </w:pPr>
            <w:r>
              <w:rPr/>
              <w:t>30,137</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1066" w:type="dxa"/>
            <w:tcBorders/>
            <w:vAlign w:val="center"/>
          </w:tcPr>
          <w:p>
            <w:pPr>
              <w:pStyle w:val="TableContents"/>
              <w:bidi w:val="0"/>
              <w:spacing w:lineRule="atLeast" w:line="204" w:before="0" w:after="283"/>
              <w:jc w:val="right"/>
              <w:rPr/>
            </w:pPr>
            <w:r>
              <w:rPr/>
              <w:t>2,973,473</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D5D4D3"/>
            </w:tcBorders>
            <w:tcMar>
              <w:bottom w:w="28" w:type="dxa"/>
            </w:tcMar>
            <w:vAlign w:val="center"/>
          </w:tcPr>
          <w:p>
            <w:pPr>
              <w:pStyle w:val="Normal"/>
              <w:bidi w:val="0"/>
              <w:jc w:val="left"/>
              <w:rPr/>
            </w:pPr>
            <w:r>
              <w:rPr/>
            </w:r>
          </w:p>
        </w:tc>
        <w:tc>
          <w:tcPr>
            <w:tcW w:w="1966" w:type="dxa"/>
            <w:vMerge w:val="continue"/>
            <w:tcBorders>
              <w:bottom w:val="single" w:sz="2" w:space="0" w:color="D5D4D3"/>
            </w:tcBorders>
            <w:tcMar>
              <w:bottom w:w="55" w:type="dxa"/>
            </w:tcMar>
            <w:vAlign w:val="center"/>
          </w:tcPr>
          <w:p>
            <w:pPr>
              <w:pStyle w:val="Normal"/>
              <w:bidi w:val="0"/>
              <w:jc w:val="left"/>
              <w:rPr/>
            </w:pPr>
            <w:r>
              <w:rPr/>
            </w:r>
          </w:p>
        </w:tc>
        <w:tc>
          <w:tcPr>
            <w:tcW w:w="109" w:type="dxa"/>
            <w:vMerge w:val="continue"/>
            <w:tcBorders>
              <w:bottom w:val="single" w:sz="2" w:space="0" w:color="D5D4D3"/>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550,000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925,188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right"/>
              <w:rPr/>
            </w:pPr>
            <w:r>
              <w:rPr/>
              <w:t>​</w:t>
            </w:r>
          </w:p>
        </w:tc>
        <w:tc>
          <w:tcPr>
            <w:tcW w:w="349" w:type="dxa"/>
            <w:tcBorders/>
            <w:vAlign w:val="center"/>
          </w:tcPr>
          <w:p>
            <w:pPr>
              <w:pStyle w:val="TableContents"/>
              <w:bidi w:val="0"/>
              <w:spacing w:before="0" w:after="283"/>
              <w:jc w:val="right"/>
              <w:rPr/>
            </w:pPr>
            <w:r>
              <w:rPr/>
              <w:t>–</w:t>
            </w:r>
          </w:p>
        </w:tc>
        <w:tc>
          <w:tcPr>
            <w:tcW w:w="1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990,000</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r>
              <w:rPr/>
              <w:t>–</w:t>
            </w:r>
          </w:p>
        </w:tc>
        <w:tc>
          <w:tcPr>
            <w:tcW w:w="2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29,948</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2,495,136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D5D4D3"/>
            </w:tcBorders>
            <w:tcMar>
              <w:bottom w:w="28" w:type="dxa"/>
            </w:tcMar>
            <w:vAlign w:val="center"/>
          </w:tcPr>
          <w:p>
            <w:pPr>
              <w:pStyle w:val="Normal"/>
              <w:bidi w:val="0"/>
              <w:jc w:val="left"/>
              <w:rPr/>
            </w:pPr>
            <w:r>
              <w:rPr/>
            </w:r>
          </w:p>
        </w:tc>
        <w:tc>
          <w:tcPr>
            <w:tcW w:w="1966" w:type="dxa"/>
            <w:vMerge w:val="continue"/>
            <w:tcBorders>
              <w:bottom w:val="single" w:sz="2" w:space="0" w:color="D5D4D3"/>
            </w:tcBorders>
            <w:tcMar>
              <w:bottom w:w="55" w:type="dxa"/>
            </w:tcMar>
            <w:vAlign w:val="center"/>
          </w:tcPr>
          <w:p>
            <w:pPr>
              <w:pStyle w:val="Normal"/>
              <w:bidi w:val="0"/>
              <w:jc w:val="left"/>
              <w:rPr/>
            </w:pPr>
            <w:r>
              <w:rPr/>
            </w:r>
          </w:p>
        </w:tc>
        <w:tc>
          <w:tcPr>
            <w:tcW w:w="109" w:type="dxa"/>
            <w:vMerge w:val="continue"/>
            <w:tcBorders>
              <w:bottom w:val="single" w:sz="2" w:space="0" w:color="D5D4D3"/>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979,935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right"/>
              <w:rPr/>
            </w:pPr>
            <w:r>
              <w:rPr/>
              <w:t>​</w:t>
            </w:r>
          </w:p>
        </w:tc>
        <w:tc>
          <w:tcPr>
            <w:tcW w:w="349" w:type="dxa"/>
            <w:tcBorders/>
            <w:vAlign w:val="center"/>
          </w:tcPr>
          <w:p>
            <w:pPr>
              <w:pStyle w:val="TableContents"/>
              <w:bidi w:val="0"/>
              <w:spacing w:before="0" w:after="283"/>
              <w:jc w:val="right"/>
              <w:rPr/>
            </w:pPr>
            <w:r>
              <w:rPr/>
              <w:t>–</w:t>
            </w:r>
          </w:p>
        </w:tc>
        <w:tc>
          <w:tcPr>
            <w:tcW w:w="1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900,000</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r>
              <w:rPr/>
              <w:t>–</w:t>
            </w:r>
          </w:p>
        </w:tc>
        <w:tc>
          <w:tcPr>
            <w:tcW w:w="2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35,781</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2,415,716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bottom w:val="single" w:sz="2" w:space="0" w:color="D5D4D3"/>
            </w:tcBorders>
            <w:tcMar>
              <w:bottom w:w="28" w:type="dxa"/>
            </w:tcMar>
            <w:vAlign w:val="center"/>
          </w:tcPr>
          <w:p>
            <w:pPr>
              <w:pStyle w:val="TableContents"/>
              <w:bidi w:val="0"/>
              <w:spacing w:before="0" w:after="283"/>
              <w:jc w:val="left"/>
              <w:rPr/>
            </w:pPr>
            <w:r>
              <w:rPr/>
              <w:t>​</w:t>
            </w:r>
          </w:p>
        </w:tc>
        <w:tc>
          <w:tcPr>
            <w:tcW w:w="1966" w:type="dxa"/>
            <w:vMerge w:val="restart"/>
            <w:tcBorders>
              <w:bottom w:val="single" w:sz="2" w:space="0" w:color="D5D4D3"/>
            </w:tcBorders>
            <w:tcMar>
              <w:bottom w:w="55" w:type="dxa"/>
            </w:tcMar>
            <w:vAlign w:val="center"/>
          </w:tcPr>
          <w:p>
            <w:pPr>
              <w:pStyle w:val="TableContents"/>
              <w:bidi w:val="0"/>
              <w:spacing w:lineRule="atLeast" w:line="204" w:before="0" w:after="0"/>
              <w:jc w:val="left"/>
              <w:rPr>
                <w:i/>
              </w:rPr>
            </w:pPr>
            <w:r>
              <w:rPr>
                <w:i w:val="false"/>
                <w:caps w:val="false"/>
                <w:smallCaps w:val="false"/>
                <w:spacing w:val="-1"/>
              </w:rPr>
              <w:t>Joseph Valane</w:t>
            </w:r>
            <w:r>
              <w:rPr>
                <w:i/>
              </w:rPr>
              <w:t xml:space="preserve"> </w:t>
              <w:br/>
              <w:t xml:space="preserve">Chief Legal </w:t>
              <w:br/>
              <w:t>Officer &amp; Secretary</w:t>
            </w:r>
          </w:p>
        </w:tc>
        <w:tc>
          <w:tcPr>
            <w:tcW w:w="109" w:type="dxa"/>
            <w:vMerge w:val="restart"/>
            <w:tcBorders>
              <w:bottom w:val="single" w:sz="2" w:space="0" w:color="D5D4D3"/>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586" w:type="dxa"/>
            <w:tcBorders/>
            <w:vAlign w:val="center"/>
          </w:tcPr>
          <w:p>
            <w:pPr>
              <w:pStyle w:val="TableContents"/>
              <w:bidi w:val="0"/>
              <w:spacing w:lineRule="atLeast" w:line="204" w:before="0" w:after="283"/>
              <w:jc w:val="right"/>
              <w:rPr/>
            </w:pPr>
            <w:r>
              <w:rPr/>
              <w:t>2025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1066" w:type="dxa"/>
            <w:tcBorders/>
            <w:vAlign w:val="center"/>
          </w:tcPr>
          <w:p>
            <w:pPr>
              <w:pStyle w:val="TableContents"/>
              <w:bidi w:val="0"/>
              <w:spacing w:lineRule="atLeast" w:line="204" w:before="0" w:after="283"/>
              <w:jc w:val="right"/>
              <w:rPr/>
            </w:pPr>
            <w:r>
              <w:rPr/>
              <w:t>500,000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886" w:type="dxa"/>
            <w:tcBorders/>
            <w:vAlign w:val="center"/>
          </w:tcPr>
          <w:p>
            <w:pPr>
              <w:pStyle w:val="TableContents"/>
              <w:bidi w:val="0"/>
              <w:spacing w:lineRule="atLeast" w:line="204"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1066" w:type="dxa"/>
            <w:tcBorders/>
            <w:vAlign w:val="center"/>
          </w:tcPr>
          <w:p>
            <w:pPr>
              <w:pStyle w:val="TableContents"/>
              <w:bidi w:val="0"/>
              <w:spacing w:lineRule="atLeast" w:line="204" w:before="0" w:after="283"/>
              <w:jc w:val="right"/>
              <w:rPr/>
            </w:pPr>
            <w:r>
              <w:rPr/>
              <w:t>779,631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lineRule="atLeast" w:line="204" w:before="0" w:after="283"/>
              <w:jc w:val="right"/>
              <w:rPr/>
            </w:pPr>
            <w:r>
              <w:rPr/>
              <w:t>​</w:t>
            </w:r>
          </w:p>
        </w:tc>
        <w:tc>
          <w:tcPr>
            <w:tcW w:w="349" w:type="dxa"/>
            <w:tcBorders/>
            <w:vAlign w:val="center"/>
          </w:tcPr>
          <w:p>
            <w:pPr>
              <w:pStyle w:val="TableContents"/>
              <w:bidi w:val="0"/>
              <w:spacing w:lineRule="atLeast" w:line="204" w:before="0" w:after="283"/>
              <w:jc w:val="right"/>
              <w:rPr/>
            </w:pPr>
            <w:r>
              <w:rPr/>
              <w:t>–</w:t>
            </w:r>
          </w:p>
        </w:tc>
        <w:tc>
          <w:tcPr>
            <w:tcW w:w="1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lineRule="atLeast" w:line="204" w:before="0" w:after="283"/>
              <w:jc w:val="right"/>
              <w:rPr/>
            </w:pPr>
            <w:r>
              <w:rPr/>
              <w:t>​</w:t>
            </w:r>
          </w:p>
        </w:tc>
        <w:tc>
          <w:tcPr>
            <w:tcW w:w="1148" w:type="dxa"/>
            <w:tcBorders/>
            <w:vAlign w:val="center"/>
          </w:tcPr>
          <w:p>
            <w:pPr>
              <w:pStyle w:val="TableContents"/>
              <w:bidi w:val="0"/>
              <w:spacing w:lineRule="atLeast" w:line="204" w:before="0" w:after="283"/>
              <w:jc w:val="right"/>
              <w:rPr/>
            </w:pPr>
            <w:r>
              <w:rPr/>
              <w:t>600,000</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lineRule="atLeast" w:line="204" w:before="0" w:after="283"/>
              <w:jc w:val="right"/>
              <w:rPr/>
            </w:pPr>
            <w:r>
              <w:rPr/>
              <w:t>​</w:t>
            </w:r>
          </w:p>
        </w:tc>
        <w:tc>
          <w:tcPr>
            <w:tcW w:w="576" w:type="dxa"/>
            <w:tcBorders/>
            <w:vAlign w:val="center"/>
          </w:tcPr>
          <w:p>
            <w:pPr>
              <w:pStyle w:val="TableContents"/>
              <w:bidi w:val="0"/>
              <w:spacing w:lineRule="atLeast" w:line="204" w:before="0" w:after="283"/>
              <w:jc w:val="right"/>
              <w:rPr/>
            </w:pPr>
            <w:r>
              <w:rPr/>
              <w:t>–</w:t>
            </w:r>
          </w:p>
        </w:tc>
        <w:tc>
          <w:tcPr>
            <w:tcW w:w="2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lineRule="atLeast" w:line="204" w:before="0" w:after="283"/>
              <w:jc w:val="right"/>
              <w:rPr/>
            </w:pPr>
            <w:r>
              <w:rPr/>
              <w:t>​</w:t>
            </w:r>
          </w:p>
        </w:tc>
        <w:tc>
          <w:tcPr>
            <w:tcW w:w="1148" w:type="dxa"/>
            <w:tcBorders/>
            <w:vAlign w:val="center"/>
          </w:tcPr>
          <w:p>
            <w:pPr>
              <w:pStyle w:val="TableContents"/>
              <w:bidi w:val="0"/>
              <w:spacing w:lineRule="atLeast" w:line="204" w:before="0" w:after="283"/>
              <w:jc w:val="right"/>
              <w:rPr/>
            </w:pPr>
            <w:r>
              <w:rPr/>
              <w:t>25,973</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1066" w:type="dxa"/>
            <w:tcBorders/>
            <w:vAlign w:val="center"/>
          </w:tcPr>
          <w:p>
            <w:pPr>
              <w:pStyle w:val="TableContents"/>
              <w:bidi w:val="0"/>
              <w:spacing w:lineRule="atLeast" w:line="204" w:before="0" w:after="283"/>
              <w:jc w:val="right"/>
              <w:rPr/>
            </w:pPr>
            <w:r>
              <w:rPr/>
              <w:t>1,905,604</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D5D4D3"/>
            </w:tcBorders>
            <w:tcMar>
              <w:bottom w:w="28" w:type="dxa"/>
            </w:tcMar>
            <w:vAlign w:val="center"/>
          </w:tcPr>
          <w:p>
            <w:pPr>
              <w:pStyle w:val="Normal"/>
              <w:bidi w:val="0"/>
              <w:jc w:val="left"/>
              <w:rPr/>
            </w:pPr>
            <w:r>
              <w:rPr/>
            </w:r>
          </w:p>
        </w:tc>
        <w:tc>
          <w:tcPr>
            <w:tcW w:w="1966" w:type="dxa"/>
            <w:vMerge w:val="continue"/>
            <w:tcBorders>
              <w:bottom w:val="single" w:sz="2" w:space="0" w:color="D5D4D3"/>
            </w:tcBorders>
            <w:tcMar>
              <w:bottom w:w="55" w:type="dxa"/>
            </w:tcMar>
            <w:vAlign w:val="center"/>
          </w:tcPr>
          <w:p>
            <w:pPr>
              <w:pStyle w:val="Normal"/>
              <w:bidi w:val="0"/>
              <w:jc w:val="left"/>
              <w:rPr/>
            </w:pPr>
            <w:r>
              <w:rPr/>
            </w:r>
          </w:p>
        </w:tc>
        <w:tc>
          <w:tcPr>
            <w:tcW w:w="109" w:type="dxa"/>
            <w:vMerge w:val="continue"/>
            <w:tcBorders>
              <w:bottom w:val="single" w:sz="2" w:space="0" w:color="D5D4D3"/>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394,231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400,000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499,981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right"/>
              <w:rPr/>
            </w:pPr>
            <w:r>
              <w:rPr/>
              <w:t>​</w:t>
            </w:r>
          </w:p>
        </w:tc>
        <w:tc>
          <w:tcPr>
            <w:tcW w:w="349" w:type="dxa"/>
            <w:tcBorders/>
            <w:vAlign w:val="center"/>
          </w:tcPr>
          <w:p>
            <w:pPr>
              <w:pStyle w:val="TableContents"/>
              <w:bidi w:val="0"/>
              <w:spacing w:before="0" w:after="283"/>
              <w:jc w:val="right"/>
              <w:rPr/>
            </w:pPr>
            <w:r>
              <w:rPr/>
              <w:t>–</w:t>
            </w:r>
          </w:p>
        </w:tc>
        <w:tc>
          <w:tcPr>
            <w:tcW w:w="1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600,000</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r>
              <w:rPr/>
              <w:t>–</w:t>
            </w:r>
          </w:p>
        </w:tc>
        <w:tc>
          <w:tcPr>
            <w:tcW w:w="2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23,116</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1,917,328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D5D4D3"/>
            </w:tcBorders>
            <w:tcMar>
              <w:bottom w:w="28" w:type="dxa"/>
            </w:tcMar>
            <w:vAlign w:val="center"/>
          </w:tcPr>
          <w:p>
            <w:pPr>
              <w:pStyle w:val="Normal"/>
              <w:bidi w:val="0"/>
              <w:jc w:val="left"/>
              <w:rPr/>
            </w:pPr>
            <w:r>
              <w:rPr/>
            </w:r>
          </w:p>
        </w:tc>
        <w:tc>
          <w:tcPr>
            <w:tcW w:w="1966" w:type="dxa"/>
            <w:vMerge w:val="continue"/>
            <w:tcBorders>
              <w:bottom w:val="single" w:sz="2" w:space="0" w:color="D5D4D3"/>
            </w:tcBorders>
            <w:tcMar>
              <w:bottom w:w="55" w:type="dxa"/>
            </w:tcMar>
            <w:vAlign w:val="center"/>
          </w:tcPr>
          <w:p>
            <w:pPr>
              <w:pStyle w:val="Normal"/>
              <w:bidi w:val="0"/>
              <w:jc w:val="left"/>
              <w:rPr/>
            </w:pPr>
            <w:r>
              <w:rPr/>
            </w:r>
          </w:p>
        </w:tc>
        <w:tc>
          <w:tcPr>
            <w:tcW w:w="109" w:type="dxa"/>
            <w:vMerge w:val="continue"/>
            <w:tcBorders>
              <w:bottom w:val="single" w:sz="2" w:space="0" w:color="D5D4D3"/>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right"/>
              <w:rPr/>
            </w:pPr>
            <w:r>
              <w:rPr/>
              <w:t>​</w:t>
            </w:r>
          </w:p>
        </w:tc>
        <w:tc>
          <w:tcPr>
            <w:tcW w:w="349" w:type="dxa"/>
            <w:tcBorders/>
            <w:vAlign w:val="center"/>
          </w:tcPr>
          <w:p>
            <w:pPr>
              <w:pStyle w:val="TableContents"/>
              <w:bidi w:val="0"/>
              <w:spacing w:before="0" w:after="283"/>
              <w:jc w:val="right"/>
              <w:rPr/>
            </w:pPr>
            <w:r>
              <w:rPr/>
              <w:t>–</w:t>
            </w:r>
          </w:p>
        </w:tc>
        <w:tc>
          <w:tcPr>
            <w:tcW w:w="1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r>
              <w:rPr/>
              <w:t>–</w:t>
            </w:r>
          </w:p>
        </w:tc>
        <w:tc>
          <w:tcPr>
            <w:tcW w:w="2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bottom w:val="single" w:sz="2" w:space="0" w:color="D5D4D3"/>
            </w:tcBorders>
            <w:tcMar>
              <w:bottom w:w="28" w:type="dxa"/>
            </w:tcMar>
            <w:vAlign w:val="center"/>
          </w:tcPr>
          <w:p>
            <w:pPr>
              <w:pStyle w:val="TableContents"/>
              <w:bidi w:val="0"/>
              <w:spacing w:before="0" w:after="283"/>
              <w:jc w:val="left"/>
              <w:rPr/>
            </w:pPr>
            <w:r>
              <w:rPr/>
              <w:t>​</w:t>
            </w:r>
          </w:p>
        </w:tc>
        <w:tc>
          <w:tcPr>
            <w:tcW w:w="1966" w:type="dxa"/>
            <w:vMerge w:val="restart"/>
            <w:tcBorders>
              <w:bottom w:val="single" w:sz="2" w:space="0" w:color="D5D4D3"/>
            </w:tcBorders>
            <w:tcMar>
              <w:bottom w:w="55" w:type="dxa"/>
            </w:tcMar>
            <w:vAlign w:val="center"/>
          </w:tcPr>
          <w:p>
            <w:pPr>
              <w:pStyle w:val="TableContents"/>
              <w:bidi w:val="0"/>
              <w:spacing w:lineRule="atLeast" w:line="204" w:before="0" w:after="0"/>
              <w:jc w:val="left"/>
              <w:rPr/>
            </w:pPr>
            <w:r>
              <w:rPr>
                <w:spacing w:val="-1"/>
              </w:rPr>
              <w:t>Doug Johnstone</w:t>
            </w:r>
            <w:r>
              <w:rPr/>
              <w:t xml:space="preserve"> </w:t>
              <w:br/>
            </w:r>
            <w:r>
              <w:rPr>
                <w:i/>
              </w:rPr>
              <w:t>President, HHC Hawaii Region</w:t>
            </w:r>
            <w:r>
              <w:rPr>
                <w:spacing w:val="-1"/>
              </w:rPr>
              <w:t xml:space="preserve"> &amp; National Condo Development</w:t>
            </w:r>
            <w:r>
              <w:rPr/>
              <w:t xml:space="preserve"> </w:t>
            </w:r>
          </w:p>
        </w:tc>
        <w:tc>
          <w:tcPr>
            <w:tcW w:w="109" w:type="dxa"/>
            <w:vMerge w:val="restart"/>
            <w:tcBorders>
              <w:bottom w:val="single" w:sz="2" w:space="0" w:color="D5D4D3"/>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586" w:type="dxa"/>
            <w:tcBorders/>
            <w:vAlign w:val="center"/>
          </w:tcPr>
          <w:p>
            <w:pPr>
              <w:pStyle w:val="TableContents"/>
              <w:bidi w:val="0"/>
              <w:spacing w:lineRule="atLeast" w:line="204" w:before="0" w:after="283"/>
              <w:jc w:val="right"/>
              <w:rPr/>
            </w:pPr>
            <w:r>
              <w:rPr/>
              <w:t>2025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1066" w:type="dxa"/>
            <w:tcBorders/>
            <w:vAlign w:val="center"/>
          </w:tcPr>
          <w:p>
            <w:pPr>
              <w:pStyle w:val="TableContents"/>
              <w:bidi w:val="0"/>
              <w:spacing w:lineRule="atLeast" w:line="204" w:before="0" w:after="283"/>
              <w:jc w:val="right"/>
              <w:rPr/>
            </w:pPr>
            <w:r>
              <w:rPr/>
              <w:t>574,808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886" w:type="dxa"/>
            <w:tcBorders/>
            <w:vAlign w:val="center"/>
          </w:tcPr>
          <w:p>
            <w:pPr>
              <w:pStyle w:val="TableContents"/>
              <w:bidi w:val="0"/>
              <w:spacing w:lineRule="atLeast" w:line="204" w:before="0" w:after="283"/>
              <w:jc w:val="right"/>
              <w:rPr/>
            </w:pPr>
            <w:r>
              <w:rPr/>
              <w:t>625,000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1066" w:type="dxa"/>
            <w:tcBorders/>
            <w:vAlign w:val="center"/>
          </w:tcPr>
          <w:p>
            <w:pPr>
              <w:pStyle w:val="TableContents"/>
              <w:bidi w:val="0"/>
              <w:spacing w:lineRule="atLeast" w:line="204" w:before="0" w:after="283"/>
              <w:jc w:val="right"/>
              <w:rPr/>
            </w:pPr>
            <w:r>
              <w:rPr/>
              <w:t>623,705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lineRule="atLeast" w:line="204" w:before="0" w:after="283"/>
              <w:jc w:val="right"/>
              <w:rPr/>
            </w:pPr>
            <w:r>
              <w:rPr/>
              <w:t>​</w:t>
            </w:r>
          </w:p>
        </w:tc>
        <w:tc>
          <w:tcPr>
            <w:tcW w:w="349" w:type="dxa"/>
            <w:tcBorders/>
            <w:vAlign w:val="center"/>
          </w:tcPr>
          <w:p>
            <w:pPr>
              <w:pStyle w:val="TableContents"/>
              <w:bidi w:val="0"/>
              <w:spacing w:lineRule="atLeast" w:line="204" w:before="0" w:after="283"/>
              <w:jc w:val="right"/>
              <w:rPr/>
            </w:pPr>
            <w:r>
              <w:rPr/>
              <w:t>–</w:t>
            </w:r>
          </w:p>
        </w:tc>
        <w:tc>
          <w:tcPr>
            <w:tcW w:w="1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lineRule="atLeast" w:line="204" w:before="0" w:after="283"/>
              <w:jc w:val="right"/>
              <w:rPr/>
            </w:pPr>
            <w:r>
              <w:rPr/>
              <w:t>​</w:t>
            </w:r>
          </w:p>
        </w:tc>
        <w:tc>
          <w:tcPr>
            <w:tcW w:w="1148" w:type="dxa"/>
            <w:tcBorders/>
            <w:vAlign w:val="center"/>
          </w:tcPr>
          <w:p>
            <w:pPr>
              <w:pStyle w:val="TableContents"/>
              <w:bidi w:val="0"/>
              <w:spacing w:lineRule="atLeast" w:line="204"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lineRule="atLeast" w:line="204" w:before="0" w:after="283"/>
              <w:jc w:val="right"/>
              <w:rPr/>
            </w:pPr>
            <w:r>
              <w:rPr/>
              <w:t>​</w:t>
            </w:r>
          </w:p>
        </w:tc>
        <w:tc>
          <w:tcPr>
            <w:tcW w:w="576" w:type="dxa"/>
            <w:tcBorders/>
            <w:vAlign w:val="center"/>
          </w:tcPr>
          <w:p>
            <w:pPr>
              <w:pStyle w:val="TableContents"/>
              <w:bidi w:val="0"/>
              <w:spacing w:lineRule="atLeast" w:line="204" w:before="0" w:after="283"/>
              <w:jc w:val="right"/>
              <w:rPr/>
            </w:pPr>
            <w:r>
              <w:rPr/>
              <w:t>–</w:t>
            </w:r>
          </w:p>
        </w:tc>
        <w:tc>
          <w:tcPr>
            <w:tcW w:w="2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lineRule="atLeast" w:line="204" w:before="0" w:after="283"/>
              <w:jc w:val="right"/>
              <w:rPr/>
            </w:pPr>
            <w:r>
              <w:rPr/>
              <w:t>​</w:t>
            </w:r>
          </w:p>
        </w:tc>
        <w:tc>
          <w:tcPr>
            <w:tcW w:w="1148" w:type="dxa"/>
            <w:tcBorders/>
            <w:vAlign w:val="center"/>
          </w:tcPr>
          <w:p>
            <w:pPr>
              <w:pStyle w:val="TableContents"/>
              <w:bidi w:val="0"/>
              <w:spacing w:lineRule="atLeast" w:line="204" w:before="0" w:after="283"/>
              <w:jc w:val="right"/>
              <w:rPr/>
            </w:pPr>
            <w:r>
              <w:rPr/>
              <w:t>33,815</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1066" w:type="dxa"/>
            <w:tcBorders/>
            <w:vAlign w:val="center"/>
          </w:tcPr>
          <w:p>
            <w:pPr>
              <w:pStyle w:val="TableContents"/>
              <w:bidi w:val="0"/>
              <w:spacing w:lineRule="atLeast" w:line="204" w:before="0" w:after="283"/>
              <w:jc w:val="right"/>
              <w:rPr/>
            </w:pPr>
            <w:r>
              <w:rPr/>
              <w:t>1,857,328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D5D4D3"/>
            </w:tcBorders>
            <w:tcMar>
              <w:bottom w:w="28" w:type="dxa"/>
            </w:tcMar>
            <w:vAlign w:val="center"/>
          </w:tcPr>
          <w:p>
            <w:pPr>
              <w:pStyle w:val="Normal"/>
              <w:bidi w:val="0"/>
              <w:jc w:val="left"/>
              <w:rPr/>
            </w:pPr>
            <w:r>
              <w:rPr/>
            </w:r>
          </w:p>
        </w:tc>
        <w:tc>
          <w:tcPr>
            <w:tcW w:w="1966" w:type="dxa"/>
            <w:vMerge w:val="continue"/>
            <w:tcBorders>
              <w:bottom w:val="single" w:sz="2" w:space="0" w:color="D5D4D3"/>
            </w:tcBorders>
            <w:tcMar>
              <w:bottom w:w="55" w:type="dxa"/>
            </w:tcMar>
            <w:vAlign w:val="center"/>
          </w:tcPr>
          <w:p>
            <w:pPr>
              <w:pStyle w:val="Normal"/>
              <w:bidi w:val="0"/>
              <w:jc w:val="left"/>
              <w:rPr/>
            </w:pPr>
            <w:r>
              <w:rPr/>
            </w:r>
          </w:p>
        </w:tc>
        <w:tc>
          <w:tcPr>
            <w:tcW w:w="109" w:type="dxa"/>
            <w:vMerge w:val="continue"/>
            <w:tcBorders>
              <w:bottom w:val="single" w:sz="2" w:space="0" w:color="D5D4D3"/>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550,000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600,000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482,995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right"/>
              <w:rPr/>
            </w:pPr>
            <w:r>
              <w:rPr/>
              <w:t>​</w:t>
            </w:r>
          </w:p>
        </w:tc>
        <w:tc>
          <w:tcPr>
            <w:tcW w:w="349" w:type="dxa"/>
            <w:tcBorders/>
            <w:vAlign w:val="center"/>
          </w:tcPr>
          <w:p>
            <w:pPr>
              <w:pStyle w:val="TableContents"/>
              <w:bidi w:val="0"/>
              <w:spacing w:before="0" w:after="283"/>
              <w:jc w:val="right"/>
              <w:rPr/>
            </w:pPr>
            <w:r>
              <w:rPr/>
              <w:t>–</w:t>
            </w:r>
          </w:p>
        </w:tc>
        <w:tc>
          <w:tcPr>
            <w:tcW w:w="1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r>
              <w:rPr/>
              <w:t>–</w:t>
            </w:r>
          </w:p>
        </w:tc>
        <w:tc>
          <w:tcPr>
            <w:tcW w:w="2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31,710</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1,664,705</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D5D4D3"/>
            </w:tcBorders>
            <w:tcMar>
              <w:bottom w:w="28" w:type="dxa"/>
            </w:tcMar>
            <w:vAlign w:val="center"/>
          </w:tcPr>
          <w:p>
            <w:pPr>
              <w:pStyle w:val="Normal"/>
              <w:bidi w:val="0"/>
              <w:jc w:val="left"/>
              <w:rPr/>
            </w:pPr>
            <w:r>
              <w:rPr/>
            </w:r>
          </w:p>
        </w:tc>
        <w:tc>
          <w:tcPr>
            <w:tcW w:w="1966" w:type="dxa"/>
            <w:vMerge w:val="continue"/>
            <w:tcBorders>
              <w:bottom w:val="single" w:sz="2" w:space="0" w:color="D5D4D3"/>
            </w:tcBorders>
            <w:tcMar>
              <w:bottom w:w="55" w:type="dxa"/>
            </w:tcMar>
            <w:vAlign w:val="center"/>
          </w:tcPr>
          <w:p>
            <w:pPr>
              <w:pStyle w:val="Normal"/>
              <w:bidi w:val="0"/>
              <w:jc w:val="left"/>
              <w:rPr/>
            </w:pPr>
            <w:r>
              <w:rPr/>
            </w:r>
          </w:p>
        </w:tc>
        <w:tc>
          <w:tcPr>
            <w:tcW w:w="109" w:type="dxa"/>
            <w:vMerge w:val="continue"/>
            <w:tcBorders>
              <w:bottom w:val="single" w:sz="2" w:space="0" w:color="D5D4D3"/>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right"/>
              <w:rPr/>
            </w:pPr>
            <w:r>
              <w:rPr/>
              <w:t>​</w:t>
            </w:r>
          </w:p>
        </w:tc>
        <w:tc>
          <w:tcPr>
            <w:tcW w:w="349" w:type="dxa"/>
            <w:tcBorders/>
            <w:vAlign w:val="center"/>
          </w:tcPr>
          <w:p>
            <w:pPr>
              <w:pStyle w:val="TableContents"/>
              <w:bidi w:val="0"/>
              <w:spacing w:before="0" w:after="283"/>
              <w:jc w:val="right"/>
              <w:rPr/>
            </w:pPr>
            <w:r>
              <w:rPr/>
              <w:t>–</w:t>
            </w:r>
          </w:p>
        </w:tc>
        <w:tc>
          <w:tcPr>
            <w:tcW w:w="1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r>
              <w:rPr/>
              <w:t>–</w:t>
            </w:r>
          </w:p>
        </w:tc>
        <w:tc>
          <w:tcPr>
            <w:tcW w:w="2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bottom w:val="single" w:sz="8" w:space="0" w:color="7F7F7F"/>
            </w:tcBorders>
            <w:tcMar>
              <w:bottom w:w="28" w:type="dxa"/>
            </w:tcMar>
            <w:vAlign w:val="center"/>
          </w:tcPr>
          <w:p>
            <w:pPr>
              <w:pStyle w:val="TableContents"/>
              <w:bidi w:val="0"/>
              <w:spacing w:before="0" w:after="283"/>
              <w:jc w:val="left"/>
              <w:rPr/>
            </w:pPr>
            <w:r>
              <w:rPr/>
              <w:t>​</w:t>
            </w:r>
          </w:p>
        </w:tc>
        <w:tc>
          <w:tcPr>
            <w:tcW w:w="1966" w:type="dxa"/>
            <w:vMerge w:val="restart"/>
            <w:tcBorders>
              <w:bottom w:val="single" w:sz="8" w:space="0" w:color="7F7F7F"/>
            </w:tcBorders>
            <w:tcMar>
              <w:bottom w:w="28" w:type="dxa"/>
            </w:tcMar>
            <w:vAlign w:val="center"/>
          </w:tcPr>
          <w:p>
            <w:pPr>
              <w:pStyle w:val="TableContents"/>
              <w:bidi w:val="0"/>
              <w:spacing w:lineRule="atLeast" w:line="204" w:before="0" w:after="0"/>
              <w:jc w:val="left"/>
              <w:rPr/>
            </w:pPr>
            <w:r>
              <w:rPr>
                <w:spacing w:val="-1"/>
              </w:rPr>
              <w:t>Andrew Davis</w:t>
            </w:r>
            <w:r>
              <w:rPr/>
              <w:t xml:space="preserve"> </w:t>
              <w:br/>
            </w:r>
            <w:r>
              <w:rPr>
                <w:i/>
              </w:rPr>
              <w:t>HHC Chief Operating Officer</w:t>
            </w:r>
            <w:r>
              <w:rPr/>
              <w:t xml:space="preserve"> </w:t>
            </w:r>
          </w:p>
        </w:tc>
        <w:tc>
          <w:tcPr>
            <w:tcW w:w="109" w:type="dxa"/>
            <w:vMerge w:val="restart"/>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586" w:type="dxa"/>
            <w:tcBorders/>
            <w:vAlign w:val="center"/>
          </w:tcPr>
          <w:p>
            <w:pPr>
              <w:pStyle w:val="TableContents"/>
              <w:bidi w:val="0"/>
              <w:spacing w:lineRule="atLeast" w:line="204" w:before="0" w:after="283"/>
              <w:jc w:val="right"/>
              <w:rPr/>
            </w:pPr>
            <w:r>
              <w:rPr/>
              <w:t>2025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1066" w:type="dxa"/>
            <w:tcBorders/>
            <w:vAlign w:val="center"/>
          </w:tcPr>
          <w:p>
            <w:pPr>
              <w:pStyle w:val="TableContents"/>
              <w:bidi w:val="0"/>
              <w:spacing w:lineRule="atLeast" w:line="204" w:before="0" w:after="283"/>
              <w:jc w:val="right"/>
              <w:rPr/>
            </w:pPr>
            <w:r>
              <w:rPr/>
              <w:t>499,514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886" w:type="dxa"/>
            <w:tcBorders/>
            <w:vAlign w:val="center"/>
          </w:tcPr>
          <w:p>
            <w:pPr>
              <w:pStyle w:val="TableContents"/>
              <w:bidi w:val="0"/>
              <w:spacing w:lineRule="atLeast" w:line="204" w:before="0" w:after="283"/>
              <w:jc w:val="right"/>
              <w:rPr/>
            </w:pPr>
            <w:r>
              <w:rPr/>
              <w:t>625,000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1066" w:type="dxa"/>
            <w:tcBorders/>
            <w:vAlign w:val="center"/>
          </w:tcPr>
          <w:p>
            <w:pPr>
              <w:pStyle w:val="TableContents"/>
              <w:bidi w:val="0"/>
              <w:spacing w:lineRule="atLeast" w:line="204" w:before="0" w:after="283"/>
              <w:jc w:val="right"/>
              <w:rPr/>
            </w:pPr>
            <w:r>
              <w:rPr/>
              <w:t xml:space="preserve">779,631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lineRule="atLeast" w:line="204" w:before="0" w:after="283"/>
              <w:jc w:val="right"/>
              <w:rPr/>
            </w:pPr>
            <w:r>
              <w:rPr/>
              <w:t>​</w:t>
            </w:r>
          </w:p>
        </w:tc>
        <w:tc>
          <w:tcPr>
            <w:tcW w:w="349" w:type="dxa"/>
            <w:tcBorders/>
            <w:vAlign w:val="center"/>
          </w:tcPr>
          <w:p>
            <w:pPr>
              <w:pStyle w:val="TableContents"/>
              <w:bidi w:val="0"/>
              <w:spacing w:lineRule="atLeast" w:line="204" w:before="0" w:after="283"/>
              <w:jc w:val="right"/>
              <w:rPr/>
            </w:pPr>
            <w:r>
              <w:rPr/>
              <w:t>–</w:t>
            </w:r>
          </w:p>
        </w:tc>
        <w:tc>
          <w:tcPr>
            <w:tcW w:w="1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lineRule="atLeast" w:line="204" w:before="0" w:after="283"/>
              <w:jc w:val="right"/>
              <w:rPr/>
            </w:pPr>
            <w:r>
              <w:rPr/>
              <w:t>​</w:t>
            </w:r>
          </w:p>
        </w:tc>
        <w:tc>
          <w:tcPr>
            <w:tcW w:w="1148" w:type="dxa"/>
            <w:tcBorders/>
            <w:vAlign w:val="center"/>
          </w:tcPr>
          <w:p>
            <w:pPr>
              <w:pStyle w:val="TableContents"/>
              <w:bidi w:val="0"/>
              <w:spacing w:lineRule="atLeast" w:line="204" w:before="0" w:after="283"/>
              <w:jc w:val="right"/>
              <w:rPr/>
            </w:pPr>
            <w:r>
              <w:rPr/>
              <w:t xml:space="preserve">– </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lineRule="atLeast" w:line="204" w:before="0" w:after="283"/>
              <w:jc w:val="right"/>
              <w:rPr/>
            </w:pPr>
            <w:r>
              <w:rPr/>
              <w:t>​</w:t>
            </w:r>
          </w:p>
        </w:tc>
        <w:tc>
          <w:tcPr>
            <w:tcW w:w="576" w:type="dxa"/>
            <w:tcBorders/>
            <w:vAlign w:val="center"/>
          </w:tcPr>
          <w:p>
            <w:pPr>
              <w:pStyle w:val="TableContents"/>
              <w:bidi w:val="0"/>
              <w:spacing w:lineRule="atLeast" w:line="204" w:before="0" w:after="283"/>
              <w:jc w:val="right"/>
              <w:rPr/>
            </w:pPr>
            <w:r>
              <w:rPr/>
              <w:t>–</w:t>
            </w:r>
          </w:p>
        </w:tc>
        <w:tc>
          <w:tcPr>
            <w:tcW w:w="2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lineRule="atLeast" w:line="204" w:before="0" w:after="283"/>
              <w:jc w:val="right"/>
              <w:rPr/>
            </w:pPr>
            <w:r>
              <w:rPr/>
              <w:t>​</w:t>
            </w:r>
          </w:p>
        </w:tc>
        <w:tc>
          <w:tcPr>
            <w:tcW w:w="1148" w:type="dxa"/>
            <w:tcBorders/>
            <w:vAlign w:val="center"/>
          </w:tcPr>
          <w:p>
            <w:pPr>
              <w:pStyle w:val="TableContents"/>
              <w:bidi w:val="0"/>
              <w:spacing w:lineRule="atLeast" w:line="204" w:before="0" w:after="283"/>
              <w:jc w:val="right"/>
              <w:rPr/>
            </w:pPr>
            <w:r>
              <w:rPr/>
              <w:t>30,758</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4" w:before="0" w:after="283"/>
              <w:jc w:val="right"/>
              <w:rPr/>
            </w:pPr>
            <w:r>
              <w:rPr/>
              <w:t>​</w:t>
            </w:r>
          </w:p>
        </w:tc>
        <w:tc>
          <w:tcPr>
            <w:tcW w:w="1066" w:type="dxa"/>
            <w:tcBorders/>
            <w:vAlign w:val="center"/>
          </w:tcPr>
          <w:p>
            <w:pPr>
              <w:pStyle w:val="TableContents"/>
              <w:bidi w:val="0"/>
              <w:spacing w:lineRule="atLeast" w:line="204" w:before="0" w:after="283"/>
              <w:jc w:val="right"/>
              <w:rPr/>
            </w:pPr>
            <w:r>
              <w:rPr/>
              <w:t>1,934,903</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8" w:space="0" w:color="7F7F7F"/>
            </w:tcBorders>
            <w:tcMar>
              <w:bottom w:w="28" w:type="dxa"/>
            </w:tcMar>
            <w:vAlign w:val="center"/>
          </w:tcPr>
          <w:p>
            <w:pPr>
              <w:pStyle w:val="Normal"/>
              <w:bidi w:val="0"/>
              <w:jc w:val="left"/>
              <w:rPr/>
            </w:pPr>
            <w:r>
              <w:rPr/>
            </w:r>
          </w:p>
        </w:tc>
        <w:tc>
          <w:tcPr>
            <w:tcW w:w="1966" w:type="dxa"/>
            <w:vMerge w:val="continue"/>
            <w:tcBorders>
              <w:bottom w:val="single" w:sz="8" w:space="0" w:color="7F7F7F"/>
            </w:tcBorders>
            <w:tcMar>
              <w:bottom w:w="28" w:type="dxa"/>
            </w:tcMar>
            <w:vAlign w:val="center"/>
          </w:tcPr>
          <w:p>
            <w:pPr>
              <w:pStyle w:val="Normal"/>
              <w:bidi w:val="0"/>
              <w:jc w:val="left"/>
              <w:rPr/>
            </w:pPr>
            <w:r>
              <w:rPr/>
            </w:r>
          </w:p>
        </w:tc>
        <w:tc>
          <w:tcPr>
            <w:tcW w:w="109" w:type="dxa"/>
            <w:vMerge w:val="continue"/>
            <w:tcBorders>
              <w:bottom w:val="single" w:sz="8" w:space="0" w:color="7F7F7F"/>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right"/>
              <w:rPr/>
            </w:pPr>
            <w:r>
              <w:rPr/>
              <w:t>​</w:t>
            </w:r>
          </w:p>
        </w:tc>
        <w:tc>
          <w:tcPr>
            <w:tcW w:w="349" w:type="dxa"/>
            <w:tcBorders/>
            <w:vAlign w:val="center"/>
          </w:tcPr>
          <w:p>
            <w:pPr>
              <w:pStyle w:val="TableContents"/>
              <w:bidi w:val="0"/>
              <w:spacing w:before="0" w:after="283"/>
              <w:jc w:val="right"/>
              <w:rPr/>
            </w:pPr>
            <w:r>
              <w:rPr/>
              <w:t>–</w:t>
            </w:r>
          </w:p>
        </w:tc>
        <w:tc>
          <w:tcPr>
            <w:tcW w:w="1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r>
              <w:rPr/>
              <w:t>–</w:t>
            </w:r>
          </w:p>
        </w:tc>
        <w:tc>
          <w:tcPr>
            <w:tcW w:w="2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8" w:space="0" w:color="7F7F7F"/>
            </w:tcBorders>
            <w:tcMar>
              <w:bottom w:w="28" w:type="dxa"/>
            </w:tcMar>
            <w:vAlign w:val="center"/>
          </w:tcPr>
          <w:p>
            <w:pPr>
              <w:pStyle w:val="Normal"/>
              <w:bidi w:val="0"/>
              <w:jc w:val="left"/>
              <w:rPr/>
            </w:pPr>
            <w:r>
              <w:rPr/>
            </w:r>
          </w:p>
        </w:tc>
        <w:tc>
          <w:tcPr>
            <w:tcW w:w="1966" w:type="dxa"/>
            <w:vMerge w:val="continue"/>
            <w:tcBorders>
              <w:bottom w:val="single" w:sz="8" w:space="0" w:color="7F7F7F"/>
            </w:tcBorders>
            <w:tcMar>
              <w:bottom w:w="28" w:type="dxa"/>
            </w:tcMar>
            <w:vAlign w:val="center"/>
          </w:tcPr>
          <w:p>
            <w:pPr>
              <w:pStyle w:val="Normal"/>
              <w:bidi w:val="0"/>
              <w:jc w:val="left"/>
              <w:rPr/>
            </w:pPr>
            <w:r>
              <w:rPr/>
            </w:r>
          </w:p>
        </w:tc>
        <w:tc>
          <w:tcPr>
            <w:tcW w:w="109" w:type="dxa"/>
            <w:vMerge w:val="continue"/>
            <w:tcBorders>
              <w:bottom w:val="single" w:sz="8" w:space="0" w:color="7F7F7F"/>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right"/>
              <w:rPr/>
            </w:pPr>
            <w:r>
              <w:rPr/>
              <w:t>​</w:t>
            </w:r>
          </w:p>
        </w:tc>
        <w:tc>
          <w:tcPr>
            <w:tcW w:w="349" w:type="dxa"/>
            <w:tcBorders/>
            <w:vAlign w:val="center"/>
          </w:tcPr>
          <w:p>
            <w:pPr>
              <w:pStyle w:val="TableContents"/>
              <w:bidi w:val="0"/>
              <w:spacing w:before="0" w:after="283"/>
              <w:jc w:val="right"/>
              <w:rPr/>
            </w:pPr>
            <w:r>
              <w:rPr/>
              <w:t>–</w:t>
            </w:r>
          </w:p>
        </w:tc>
        <w:tc>
          <w:tcPr>
            <w:tcW w:w="1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left"/>
              <w:rPr/>
            </w:pPr>
            <w:r>
              <w:rPr/>
              <w:t>​</w:t>
            </w:r>
          </w:p>
        </w:tc>
        <w:tc>
          <w:tcPr>
            <w:tcW w:w="278"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r>
              <w:rPr/>
              <w:t>–</w:t>
            </w:r>
          </w:p>
        </w:tc>
        <w:tc>
          <w:tcPr>
            <w:tcW w:w="2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148" w:type="dxa"/>
            <w:tcBorders/>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96" w:after="0"/>
        <w:ind w:left="13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Cross ceased to be an executive officer of, and retired from, the Company effective September 16,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0960" distB="0" distL="0" distR="0" simplePos="0" locked="0" layoutInCell="1" allowOverlap="1" relativeHeight="542">
                <wp:simplePos x="0" y="0"/>
                <wp:positionH relativeFrom="column">
                  <wp:align>left</wp:align>
                </wp:positionH>
                <wp:positionV relativeFrom="line">
                  <wp:align>top</wp:align>
                </wp:positionV>
                <wp:extent cx="254000" cy="279400"/>
                <wp:effectExtent l="0" t="0" r="0" b="0"/>
                <wp:wrapSquare wrapText="right"/>
                <wp:docPr id="555" name="Frame426"/>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1"/>
                                <w:sz w:val="18"/>
                              </w:rPr>
                              <w:t>*</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1"/>
                          <w:sz w:val="18"/>
                        </w:rPr>
                        <w:t>*</w:t>
                      </w:r>
                      <w:r>
                        <w:rPr>
                          <w:sz w:val="18"/>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116" w:after="0"/>
        <w:ind w:left="130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amount reported in the “Bonus” column consists of the discretionary annual cash bonus paid to each of Mr. Johnstone and Mr. Davis for their respective 2025 performances. Please see above under “</w:t>
      </w:r>
      <w:r>
        <w:rPr>
          <w:rFonts w:ascii="Arial;Helvetica;sans-serif" w:hAnsi="Arial;Helvetica;sans-serif"/>
          <w:b w:val="false"/>
          <w:i/>
          <w:caps w:val="false"/>
          <w:smallCaps w:val="false"/>
          <w:color w:val="000000"/>
          <w:sz w:val="18"/>
        </w:rPr>
        <w:t>Doug Johnstone – 2025 Annual Incentive</w:t>
      </w:r>
      <w:r>
        <w:rPr>
          <w:rFonts w:ascii="Arial;Helvetica;sans-serif" w:hAnsi="Arial;Helvetica;sans-serif"/>
          <w:b w:val="false"/>
          <w:i w:val="false"/>
          <w:caps w:val="false"/>
          <w:smallCaps w:val="false"/>
          <w:color w:val="000000"/>
          <w:spacing w:val="-1"/>
          <w:sz w:val="18"/>
        </w:rPr>
        <w:t>” and “</w:t>
      </w:r>
      <w:r>
        <w:rPr>
          <w:rFonts w:ascii="Arial;Helvetica;sans-serif" w:hAnsi="Arial;Helvetica;sans-serif"/>
          <w:b w:val="false"/>
          <w:i/>
          <w:caps w:val="false"/>
          <w:smallCaps w:val="false"/>
          <w:color w:val="000000"/>
          <w:sz w:val="18"/>
        </w:rPr>
        <w:t>Andrew Davis – 2025 Annual Incentive</w:t>
      </w:r>
      <w:r>
        <w:rPr>
          <w:rFonts w:ascii="Arial;Helvetica;sans-serif" w:hAnsi="Arial;Helvetica;sans-serif"/>
          <w:b w:val="false"/>
          <w:i w:val="false"/>
          <w:caps w:val="false"/>
          <w:smallCaps w:val="false"/>
          <w:color w:val="000000"/>
          <w:spacing w:val="-1"/>
          <w:sz w:val="18"/>
        </w:rPr>
        <w:t>” for further information.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0" distR="0" simplePos="0" locked="0" layoutInCell="1" allowOverlap="1" relativeHeight="543">
                <wp:simplePos x="0" y="0"/>
                <wp:positionH relativeFrom="column">
                  <wp:align>left</wp:align>
                </wp:positionH>
                <wp:positionV relativeFrom="line">
                  <wp:align>top</wp:align>
                </wp:positionV>
                <wp:extent cx="254000" cy="279400"/>
                <wp:effectExtent l="0" t="0" r="0" b="0"/>
                <wp:wrapSquare wrapText="right"/>
                <wp:docPr id="556" name="Frame427"/>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(1)</w:t>
                      </w:r>
                      <w:r>
                        <w:rPr>
                          <w:sz w:val="18"/>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116" w:after="0"/>
        <w:ind w:left="1300"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 amounts reported in the “Stock Awards” column represent the aggregate grant date fair value of stock awards in the form of restricted stock (time-based vesting and performance-based vesting) granted in the years shown, computed in accordance with Financial Accounting Standards Board Accounting Standards Codification 718, Compensation – Stock Compensation (“ASC Topic 718”). Pursuant to SEC rules, the amounts shown in this column exclude the impact of estimated forfeitures related to service-based vesting conditions. If the maximum level of performance of 200% of target number of shares granted was achieved with respect to the performance-based restricted stock granted in 2025 to Messrs. O’Reilly, Cross, Olea, Johnstone, and Davis, the grant date values would be, respectively, $4,855,625, $2,481,873, $1,456,687, $647,417, and $809,271. See Note 13 to our consolidated financial statements included in our Annual Report on Form 10-K for the year ended December 31, 2025, for further information regarding equity awards, including the assumptions made in </w:t>
      </w:r>
      <w:r>
        <mc:AlternateContent>
          <mc:Choice Requires="wps">
            <w:drawing>
              <wp:anchor behindDoc="0" distT="73660" distB="0" distL="0" distR="0" simplePos="0" locked="0" layoutInCell="1" allowOverlap="1" relativeHeight="544">
                <wp:simplePos x="0" y="0"/>
                <wp:positionH relativeFrom="column">
                  <wp:align>left</wp:align>
                </wp:positionH>
                <wp:positionV relativeFrom="line">
                  <wp:align>top</wp:align>
                </wp:positionV>
                <wp:extent cx="254000" cy="279400"/>
                <wp:effectExtent l="0" t="0" r="0" b="0"/>
                <wp:wrapSquare wrapText="right"/>
                <wp:docPr id="557" name="Frame428"/>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(2)</w:t>
                      </w:r>
                      <w:r>
                        <w:rPr>
                          <w:sz w:val="18"/>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/ 73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Executive Compensation</w:t>
      </w:r>
      <w:r>
        <w:rPr>
          <w:rFonts w:ascii="Arial;Helvetica;sans-serif" w:hAnsi="Arial;Helvetica;sans-serif"/>
          <w:b/>
          <w:i w:val="false"/>
          <w:caps w:val="false"/>
          <w:smallCaps w:val="false"/>
          <w:color w:val="7F7F7F"/>
          <w:spacing w:val="-3"/>
          <w:sz w:val="22"/>
        </w:rPr>
        <w:t xml:space="preserve"> </w:t>
      </w:r>
    </w:p>
    <w:p>
      <w:pPr>
        <w:pStyle w:val="TextBody"/>
        <w:bidi w:val="0"/>
        <w:spacing w:lineRule="atLeast" w:line="220" w:before="120" w:after="594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determining these values. Additional information on all outstanding stock awards is reflected in the 2025 Outstanding Equity Awards at Fiscal Year-End table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amounts reported in the “Non-Equity Incentive Plan Compensation” column reflect the amounts paid to certain of the NEOs under our annual incentive compensation plan for performance in the listed fiscal year. For additional information on annual incentive compensation, see “</w:t>
      </w:r>
      <w:r>
        <w:rPr>
          <w:rFonts w:ascii="Arial;Helvetica;sans-serif" w:hAnsi="Arial;Helvetica;sans-serif"/>
          <w:b w:val="false"/>
          <w:i/>
          <w:caps w:val="false"/>
          <w:smallCaps w:val="false"/>
          <w:color w:val="000000"/>
          <w:sz w:val="18"/>
        </w:rPr>
        <w:t>Compensation Discussion and Analysis – Annual Incentive Compensation</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45">
                <wp:simplePos x="0" y="0"/>
                <wp:positionH relativeFrom="column">
                  <wp:align>left</wp:align>
                </wp:positionH>
                <wp:positionV relativeFrom="line">
                  <wp:align>top</wp:align>
                </wp:positionV>
                <wp:extent cx="254000" cy="350520"/>
                <wp:effectExtent l="0" t="0" r="0" b="0"/>
                <wp:wrapSquare wrapText="right"/>
                <wp:docPr id="558" name="Frame4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(3)</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For Mr. O’Reilly, the amount reported in the “All Other Compensation” column for 2025 consists of (i) (a) $18,405 contributed by the Company to the Company’s executive long term disability plan and (b) a $12,175 tax gross-up payment by the Company for the same; (ii) $360 for executive medical flight program costs; (iii) $17,500 contributed by the Company to the Company’s 401(k) plan; and (iv) $552 for group term life insurance. For Mr. Cross, the amount reported in the “All Other Compensation” column for 2025 consists of (i) (a) $18,050 contributed by the Company to the Company’s executive long term disability plan and (b) a $12,377 tax gross-up payment by the Company for the same; (ii) $15,865 contributed by the Company to the Company’s 401(k) plan; (iii) $360 for executive medical flight program costs; (iv) $1,397 for group term life insurance; (v) $4,567,308 in severance; and (vi) $28,846 paid for accrued and unused paid time off. For Mr. Olea, the amount reported in the “All Other Compensation” column for 2025 consists of (i) (a) $7,436 contributed by the Company to the Company’s executive long term disability plan and (b) a $5,058 tax gross-up payment by the Company for the same; (ii) $360 for group term life insurance; (iii) $16,923 contributed by the Company to the Company’s 401(k) plan; and (iv) $360 for executive medical flight program costs. For Mr. Valane, the amount reported in the “All Other Compensation” column for 2025 consists of (i) (a) $5,883 contributed by the Company to the Company’s executive long term disability plan; and (b) a $2,014 tax gross-up payment by the Company for the same; (ii) $360 for executive medical flight program costs; (iii) $216 for group term life insurance; and (iv) $17,500 contributed by the Company to the Company’s 401(k) plan. For Mr. Johnstone, the 2025 amount reported in the “All Other Compensation” column consists of (i) (a) $6,025 contributed by the Company to the Company’s executive long term disability plan and (b) a $2,590 tax gross-up payment by the Company for the same; (ii) $6,100 for charitable matching contributions; (iii) $240 for group term life insurance; (iv) $360 for executive medical flight program costs; (v) $17,500 contributed by the Company to the Company’s 401(k) plan; and (vi) $1,000 under the Company’s wellness reimbursement program. For Mr. Davis, the amounts reported in the “All Other Compensation” column for 2025 consist of (i) (a) $4,450 contributed by the Company to the Company’s executive long term disability plan and (b) a $1,832 tax gross-up payment by the Company for the same; (ii) $240 for group term life insurance; (iii) $840 for tickets; (iv) $360 for executive medical flight program costs; (v) $4,537 for charitable matching contributions; (vi) $17,500 contributed by the Company to the Company’s 401(k) plan; and (vii) $1,000 under the Company’s wellness reimbursement program. </w:t>
      </w:r>
      <w:r>
        <mc:AlternateContent>
          <mc:Choice Requires="wps">
            <w:drawing>
              <wp:anchor behindDoc="0" distT="76200" distB="0" distL="0" distR="0" simplePos="0" locked="0" layoutInCell="1" allowOverlap="1" relativeHeight="546">
                <wp:simplePos x="0" y="0"/>
                <wp:positionH relativeFrom="column">
                  <wp:align>left</wp:align>
                </wp:positionH>
                <wp:positionV relativeFrom="line">
                  <wp:align>top</wp:align>
                </wp:positionV>
                <wp:extent cx="254000" cy="350520"/>
                <wp:effectExtent l="0" t="0" r="0" b="0"/>
                <wp:wrapSquare wrapText="right"/>
                <wp:docPr id="559" name="Frame4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(4)</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74 \ 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6" w:name="t2GOP"/>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Executive Compensation</w:t>
      </w:r>
      <w:r>
        <w:rPr>
          <w:rFonts w:ascii="Arial;Helvetica;sans-serif" w:hAnsi="Arial;Helvetica;sans-serif"/>
          <w:b/>
          <w:i w:val="false"/>
          <w:caps w:val="false"/>
          <w:smallCaps w:val="false"/>
          <w:color w:val="7F7F7F"/>
          <w:sz w:val="22"/>
        </w:rPr>
        <w:t>​</w:t>
      </w:r>
    </w:p>
    <w:p>
      <w:pPr>
        <w:pStyle w:val="TextBody"/>
        <w:bidi w:val="0"/>
        <w:spacing w:lineRule="atLeast" w:line="340" w:before="120" w:after="240"/>
        <w:ind w:left="901"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2025 GRANTS OF PLAN-BASED AWARDS</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provides information regarding the plan-based awards granted to the NEOs in 2025.</w:t>
      </w:r>
      <w:r>
        <w:rPr>
          <w:rFonts w:ascii="Arial;Helvetica;sans-serif" w:hAnsi="Arial;Helvetica;sans-serif"/>
          <w:b w:val="false"/>
          <w:i w:val="false"/>
          <w:caps w:val="false"/>
          <w:smallCaps w:val="false"/>
          <w:color w:val="000000"/>
          <w:sz w:val="20"/>
        </w:rPr>
        <w:t xml:space="preserve"> </w:t>
      </w:r>
    </w:p>
    <w:tbl>
      <w:tblPr>
        <w:tblW w:w="15379" w:type="dxa"/>
        <w:jc w:val="left"/>
        <w:tblInd w:w="543" w:type="dxa"/>
        <w:tblLayout w:type="fixed"/>
        <w:tblCellMar>
          <w:top w:w="0" w:type="dxa"/>
          <w:left w:w="0" w:type="dxa"/>
          <w:bottom w:w="28" w:type="dxa"/>
          <w:right w:w="0" w:type="dxa"/>
        </w:tblCellMar>
      </w:tblPr>
      <w:tblGrid>
        <w:gridCol w:w="124"/>
        <w:gridCol w:w="1043"/>
        <w:gridCol w:w="109"/>
        <w:gridCol w:w="109"/>
        <w:gridCol w:w="109"/>
        <w:gridCol w:w="109"/>
        <w:gridCol w:w="721"/>
        <w:gridCol w:w="109"/>
        <w:gridCol w:w="109"/>
        <w:gridCol w:w="109"/>
        <w:gridCol w:w="109"/>
        <w:gridCol w:w="109"/>
        <w:gridCol w:w="586"/>
        <w:gridCol w:w="109"/>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09"/>
        <w:gridCol w:w="109"/>
        <w:gridCol w:w="210"/>
        <w:gridCol w:w="210"/>
        <w:gridCol w:w="435"/>
        <w:gridCol w:w="211"/>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09"/>
        <w:gridCol w:w="109"/>
        <w:gridCol w:w="1066"/>
        <w:gridCol w:w="109"/>
        <w:gridCol w:w="154"/>
      </w:tblGrid>
      <w:tr>
        <w:trPr/>
        <w:tc>
          <w:tcPr>
            <w:tcW w:w="124" w:type="dxa"/>
            <w:tcBorders>
              <w:bottom w:val="single" w:sz="2" w:space="0" w:color="BAD8EA"/>
            </w:tcBorders>
            <w:shd w:fill="BAD8EA" w:val="clear"/>
            <w:vAlign w:val="center"/>
          </w:tcPr>
          <w:p>
            <w:pPr>
              <w:pStyle w:val="TableContents"/>
              <w:bidi w:val="0"/>
              <w:spacing w:before="0" w:after="283"/>
              <w:jc w:val="left"/>
              <w:rPr/>
            </w:pPr>
            <w:r>
              <w:rPr/>
              <w:t>​</w:t>
            </w:r>
          </w:p>
        </w:tc>
        <w:tc>
          <w:tcPr>
            <w:tcW w:w="1043" w:type="dxa"/>
            <w:tcBorders>
              <w:bottom w:val="single" w:sz="2" w:space="0" w:color="BAD8EA"/>
            </w:tcBorders>
            <w:shd w:fill="BAD8EA" w:val="clear"/>
            <w:vAlign w:val="center"/>
          </w:tcPr>
          <w:p>
            <w:pPr>
              <w:pStyle w:val="TableContents"/>
              <w:bidi w:val="0"/>
              <w:spacing w:before="0" w:after="283"/>
              <w:jc w:val="left"/>
              <w:rPr/>
            </w:pPr>
            <w:r>
              <w:rPr/>
              <w:t>​</w:t>
            </w:r>
          </w:p>
        </w:tc>
        <w:tc>
          <w:tcPr>
            <w:tcW w:w="109" w:type="dxa"/>
            <w:tcBorders>
              <w:bottom w:val="single" w:sz="2" w:space="0" w:color="BAD8EA"/>
            </w:tcBorders>
            <w:shd w:fill="BAD8EA" w:val="clear"/>
            <w:vAlign w:val="center"/>
          </w:tcPr>
          <w:p>
            <w:pPr>
              <w:pStyle w:val="TableContents"/>
              <w:bidi w:val="0"/>
              <w:spacing w:before="0" w:after="283"/>
              <w:jc w:val="left"/>
              <w:rPr/>
            </w:pPr>
            <w:r>
              <w:rPr/>
              <w:t>​</w:t>
            </w:r>
          </w:p>
        </w:tc>
        <w:tc>
          <w:tcPr>
            <w:tcW w:w="109" w:type="dxa"/>
            <w:tcBorders>
              <w:bottom w:val="single" w:sz="2" w:space="0" w:color="BAD8EA"/>
            </w:tcBorders>
            <w:shd w:fill="BAD8EA" w:val="clear"/>
            <w:vAlign w:val="center"/>
          </w:tcPr>
          <w:p>
            <w:pPr>
              <w:pStyle w:val="TableContents"/>
              <w:bidi w:val="0"/>
              <w:spacing w:before="0" w:after="283"/>
              <w:jc w:val="left"/>
              <w:rPr/>
            </w:pPr>
            <w:r>
              <w:rPr/>
              <w:t>​</w:t>
            </w:r>
          </w:p>
        </w:tc>
        <w:tc>
          <w:tcPr>
            <w:tcW w:w="1048" w:type="dxa"/>
            <w:gridSpan w:val="4"/>
            <w:tcBorders>
              <w:bottom w:val="single" w:sz="2" w:space="0" w:color="BAD8EA"/>
            </w:tcBorders>
            <w:shd w:fill="BAD8EA" w:val="clear"/>
            <w:vAlign w:val="center"/>
          </w:tcPr>
          <w:p>
            <w:pPr>
              <w:pStyle w:val="TableContents"/>
              <w:bidi w:val="0"/>
              <w:spacing w:before="0" w:after="283"/>
              <w:jc w:val="left"/>
              <w:rPr/>
            </w:pPr>
            <w:r>
              <w:rPr/>
              <w:t>​</w:t>
            </w:r>
          </w:p>
        </w:tc>
        <w:tc>
          <w:tcPr>
            <w:tcW w:w="109" w:type="dxa"/>
            <w:tcBorders>
              <w:bottom w:val="single" w:sz="2" w:space="0" w:color="BAD8EA"/>
            </w:tcBorders>
            <w:shd w:fill="BAD8EA" w:val="clear"/>
            <w:vAlign w:val="center"/>
          </w:tcPr>
          <w:p>
            <w:pPr>
              <w:pStyle w:val="TableContents"/>
              <w:bidi w:val="0"/>
              <w:spacing w:before="0" w:after="283"/>
              <w:jc w:val="left"/>
              <w:rPr/>
            </w:pPr>
            <w:r>
              <w:rPr/>
              <w:t>​</w:t>
            </w:r>
          </w:p>
        </w:tc>
        <w:tc>
          <w:tcPr>
            <w:tcW w:w="109" w:type="dxa"/>
            <w:tcBorders>
              <w:bottom w:val="single" w:sz="2" w:space="0" w:color="BAD8EA"/>
            </w:tcBorders>
            <w:shd w:fill="BAD8EA" w:val="clear"/>
            <w:vAlign w:val="center"/>
          </w:tcPr>
          <w:p>
            <w:pPr>
              <w:pStyle w:val="TableContents"/>
              <w:bidi w:val="0"/>
              <w:spacing w:before="0" w:after="283"/>
              <w:jc w:val="left"/>
              <w:rPr/>
            </w:pPr>
            <w:r>
              <w:rPr/>
              <w:t>​</w:t>
            </w:r>
          </w:p>
        </w:tc>
        <w:tc>
          <w:tcPr>
            <w:tcW w:w="913" w:type="dxa"/>
            <w:gridSpan w:val="4"/>
            <w:tcBorders>
              <w:bottom w:val="single" w:sz="2" w:space="0" w:color="BAD8EA"/>
            </w:tcBorders>
            <w:shd w:fill="BAD8EA" w:val="clear"/>
            <w:vAlign w:val="center"/>
          </w:tcPr>
          <w:p>
            <w:pPr>
              <w:pStyle w:val="TableContents"/>
              <w:bidi w:val="0"/>
              <w:spacing w:before="0" w:after="283"/>
              <w:jc w:val="left"/>
              <w:rPr/>
            </w:pPr>
            <w:r>
              <w:rPr/>
              <w:t>​</w:t>
            </w:r>
          </w:p>
        </w:tc>
        <w:tc>
          <w:tcPr>
            <w:tcW w:w="109" w:type="dxa"/>
            <w:tcBorders>
              <w:bottom w:val="single" w:sz="2" w:space="0" w:color="BAD8EA"/>
            </w:tcBorders>
            <w:shd w:fill="BAD8EA" w:val="clear"/>
            <w:vAlign w:val="center"/>
          </w:tcPr>
          <w:p>
            <w:pPr>
              <w:pStyle w:val="TableContents"/>
              <w:bidi w:val="0"/>
              <w:spacing w:before="0" w:after="283"/>
              <w:jc w:val="left"/>
              <w:rPr/>
            </w:pPr>
            <w:r>
              <w:rPr/>
              <w:t>​</w:t>
            </w:r>
          </w:p>
        </w:tc>
        <w:tc>
          <w:tcPr>
            <w:tcW w:w="109" w:type="dxa"/>
            <w:tcBorders>
              <w:bottom w:val="single" w:sz="2" w:space="0" w:color="BAD8EA"/>
            </w:tcBorders>
            <w:shd w:fill="BAD8EA" w:val="clear"/>
            <w:vAlign w:val="center"/>
          </w:tcPr>
          <w:p>
            <w:pPr>
              <w:pStyle w:val="TableContents"/>
              <w:bidi w:val="0"/>
              <w:spacing w:before="0" w:after="283"/>
              <w:jc w:val="left"/>
              <w:rPr/>
            </w:pPr>
            <w:r>
              <w:rPr/>
              <w:t>​</w:t>
            </w:r>
          </w:p>
        </w:tc>
        <w:tc>
          <w:tcPr>
            <w:tcW w:w="4615" w:type="dxa"/>
            <w:gridSpan w:val="16"/>
            <w:tcBorders>
              <w:bottom w:val="single" w:sz="2" w:space="0" w:color="7F7F7F"/>
            </w:tcBorders>
            <w:shd w:fill="BAD8EA" w:val="clear"/>
            <w:tcMar>
              <w:bottom w:w="33" w:type="dxa"/>
            </w:tcMar>
            <w:vAlign w:val="center"/>
          </w:tcPr>
          <w:p>
            <w:pPr>
              <w:pStyle w:val="TableContents"/>
              <w:bidi w:val="0"/>
              <w:spacing w:lineRule="atLeast" w:line="142" w:before="0" w:after="0"/>
              <w:jc w:val="center"/>
              <w:rPr/>
            </w:pPr>
            <w:r>
              <w:rPr>
                <w:spacing w:val="0"/>
              </w:rPr>
              <w:t xml:space="preserve">Estimated Possible Payouts </w:t>
              <w:br/>
              <w:t xml:space="preserve">Under Non-Equity Incentive </w:t>
              <w:br/>
              <w:t>Plan Awards</w:t>
            </w:r>
            <w:r>
              <w:rPr>
                <w:spacing w:val="-1"/>
                <w:sz w:val="9"/>
              </w:rPr>
              <w:t>(2)</w:t>
            </w:r>
            <w:r>
              <w:rPr/>
              <w:t xml:space="preserve"> </w:t>
            </w:r>
          </w:p>
        </w:tc>
        <w:tc>
          <w:tcPr>
            <w:tcW w:w="109" w:type="dxa"/>
            <w:tcBorders>
              <w:bottom w:val="single" w:sz="2" w:space="0" w:color="BAD8EA"/>
            </w:tcBorders>
            <w:shd w:fill="BAD8EA" w:val="clear"/>
            <w:vAlign w:val="center"/>
          </w:tcPr>
          <w:p>
            <w:pPr>
              <w:pStyle w:val="TableContents"/>
              <w:bidi w:val="0"/>
              <w:spacing w:before="0" w:after="283"/>
              <w:jc w:val="left"/>
              <w:rPr/>
            </w:pPr>
            <w:r>
              <w:rPr/>
              <w:t>​</w:t>
            </w:r>
          </w:p>
        </w:tc>
        <w:tc>
          <w:tcPr>
            <w:tcW w:w="109" w:type="dxa"/>
            <w:tcBorders>
              <w:bottom w:val="single" w:sz="2" w:space="0" w:color="BAD8EA"/>
            </w:tcBorders>
            <w:shd w:fill="BAD8EA" w:val="clear"/>
            <w:vAlign w:val="center"/>
          </w:tcPr>
          <w:p>
            <w:pPr>
              <w:pStyle w:val="TableContents"/>
              <w:bidi w:val="0"/>
              <w:spacing w:before="0" w:after="283"/>
              <w:jc w:val="left"/>
              <w:rPr/>
            </w:pPr>
            <w:r>
              <w:rPr/>
              <w:t>​</w:t>
            </w:r>
          </w:p>
        </w:tc>
        <w:tc>
          <w:tcPr>
            <w:tcW w:w="3688" w:type="dxa"/>
            <w:gridSpan w:val="16"/>
            <w:tcBorders>
              <w:bottom w:val="single" w:sz="2" w:space="0" w:color="7F7F7F"/>
            </w:tcBorders>
            <w:shd w:fill="BAD8EA" w:val="clear"/>
            <w:tcMar>
              <w:bottom w:w="33" w:type="dxa"/>
            </w:tcMar>
            <w:vAlign w:val="center"/>
          </w:tcPr>
          <w:p>
            <w:pPr>
              <w:pStyle w:val="TableContents"/>
              <w:bidi w:val="0"/>
              <w:spacing w:lineRule="atLeast" w:line="142" w:before="0" w:after="0"/>
              <w:jc w:val="center"/>
              <w:rPr/>
            </w:pPr>
            <w:r>
              <w:rPr>
                <w:spacing w:val="0"/>
              </w:rPr>
              <w:t xml:space="preserve">Estimated Future Payouts </w:t>
              <w:br/>
              <w:t xml:space="preserve">Under Equity Incentive </w:t>
              <w:br/>
              <w:t>Plan Awards</w:t>
            </w:r>
            <w:r>
              <w:rPr>
                <w:spacing w:val="-1"/>
                <w:sz w:val="9"/>
              </w:rPr>
              <w:t>(3)</w:t>
            </w:r>
            <w:r>
              <w:rPr/>
              <w:t xml:space="preserve"> </w:t>
            </w:r>
          </w:p>
        </w:tc>
        <w:tc>
          <w:tcPr>
            <w:tcW w:w="109" w:type="dxa"/>
            <w:tcBorders>
              <w:bottom w:val="single" w:sz="2" w:space="0" w:color="BAD8EA"/>
            </w:tcBorders>
            <w:shd w:fill="BAD8EA" w:val="clear"/>
            <w:vAlign w:val="center"/>
          </w:tcPr>
          <w:p>
            <w:pPr>
              <w:pStyle w:val="TableContents"/>
              <w:bidi w:val="0"/>
              <w:spacing w:before="0" w:after="283"/>
              <w:jc w:val="left"/>
              <w:rPr/>
            </w:pPr>
            <w:r>
              <w:rPr/>
              <w:t>​</w:t>
            </w:r>
          </w:p>
        </w:tc>
        <w:tc>
          <w:tcPr>
            <w:tcW w:w="109" w:type="dxa"/>
            <w:vMerge w:val="restart"/>
            <w:tcBorders/>
            <w:shd w:fill="BAD8EA" w:val="clear"/>
            <w:tcMar>
              <w:bottom w:w="0" w:type="dxa"/>
            </w:tcMar>
            <w:vAlign w:val="center"/>
          </w:tcPr>
          <w:p>
            <w:pPr>
              <w:pStyle w:val="TableContents"/>
              <w:bidi w:val="0"/>
              <w:spacing w:before="0" w:after="283"/>
              <w:jc w:val="left"/>
              <w:rPr/>
            </w:pPr>
            <w:r>
              <w:rPr/>
              <w:t>​</w:t>
            </w:r>
          </w:p>
        </w:tc>
        <w:tc>
          <w:tcPr>
            <w:tcW w:w="1093" w:type="dxa"/>
            <w:gridSpan w:val="4"/>
            <w:vMerge w:val="restart"/>
            <w:tcBorders/>
            <w:shd w:fill="BAD8EA" w:val="clear"/>
            <w:tcMar>
              <w:bottom w:w="0" w:type="dxa"/>
            </w:tcMar>
            <w:vAlign w:val="center"/>
          </w:tcPr>
          <w:p>
            <w:pPr>
              <w:pStyle w:val="TableContents"/>
              <w:bidi w:val="0"/>
              <w:spacing w:lineRule="atLeast" w:line="142" w:before="0" w:after="0"/>
              <w:jc w:val="center"/>
              <w:rPr/>
            </w:pPr>
            <w:r>
              <w:rPr>
                <w:spacing w:val="0"/>
              </w:rPr>
              <w:t xml:space="preserve">All </w:t>
              <w:br/>
              <w:t xml:space="preserve">Other </w:t>
              <w:br/>
              <w:t xml:space="preserve">Stock </w:t>
              <w:br/>
              <w:t xml:space="preserve">Awards: </w:t>
              <w:br/>
              <w:t xml:space="preserve">Number </w:t>
              <w:br/>
              <w:t xml:space="preserve">of Shares </w:t>
              <w:br/>
              <w:t xml:space="preserve">of Stock </w:t>
              <w:br/>
              <w:t>or Units</w:t>
            </w:r>
            <w:r>
              <w:rPr/>
              <w:t xml:space="preserve"> </w:t>
              <w:br/>
            </w:r>
            <w:r>
              <w:rPr>
                <w:spacing w:val="-2"/>
              </w:rPr>
              <w:t>(#)</w:t>
            </w:r>
            <w:r>
              <w:rPr>
                <w:spacing w:val="-1"/>
                <w:sz w:val="9"/>
              </w:rPr>
              <w:t>(4)</w:t>
            </w:r>
            <w:r>
              <w:rPr/>
              <w:t xml:space="preserve"> </w:t>
            </w:r>
          </w:p>
        </w:tc>
        <w:tc>
          <w:tcPr>
            <w:tcW w:w="109" w:type="dxa"/>
            <w:vMerge w:val="restart"/>
            <w:tcBorders/>
            <w:shd w:fill="BAD8EA" w:val="clear"/>
            <w:tcMar>
              <w:bottom w:w="0" w:type="dxa"/>
            </w:tcMar>
            <w:vAlign w:val="center"/>
          </w:tcPr>
          <w:p>
            <w:pPr>
              <w:pStyle w:val="TableContents"/>
              <w:bidi w:val="0"/>
              <w:spacing w:before="0" w:after="283"/>
              <w:jc w:val="left"/>
              <w:rPr/>
            </w:pPr>
            <w:r>
              <w:rPr/>
              <w:t>​</w:t>
            </w:r>
          </w:p>
        </w:tc>
        <w:tc>
          <w:tcPr>
            <w:tcW w:w="109" w:type="dxa"/>
            <w:vMerge w:val="restart"/>
            <w:tcBorders/>
            <w:shd w:fill="BAD8EA" w:val="clear"/>
            <w:tcMar>
              <w:bottom w:w="0" w:type="dxa"/>
            </w:tcMar>
            <w:vAlign w:val="center"/>
          </w:tcPr>
          <w:p>
            <w:pPr>
              <w:pStyle w:val="TableContents"/>
              <w:bidi w:val="0"/>
              <w:spacing w:before="0" w:after="283"/>
              <w:jc w:val="left"/>
              <w:rPr/>
            </w:pPr>
            <w:r>
              <w:rPr/>
              <w:t>​</w:t>
            </w:r>
          </w:p>
        </w:tc>
        <w:tc>
          <w:tcPr>
            <w:tcW w:w="1393" w:type="dxa"/>
            <w:gridSpan w:val="4"/>
            <w:vMerge w:val="restart"/>
            <w:tcBorders/>
            <w:shd w:fill="BAD8EA" w:val="clear"/>
            <w:tcMar>
              <w:bottom w:w="0" w:type="dxa"/>
            </w:tcMar>
            <w:vAlign w:val="center"/>
          </w:tcPr>
          <w:p>
            <w:pPr>
              <w:pStyle w:val="TableContents"/>
              <w:bidi w:val="0"/>
              <w:spacing w:lineRule="atLeast" w:line="142" w:before="0" w:after="0"/>
              <w:jc w:val="center"/>
              <w:rPr/>
            </w:pPr>
            <w:r>
              <w:rPr>
                <w:spacing w:val="0"/>
              </w:rPr>
              <w:t xml:space="preserve">Grant </w:t>
              <w:br/>
              <w:t xml:space="preserve">Date </w:t>
              <w:br/>
              <w:t xml:space="preserve">Fair </w:t>
              <w:br/>
              <w:t xml:space="preserve">Value of </w:t>
              <w:br/>
              <w:t xml:space="preserve">Stock </w:t>
              <w:br/>
              <w:t xml:space="preserve">Awards and </w:t>
              <w:br/>
              <w:t>Option Awards</w:t>
            </w:r>
            <w:r>
              <w:rPr/>
              <w:t xml:space="preserve"> </w:t>
              <w:br/>
            </w:r>
            <w:r>
              <w:rPr>
                <w:spacing w:val="-2"/>
              </w:rPr>
              <w:t>($)</w:t>
            </w:r>
            <w:r>
              <w:rPr>
                <w:spacing w:val="-1"/>
                <w:sz w:val="9"/>
              </w:rPr>
              <w:t>(5)</w:t>
            </w:r>
            <w:r>
              <w:rPr/>
              <w:t xml:space="preserve"> </w:t>
            </w:r>
          </w:p>
        </w:tc>
        <w:tc>
          <w:tcPr>
            <w:tcW w:w="154" w:type="dxa"/>
            <w:vMerge w:val="restart"/>
            <w:tcBorders/>
            <w:shd w:fill="BAD8EA" w:val="clear"/>
            <w:tcMar>
              <w:bottom w:w="0" w:type="dxa"/>
            </w:tcMar>
            <w:vAlign w:val="center"/>
          </w:tcPr>
          <w:p>
            <w:pPr>
              <w:pStyle w:val="TableContents"/>
              <w:bidi w:val="0"/>
              <w:spacing w:before="0" w:after="283"/>
              <w:jc w:val="left"/>
              <w:rPr/>
            </w:pPr>
            <w:r>
              <w:rPr/>
              <w:t>​</w:t>
            </w:r>
          </w:p>
        </w:tc>
      </w:tr>
      <w:tr>
        <w:trPr/>
        <w:tc>
          <w:tcPr>
            <w:tcW w:w="124" w:type="dxa"/>
            <w:tcBorders/>
            <w:shd w:fill="BAD8EA" w:val="clear"/>
            <w:tcMar>
              <w:bottom w:w="0" w:type="dxa"/>
            </w:tcMar>
            <w:vAlign w:val="center"/>
          </w:tcPr>
          <w:p>
            <w:pPr>
              <w:pStyle w:val="TableContents"/>
              <w:bidi w:val="0"/>
              <w:spacing w:before="0" w:after="283"/>
              <w:jc w:val="left"/>
              <w:rPr/>
            </w:pPr>
            <w:r>
              <w:rPr/>
              <w:t>​</w:t>
            </w:r>
          </w:p>
        </w:tc>
        <w:tc>
          <w:tcPr>
            <w:tcW w:w="1043" w:type="dxa"/>
            <w:tcBorders/>
            <w:shd w:fill="BAD8EA" w:val="clear"/>
            <w:tcMar>
              <w:bottom w:w="0" w:type="dxa"/>
            </w:tcMar>
            <w:vAlign w:val="center"/>
          </w:tcPr>
          <w:p>
            <w:pPr>
              <w:pStyle w:val="TableContents"/>
              <w:bidi w:val="0"/>
              <w:spacing w:before="0" w:after="0"/>
              <w:jc w:val="left"/>
              <w:rPr>
                <w:spacing w:val="0"/>
              </w:rPr>
            </w:pPr>
            <w:r>
              <w:rPr>
                <w:spacing w:val="0"/>
              </w:rPr>
              <w:t xml:space="preserve">Name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48" w:type="dxa"/>
            <w:gridSpan w:val="4"/>
            <w:tcBorders/>
            <w:shd w:fill="BAD8EA" w:val="clear"/>
            <w:tcMar>
              <w:bottom w:w="0" w:type="dxa"/>
            </w:tcMar>
            <w:vAlign w:val="center"/>
          </w:tcPr>
          <w:p>
            <w:pPr>
              <w:pStyle w:val="TableContents"/>
              <w:bidi w:val="0"/>
              <w:spacing w:lineRule="atLeast" w:line="142" w:before="0" w:after="0"/>
              <w:jc w:val="center"/>
              <w:rPr/>
            </w:pPr>
            <w:r>
              <w:rPr>
                <w:spacing w:val="0"/>
              </w:rPr>
              <w:t xml:space="preserve">Type of </w:t>
              <w:br/>
              <w:t>Award</w:t>
            </w:r>
            <w:r>
              <w:rPr>
                <w:spacing w:val="-1"/>
                <w:sz w:val="9"/>
              </w:rPr>
              <w:t>(1)</w:t>
            </w:r>
            <w:r>
              <w:rPr/>
              <w:t xml:space="preserv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913" w:type="dxa"/>
            <w:gridSpan w:val="4"/>
            <w:tcBorders/>
            <w:shd w:fill="BAD8EA" w:val="clear"/>
            <w:tcMar>
              <w:bottom w:w="0" w:type="dxa"/>
            </w:tcMar>
            <w:vAlign w:val="center"/>
          </w:tcPr>
          <w:p>
            <w:pPr>
              <w:pStyle w:val="TableContents"/>
              <w:bidi w:val="0"/>
              <w:spacing w:before="0" w:after="0"/>
              <w:jc w:val="center"/>
              <w:rPr>
                <w:spacing w:val="0"/>
              </w:rPr>
            </w:pPr>
            <w:r>
              <w:rPr>
                <w:spacing w:val="0"/>
              </w:rPr>
              <w:t xml:space="preserve">Grant Date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393" w:type="dxa"/>
            <w:gridSpan w:val="4"/>
            <w:tcBorders/>
            <w:shd w:fill="BAD8EA" w:val="clear"/>
            <w:tcMar>
              <w:bottom w:w="0" w:type="dxa"/>
            </w:tcMar>
            <w:vAlign w:val="center"/>
          </w:tcPr>
          <w:p>
            <w:pPr>
              <w:pStyle w:val="TableContents"/>
              <w:bidi w:val="0"/>
              <w:spacing w:lineRule="atLeast" w:line="157" w:before="0" w:after="0"/>
              <w:jc w:val="center"/>
              <w:rPr/>
            </w:pPr>
            <w:r>
              <w:rPr>
                <w:spacing w:val="0"/>
              </w:rPr>
              <w:t>Threshold</w:t>
            </w:r>
            <w:r>
              <w:rPr/>
              <w:t xml:space="preserve"> </w:t>
              <w:br/>
            </w:r>
            <w:r>
              <w:rPr>
                <w:spacing w:val="-2"/>
              </w:rPr>
              <w:t xml:space="preserv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393" w:type="dxa"/>
            <w:gridSpan w:val="4"/>
            <w:tcBorders/>
            <w:shd w:fill="BAD8EA" w:val="clear"/>
            <w:tcMar>
              <w:bottom w:w="0" w:type="dxa"/>
            </w:tcMar>
            <w:vAlign w:val="center"/>
          </w:tcPr>
          <w:p>
            <w:pPr>
              <w:pStyle w:val="TableContents"/>
              <w:bidi w:val="0"/>
              <w:spacing w:lineRule="atLeast" w:line="157" w:before="0" w:after="0"/>
              <w:jc w:val="center"/>
              <w:rPr/>
            </w:pPr>
            <w:r>
              <w:rPr>
                <w:spacing w:val="0"/>
              </w:rPr>
              <w:t>Target</w:t>
            </w:r>
            <w:r>
              <w:rPr/>
              <w:t xml:space="preserve"> </w:t>
              <w:br/>
            </w:r>
            <w:r>
              <w:rPr>
                <w:spacing w:val="-2"/>
              </w:rPr>
              <w:t xml:space="preserv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393" w:type="dxa"/>
            <w:gridSpan w:val="4"/>
            <w:tcBorders/>
            <w:shd w:fill="BAD8EA" w:val="clear"/>
            <w:tcMar>
              <w:bottom w:w="0" w:type="dxa"/>
            </w:tcMar>
            <w:vAlign w:val="center"/>
          </w:tcPr>
          <w:p>
            <w:pPr>
              <w:pStyle w:val="TableContents"/>
              <w:bidi w:val="0"/>
              <w:spacing w:lineRule="atLeast" w:line="157" w:before="0" w:after="0"/>
              <w:jc w:val="center"/>
              <w:rPr/>
            </w:pPr>
            <w:r>
              <w:rPr>
                <w:spacing w:val="0"/>
              </w:rPr>
              <w:t>Maximum</w:t>
            </w:r>
            <w:r>
              <w:rPr/>
              <w:t xml:space="preserve"> </w:t>
              <w:br/>
            </w:r>
            <w:r>
              <w:rPr>
                <w:spacing w:val="-2"/>
              </w:rPr>
              <w:t xml:space="preserv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66" w:type="dxa"/>
            <w:gridSpan w:val="4"/>
            <w:tcBorders/>
            <w:shd w:fill="BAD8EA" w:val="clear"/>
            <w:tcMar>
              <w:bottom w:w="0" w:type="dxa"/>
            </w:tcMar>
            <w:vAlign w:val="center"/>
          </w:tcPr>
          <w:p>
            <w:pPr>
              <w:pStyle w:val="TableContents"/>
              <w:bidi w:val="0"/>
              <w:spacing w:lineRule="atLeast" w:line="157" w:before="0" w:after="0"/>
              <w:jc w:val="center"/>
              <w:rPr/>
            </w:pPr>
            <w:r>
              <w:rPr>
                <w:spacing w:val="0"/>
              </w:rPr>
              <w:t>Threshold</w:t>
            </w:r>
            <w:r>
              <w:rPr/>
              <w:t xml:space="preserve"> </w:t>
              <w:br/>
            </w:r>
            <w:r>
              <w:rPr>
                <w:spacing w:val="-2"/>
              </w:rPr>
              <w:t xml:space="preserv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3" w:type="dxa"/>
            <w:gridSpan w:val="4"/>
            <w:tcBorders/>
            <w:shd w:fill="BAD8EA" w:val="clear"/>
            <w:tcMar>
              <w:bottom w:w="0" w:type="dxa"/>
            </w:tcMar>
            <w:vAlign w:val="center"/>
          </w:tcPr>
          <w:p>
            <w:pPr>
              <w:pStyle w:val="TableContents"/>
              <w:bidi w:val="0"/>
              <w:spacing w:lineRule="atLeast" w:line="157" w:before="0" w:after="0"/>
              <w:jc w:val="center"/>
              <w:rPr/>
            </w:pPr>
            <w:r>
              <w:rPr>
                <w:spacing w:val="0"/>
              </w:rPr>
              <w:t>Target</w:t>
            </w:r>
            <w:r>
              <w:rPr/>
              <w:t xml:space="preserve"> </w:t>
              <w:br/>
            </w:r>
            <w:r>
              <w:rPr>
                <w:spacing w:val="-2"/>
              </w:rPr>
              <w:t xml:space="preserv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3" w:type="dxa"/>
            <w:gridSpan w:val="4"/>
            <w:tcBorders/>
            <w:shd w:fill="BAD8EA" w:val="clear"/>
            <w:tcMar>
              <w:bottom w:w="0" w:type="dxa"/>
            </w:tcMar>
            <w:vAlign w:val="center"/>
          </w:tcPr>
          <w:p>
            <w:pPr>
              <w:pStyle w:val="TableContents"/>
              <w:bidi w:val="0"/>
              <w:spacing w:lineRule="atLeast" w:line="157" w:before="0" w:after="0"/>
              <w:jc w:val="center"/>
              <w:rPr/>
            </w:pPr>
            <w:r>
              <w:rPr>
                <w:spacing w:val="0"/>
              </w:rPr>
              <w:t>Maximum</w:t>
            </w:r>
            <w:r>
              <w:rPr/>
              <w:t xml:space="preserve"> </w:t>
              <w:br/>
            </w:r>
            <w:r>
              <w:rPr>
                <w:spacing w:val="-2"/>
              </w:rPr>
              <w:t xml:space="preserv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vMerge w:val="continue"/>
            <w:tcBorders/>
            <w:shd w:fill="BAD8EA" w:val="clear"/>
            <w:tcMar>
              <w:bottom w:w="0" w:type="dxa"/>
            </w:tcMar>
            <w:vAlign w:val="center"/>
          </w:tcPr>
          <w:p>
            <w:pPr>
              <w:pStyle w:val="Normal"/>
              <w:bidi w:val="0"/>
              <w:jc w:val="left"/>
              <w:rPr/>
            </w:pPr>
            <w:r>
              <w:rPr/>
            </w:r>
          </w:p>
        </w:tc>
        <w:tc>
          <w:tcPr>
            <w:tcW w:w="1093" w:type="dxa"/>
            <w:gridSpan w:val="4"/>
            <w:vMerge w:val="continue"/>
            <w:tcBorders/>
            <w:shd w:fill="BAD8EA" w:val="clear"/>
            <w:tcMar>
              <w:bottom w:w="0" w:type="dxa"/>
            </w:tcMar>
            <w:vAlign w:val="center"/>
          </w:tcPr>
          <w:p>
            <w:pPr>
              <w:pStyle w:val="Normal"/>
              <w:bidi w:val="0"/>
              <w:jc w:val="left"/>
              <w:rPr/>
            </w:pPr>
            <w:r>
              <w:rPr/>
            </w:r>
          </w:p>
        </w:tc>
        <w:tc>
          <w:tcPr>
            <w:tcW w:w="109" w:type="dxa"/>
            <w:vMerge w:val="continue"/>
            <w:tcBorders/>
            <w:shd w:fill="BAD8EA" w:val="clear"/>
            <w:tcMar>
              <w:bottom w:w="0" w:type="dxa"/>
            </w:tcMar>
            <w:vAlign w:val="center"/>
          </w:tcPr>
          <w:p>
            <w:pPr>
              <w:pStyle w:val="Normal"/>
              <w:bidi w:val="0"/>
              <w:jc w:val="left"/>
              <w:rPr/>
            </w:pPr>
            <w:r>
              <w:rPr/>
            </w:r>
          </w:p>
        </w:tc>
        <w:tc>
          <w:tcPr>
            <w:tcW w:w="109" w:type="dxa"/>
            <w:vMerge w:val="continue"/>
            <w:tcBorders/>
            <w:shd w:fill="BAD8EA" w:val="clear"/>
            <w:tcMar>
              <w:bottom w:w="0" w:type="dxa"/>
            </w:tcMar>
            <w:vAlign w:val="center"/>
          </w:tcPr>
          <w:p>
            <w:pPr>
              <w:pStyle w:val="Normal"/>
              <w:bidi w:val="0"/>
              <w:jc w:val="left"/>
              <w:rPr/>
            </w:pPr>
            <w:r>
              <w:rPr/>
            </w:r>
          </w:p>
        </w:tc>
        <w:tc>
          <w:tcPr>
            <w:tcW w:w="1393" w:type="dxa"/>
            <w:gridSpan w:val="4"/>
            <w:vMerge w:val="continue"/>
            <w:tcBorders/>
            <w:shd w:fill="BAD8EA" w:val="clear"/>
            <w:tcMar>
              <w:bottom w:w="0" w:type="dxa"/>
            </w:tcMar>
            <w:vAlign w:val="center"/>
          </w:tcPr>
          <w:p>
            <w:pPr>
              <w:pStyle w:val="Normal"/>
              <w:bidi w:val="0"/>
              <w:jc w:val="left"/>
              <w:rPr/>
            </w:pPr>
            <w:r>
              <w:rPr/>
            </w:r>
          </w:p>
        </w:tc>
        <w:tc>
          <w:tcPr>
            <w:tcW w:w="154" w:type="dxa"/>
            <w:vMerge w:val="continue"/>
            <w:tcBorders/>
            <w:shd w:fill="BAD8EA" w:val="clear"/>
            <w:tcMar>
              <w:bottom w:w="0" w:type="dxa"/>
            </w:tcMar>
            <w:vAlign w:val="center"/>
          </w:tcPr>
          <w:p>
            <w:pPr>
              <w:pStyle w:val="Normal"/>
              <w:bidi w:val="0"/>
              <w:jc w:val="left"/>
              <w:rPr/>
            </w:pPr>
            <w:r>
              <w:rPr/>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043" w:type="dxa"/>
            <w:tcBorders/>
            <w:shd w:fill="E5E5E5" w:val="clear"/>
            <w:tcMar>
              <w:bottom w:w="0" w:type="dxa"/>
            </w:tcMar>
            <w:vAlign w:val="center"/>
          </w:tcPr>
          <w:p>
            <w:pPr>
              <w:pStyle w:val="TableContents"/>
              <w:bidi w:val="0"/>
              <w:spacing w:before="0" w:after="283"/>
              <w:jc w:val="left"/>
              <w:rPr>
                <w:spacing w:val="-1"/>
              </w:rPr>
            </w:pPr>
            <w:r>
              <w:rPr>
                <w:spacing w:val="-1"/>
              </w:rPr>
              <w:t xml:space="preserve">David O’Reilly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21"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10" w:type="dxa"/>
            <w:tcBorders/>
            <w:shd w:fill="E5E5E5" w:val="clear"/>
            <w:tcMar>
              <w:bottom w:w="0" w:type="dxa"/>
            </w:tcMar>
            <w:vAlign w:val="center"/>
          </w:tcPr>
          <w:p>
            <w:pPr>
              <w:pStyle w:val="TableContents"/>
              <w:bidi w:val="0"/>
              <w:spacing w:before="0" w:after="283"/>
              <w:jc w:val="left"/>
              <w:rPr/>
            </w:pPr>
            <w:r>
              <w:rPr/>
              <w:t>​</w:t>
            </w:r>
          </w:p>
        </w:tc>
        <w:tc>
          <w:tcPr>
            <w:tcW w:w="210" w:type="dxa"/>
            <w:tcBorders/>
            <w:shd w:fill="E5E5E5" w:val="clear"/>
            <w:tcMar>
              <w:bottom w:w="0" w:type="dxa"/>
            </w:tcMar>
            <w:vAlign w:val="center"/>
          </w:tcPr>
          <w:p>
            <w:pPr>
              <w:pStyle w:val="TableContents"/>
              <w:bidi w:val="0"/>
              <w:spacing w:before="0" w:after="283"/>
              <w:jc w:val="right"/>
              <w:rPr/>
            </w:pPr>
            <w:r>
              <w:rPr/>
              <w:t>​</w:t>
            </w:r>
          </w:p>
        </w:tc>
        <w:tc>
          <w:tcPr>
            <w:tcW w:w="435" w:type="dxa"/>
            <w:tcBorders/>
            <w:shd w:fill="E5E5E5" w:val="clear"/>
            <w:tcMar>
              <w:bottom w:w="0" w:type="dxa"/>
            </w:tcMar>
            <w:vAlign w:val="center"/>
          </w:tcPr>
          <w:p>
            <w:pPr>
              <w:pStyle w:val="TableContents"/>
              <w:bidi w:val="0"/>
              <w:spacing w:before="0" w:after="283"/>
              <w:jc w:val="right"/>
              <w:rPr/>
            </w:pPr>
            <w:r>
              <w:rPr/>
              <w:t>​</w:t>
            </w:r>
          </w:p>
        </w:tc>
        <w:tc>
          <w:tcPr>
            <w:tcW w:w="21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21" w:type="dxa"/>
            <w:tcBorders>
              <w:bottom w:val="single" w:sz="2" w:space="0" w:color="D5D4D3"/>
            </w:tcBorders>
            <w:tcMar>
              <w:bottom w:w="39" w:type="dxa"/>
            </w:tcMar>
            <w:vAlign w:val="center"/>
          </w:tcPr>
          <w:p>
            <w:pPr>
              <w:pStyle w:val="TableContents"/>
              <w:bidi w:val="0"/>
              <w:spacing w:before="0" w:after="283"/>
              <w:jc w:val="right"/>
              <w:rPr/>
            </w:pPr>
            <w:r>
              <w:rPr/>
              <w:t>AICA</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58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1,400,000</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1,750,000</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2,100,000</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tcMar>
              <w:bottom w:w="39" w:type="dxa"/>
            </w:tcMar>
            <w:vAlign w:val="center"/>
          </w:tcPr>
          <w:p>
            <w:pPr>
              <w:pStyle w:val="TableContents"/>
              <w:bidi w:val="0"/>
              <w:spacing w:before="0" w:after="283"/>
              <w:jc w:val="right"/>
              <w:rPr/>
            </w:pPr>
            <w:r>
              <w:rPr/>
              <w:t>​</w:t>
            </w:r>
          </w:p>
        </w:tc>
        <w:tc>
          <w:tcPr>
            <w:tcW w:w="435" w:type="dxa"/>
            <w:tcBorders>
              <w:bottom w:val="single" w:sz="2" w:space="0" w:color="D5D4D3"/>
            </w:tcBorders>
            <w:tcMar>
              <w:bottom w:w="39" w:type="dxa"/>
            </w:tcMar>
            <w:vAlign w:val="center"/>
          </w:tcPr>
          <w:p>
            <w:pPr>
              <w:pStyle w:val="TableContents"/>
              <w:bidi w:val="0"/>
              <w:spacing w:before="0" w:after="283"/>
              <w:jc w:val="right"/>
              <w:rPr/>
            </w:pPr>
            <w:r>
              <w:rPr/>
              <w:t>–</w:t>
            </w:r>
          </w:p>
        </w:tc>
        <w:tc>
          <w:tcPr>
            <w:tcW w:w="211"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54" w:type="dxa"/>
            <w:tcBorders>
              <w:bottom w:val="single" w:sz="2" w:space="0" w:color="D5D4D3"/>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21" w:type="dxa"/>
            <w:tcBorders>
              <w:bottom w:val="single" w:sz="2" w:space="0" w:color="D5D4D3"/>
            </w:tcBorders>
            <w:tcMar>
              <w:bottom w:w="39" w:type="dxa"/>
            </w:tcMar>
            <w:vAlign w:val="center"/>
          </w:tcPr>
          <w:p>
            <w:pPr>
              <w:pStyle w:val="TableContents"/>
              <w:bidi w:val="0"/>
              <w:spacing w:before="0" w:after="283"/>
              <w:jc w:val="right"/>
              <w:rPr/>
            </w:pPr>
            <w:r>
              <w:rPr/>
              <w:t>PBRS</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586" w:type="dxa"/>
            <w:tcBorders>
              <w:bottom w:val="single" w:sz="2" w:space="0" w:color="D5D4D3"/>
            </w:tcBorders>
            <w:tcMar>
              <w:bottom w:w="39" w:type="dxa"/>
            </w:tcMar>
            <w:vAlign w:val="center"/>
          </w:tcPr>
          <w:p>
            <w:pPr>
              <w:pStyle w:val="TableContents"/>
              <w:bidi w:val="0"/>
              <w:spacing w:before="0" w:after="283"/>
              <w:jc w:val="right"/>
              <w:rPr/>
            </w:pPr>
            <w:r>
              <w:rPr/>
              <w:t>02/05/2025</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tcMar>
              <w:bottom w:w="39" w:type="dxa"/>
            </w:tcMar>
            <w:vAlign w:val="center"/>
          </w:tcPr>
          <w:p>
            <w:pPr>
              <w:pStyle w:val="TableContents"/>
              <w:bidi w:val="0"/>
              <w:spacing w:before="0" w:after="283"/>
              <w:jc w:val="right"/>
              <w:rPr/>
            </w:pPr>
            <w:r>
              <w:rPr/>
              <w:t>​</w:t>
            </w:r>
          </w:p>
        </w:tc>
        <w:tc>
          <w:tcPr>
            <w:tcW w:w="435" w:type="dxa"/>
            <w:tcBorders>
              <w:bottom w:val="single" w:sz="2" w:space="0" w:color="D5D4D3"/>
            </w:tcBorders>
            <w:tcMar>
              <w:bottom w:w="39" w:type="dxa"/>
            </w:tcMar>
            <w:vAlign w:val="center"/>
          </w:tcPr>
          <w:p>
            <w:pPr>
              <w:pStyle w:val="TableContents"/>
              <w:bidi w:val="0"/>
              <w:spacing w:before="0" w:after="283"/>
              <w:jc w:val="right"/>
              <w:rPr/>
            </w:pPr>
            <w:r>
              <w:rPr/>
              <w:t>0</w:t>
            </w:r>
          </w:p>
        </w:tc>
        <w:tc>
          <w:tcPr>
            <w:tcW w:w="211"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29,640</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59,280</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2,427,812</w:t>
            </w:r>
          </w:p>
        </w:tc>
        <w:tc>
          <w:tcPr>
            <w:tcW w:w="109" w:type="dxa"/>
            <w:tcBorders>
              <w:bottom w:val="single" w:sz="2" w:space="0" w:color="D5D4D3"/>
            </w:tcBorders>
            <w:vAlign w:val="center"/>
          </w:tcPr>
          <w:p>
            <w:pPr>
              <w:pStyle w:val="TableContents"/>
              <w:bidi w:val="0"/>
              <w:spacing w:before="0" w:after="283"/>
              <w:jc w:val="left"/>
              <w:rPr/>
            </w:pPr>
            <w:r>
              <w:rPr/>
              <w:t>​</w:t>
            </w:r>
          </w:p>
        </w:tc>
        <w:tc>
          <w:tcPr>
            <w:tcW w:w="154" w:type="dxa"/>
            <w:tcBorders>
              <w:bottom w:val="single" w:sz="2" w:space="0" w:color="D5D4D3"/>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21" w:type="dxa"/>
            <w:tcBorders>
              <w:bottom w:val="single" w:sz="2" w:space="0" w:color="D5D4D3"/>
            </w:tcBorders>
            <w:tcMar>
              <w:bottom w:w="39" w:type="dxa"/>
            </w:tcMar>
            <w:vAlign w:val="center"/>
          </w:tcPr>
          <w:p>
            <w:pPr>
              <w:pStyle w:val="TableContents"/>
              <w:bidi w:val="0"/>
              <w:spacing w:before="0" w:after="283"/>
              <w:jc w:val="right"/>
              <w:rPr/>
            </w:pPr>
            <w:r>
              <w:rPr/>
              <w:t>TBRS</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586" w:type="dxa"/>
            <w:tcBorders>
              <w:bottom w:val="single" w:sz="2" w:space="0" w:color="D5D4D3"/>
            </w:tcBorders>
            <w:tcMar>
              <w:bottom w:w="39" w:type="dxa"/>
            </w:tcMar>
            <w:vAlign w:val="center"/>
          </w:tcPr>
          <w:p>
            <w:pPr>
              <w:pStyle w:val="TableContents"/>
              <w:bidi w:val="0"/>
              <w:spacing w:before="0" w:after="283"/>
              <w:jc w:val="right"/>
              <w:rPr/>
            </w:pPr>
            <w:r>
              <w:rPr/>
              <w:t>02/05/2025</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tcMar>
              <w:bottom w:w="39" w:type="dxa"/>
            </w:tcMar>
            <w:vAlign w:val="center"/>
          </w:tcPr>
          <w:p>
            <w:pPr>
              <w:pStyle w:val="TableContents"/>
              <w:bidi w:val="0"/>
              <w:spacing w:before="0" w:after="283"/>
              <w:jc w:val="right"/>
              <w:rPr/>
            </w:pPr>
            <w:r>
              <w:rPr/>
              <w:t>​</w:t>
            </w:r>
          </w:p>
        </w:tc>
        <w:tc>
          <w:tcPr>
            <w:tcW w:w="435" w:type="dxa"/>
            <w:tcBorders>
              <w:bottom w:val="single" w:sz="2" w:space="0" w:color="D5D4D3"/>
            </w:tcBorders>
            <w:tcMar>
              <w:bottom w:w="39" w:type="dxa"/>
            </w:tcMar>
            <w:vAlign w:val="center"/>
          </w:tcPr>
          <w:p>
            <w:pPr>
              <w:pStyle w:val="TableContents"/>
              <w:bidi w:val="0"/>
              <w:spacing w:before="0" w:after="283"/>
              <w:jc w:val="right"/>
              <w:rPr/>
            </w:pPr>
            <w:r>
              <w:rPr/>
              <w:t>–</w:t>
            </w:r>
          </w:p>
        </w:tc>
        <w:tc>
          <w:tcPr>
            <w:tcW w:w="211"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29,640</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2,249,972</w:t>
            </w:r>
          </w:p>
        </w:tc>
        <w:tc>
          <w:tcPr>
            <w:tcW w:w="109" w:type="dxa"/>
            <w:tcBorders>
              <w:bottom w:val="single" w:sz="2" w:space="0" w:color="D5D4D3"/>
            </w:tcBorders>
            <w:vAlign w:val="center"/>
          </w:tcPr>
          <w:p>
            <w:pPr>
              <w:pStyle w:val="TableContents"/>
              <w:bidi w:val="0"/>
              <w:spacing w:before="0" w:after="283"/>
              <w:jc w:val="left"/>
              <w:rPr/>
            </w:pPr>
            <w:r>
              <w:rPr/>
              <w:t>​</w:t>
            </w:r>
          </w:p>
        </w:tc>
        <w:tc>
          <w:tcPr>
            <w:tcW w:w="154" w:type="dxa"/>
            <w:tcBorders>
              <w:bottom w:val="single" w:sz="2" w:space="0" w:color="D5D4D3"/>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043" w:type="dxa"/>
            <w:tcBorders/>
            <w:shd w:fill="E5E5E5" w:val="clear"/>
            <w:tcMar>
              <w:bottom w:w="0" w:type="dxa"/>
            </w:tcMar>
            <w:vAlign w:val="center"/>
          </w:tcPr>
          <w:p>
            <w:pPr>
              <w:pStyle w:val="TableContents"/>
              <w:bidi w:val="0"/>
              <w:spacing w:before="0" w:after="283"/>
              <w:jc w:val="left"/>
              <w:rPr>
                <w:spacing w:val="-1"/>
              </w:rPr>
            </w:pPr>
            <w:r>
              <w:rPr>
                <w:spacing w:val="-1"/>
              </w:rPr>
              <w:t xml:space="preserve">L. Jay Cross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21"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10" w:type="dxa"/>
            <w:tcBorders/>
            <w:shd w:fill="E5E5E5" w:val="clear"/>
            <w:tcMar>
              <w:bottom w:w="0" w:type="dxa"/>
            </w:tcMar>
            <w:vAlign w:val="center"/>
          </w:tcPr>
          <w:p>
            <w:pPr>
              <w:pStyle w:val="TableContents"/>
              <w:bidi w:val="0"/>
              <w:spacing w:before="0" w:after="283"/>
              <w:jc w:val="left"/>
              <w:rPr/>
            </w:pPr>
            <w:r>
              <w:rPr/>
              <w:t>​</w:t>
            </w:r>
          </w:p>
        </w:tc>
        <w:tc>
          <w:tcPr>
            <w:tcW w:w="210" w:type="dxa"/>
            <w:tcBorders/>
            <w:shd w:fill="E5E5E5" w:val="clear"/>
            <w:tcMar>
              <w:bottom w:w="0" w:type="dxa"/>
            </w:tcMar>
            <w:vAlign w:val="center"/>
          </w:tcPr>
          <w:p>
            <w:pPr>
              <w:pStyle w:val="TableContents"/>
              <w:bidi w:val="0"/>
              <w:spacing w:before="0" w:after="283"/>
              <w:jc w:val="right"/>
              <w:rPr/>
            </w:pPr>
            <w:r>
              <w:rPr/>
              <w:t>​</w:t>
            </w:r>
          </w:p>
        </w:tc>
        <w:tc>
          <w:tcPr>
            <w:tcW w:w="435" w:type="dxa"/>
            <w:tcBorders/>
            <w:shd w:fill="E5E5E5" w:val="clear"/>
            <w:tcMar>
              <w:bottom w:w="0" w:type="dxa"/>
            </w:tcMar>
            <w:vAlign w:val="center"/>
          </w:tcPr>
          <w:p>
            <w:pPr>
              <w:pStyle w:val="TableContents"/>
              <w:bidi w:val="0"/>
              <w:spacing w:before="0" w:after="283"/>
              <w:jc w:val="right"/>
              <w:rPr/>
            </w:pPr>
            <w:r>
              <w:rPr/>
              <w:t>​</w:t>
            </w:r>
          </w:p>
        </w:tc>
        <w:tc>
          <w:tcPr>
            <w:tcW w:w="21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21" w:type="dxa"/>
            <w:tcBorders>
              <w:bottom w:val="single" w:sz="2" w:space="0" w:color="D5D4D3"/>
            </w:tcBorders>
            <w:tcMar>
              <w:bottom w:w="39" w:type="dxa"/>
            </w:tcMar>
            <w:vAlign w:val="center"/>
          </w:tcPr>
          <w:p>
            <w:pPr>
              <w:pStyle w:val="TableContents"/>
              <w:bidi w:val="0"/>
              <w:spacing w:before="0" w:after="283"/>
              <w:jc w:val="right"/>
              <w:rPr/>
            </w:pPr>
            <w:r>
              <w:rPr/>
              <w:t>AICA</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58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tcMar>
              <w:bottom w:w="39" w:type="dxa"/>
            </w:tcMar>
            <w:vAlign w:val="center"/>
          </w:tcPr>
          <w:p>
            <w:pPr>
              <w:pStyle w:val="TableContents"/>
              <w:bidi w:val="0"/>
              <w:spacing w:before="0" w:after="283"/>
              <w:jc w:val="right"/>
              <w:rPr/>
            </w:pPr>
            <w:r>
              <w:rPr/>
              <w:t>​</w:t>
            </w:r>
          </w:p>
        </w:tc>
        <w:tc>
          <w:tcPr>
            <w:tcW w:w="435" w:type="dxa"/>
            <w:tcBorders>
              <w:bottom w:val="single" w:sz="2" w:space="0" w:color="D5D4D3"/>
            </w:tcBorders>
            <w:tcMar>
              <w:bottom w:w="39" w:type="dxa"/>
            </w:tcMar>
            <w:vAlign w:val="center"/>
          </w:tcPr>
          <w:p>
            <w:pPr>
              <w:pStyle w:val="TableContents"/>
              <w:bidi w:val="0"/>
              <w:spacing w:before="0" w:after="283"/>
              <w:jc w:val="right"/>
              <w:rPr/>
            </w:pPr>
            <w:r>
              <w:rPr/>
              <w:t>–</w:t>
            </w:r>
          </w:p>
        </w:tc>
        <w:tc>
          <w:tcPr>
            <w:tcW w:w="211"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54" w:type="dxa"/>
            <w:tcBorders>
              <w:bottom w:val="single" w:sz="2" w:space="0" w:color="D5D4D3"/>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21" w:type="dxa"/>
            <w:tcBorders>
              <w:bottom w:val="single" w:sz="2" w:space="0" w:color="D5D4D3"/>
            </w:tcBorders>
            <w:tcMar>
              <w:bottom w:w="39" w:type="dxa"/>
            </w:tcMar>
            <w:vAlign w:val="center"/>
          </w:tcPr>
          <w:p>
            <w:pPr>
              <w:pStyle w:val="TableContents"/>
              <w:bidi w:val="0"/>
              <w:spacing w:before="0" w:after="283"/>
              <w:jc w:val="right"/>
              <w:rPr/>
            </w:pPr>
            <w:r>
              <w:rPr/>
              <w:t>PBRS</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586" w:type="dxa"/>
            <w:tcBorders>
              <w:bottom w:val="single" w:sz="2" w:space="0" w:color="D5D4D3"/>
            </w:tcBorders>
            <w:tcMar>
              <w:bottom w:w="39" w:type="dxa"/>
            </w:tcMar>
            <w:vAlign w:val="center"/>
          </w:tcPr>
          <w:p>
            <w:pPr>
              <w:pStyle w:val="TableContents"/>
              <w:bidi w:val="0"/>
              <w:spacing w:before="0" w:after="283"/>
              <w:jc w:val="right"/>
              <w:rPr/>
            </w:pPr>
            <w:r>
              <w:rPr/>
              <w:t>02/05/2025</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tcMar>
              <w:bottom w:w="39" w:type="dxa"/>
            </w:tcMar>
            <w:vAlign w:val="center"/>
          </w:tcPr>
          <w:p>
            <w:pPr>
              <w:pStyle w:val="TableContents"/>
              <w:bidi w:val="0"/>
              <w:spacing w:before="0" w:after="283"/>
              <w:jc w:val="right"/>
              <w:rPr/>
            </w:pPr>
            <w:r>
              <w:rPr/>
              <w:t>​</w:t>
            </w:r>
          </w:p>
        </w:tc>
        <w:tc>
          <w:tcPr>
            <w:tcW w:w="435" w:type="dxa"/>
            <w:tcBorders>
              <w:bottom w:val="single" w:sz="2" w:space="0" w:color="D5D4D3"/>
            </w:tcBorders>
            <w:tcMar>
              <w:bottom w:w="39" w:type="dxa"/>
            </w:tcMar>
            <w:vAlign w:val="center"/>
          </w:tcPr>
          <w:p>
            <w:pPr>
              <w:pStyle w:val="TableContents"/>
              <w:bidi w:val="0"/>
              <w:spacing w:before="0" w:after="283"/>
              <w:jc w:val="right"/>
              <w:rPr/>
            </w:pPr>
            <w:r>
              <w:rPr/>
              <w:t>0</w:t>
            </w:r>
          </w:p>
        </w:tc>
        <w:tc>
          <w:tcPr>
            <w:tcW w:w="211"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15,150</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30,300</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1,240,937</w:t>
            </w:r>
          </w:p>
        </w:tc>
        <w:tc>
          <w:tcPr>
            <w:tcW w:w="109" w:type="dxa"/>
            <w:tcBorders>
              <w:bottom w:val="single" w:sz="2" w:space="0" w:color="D5D4D3"/>
            </w:tcBorders>
            <w:vAlign w:val="center"/>
          </w:tcPr>
          <w:p>
            <w:pPr>
              <w:pStyle w:val="TableContents"/>
              <w:bidi w:val="0"/>
              <w:spacing w:before="0" w:after="283"/>
              <w:jc w:val="left"/>
              <w:rPr/>
            </w:pPr>
            <w:r>
              <w:rPr/>
              <w:t>​</w:t>
            </w:r>
          </w:p>
        </w:tc>
        <w:tc>
          <w:tcPr>
            <w:tcW w:w="154" w:type="dxa"/>
            <w:tcBorders>
              <w:bottom w:val="single" w:sz="2" w:space="0" w:color="D5D4D3"/>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21" w:type="dxa"/>
            <w:tcBorders>
              <w:bottom w:val="single" w:sz="2" w:space="0" w:color="D5D4D3"/>
            </w:tcBorders>
            <w:tcMar>
              <w:bottom w:w="39" w:type="dxa"/>
            </w:tcMar>
            <w:vAlign w:val="center"/>
          </w:tcPr>
          <w:p>
            <w:pPr>
              <w:pStyle w:val="TableContents"/>
              <w:bidi w:val="0"/>
              <w:spacing w:before="0" w:after="283"/>
              <w:jc w:val="right"/>
              <w:rPr/>
            </w:pPr>
            <w:r>
              <w:rPr/>
              <w:t>TBRS</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586" w:type="dxa"/>
            <w:tcBorders>
              <w:bottom w:val="single" w:sz="2" w:space="0" w:color="D5D4D3"/>
            </w:tcBorders>
            <w:tcMar>
              <w:bottom w:w="39" w:type="dxa"/>
            </w:tcMar>
            <w:vAlign w:val="center"/>
          </w:tcPr>
          <w:p>
            <w:pPr>
              <w:pStyle w:val="TableContents"/>
              <w:bidi w:val="0"/>
              <w:spacing w:before="0" w:after="283"/>
              <w:jc w:val="right"/>
              <w:rPr/>
            </w:pPr>
            <w:r>
              <w:rPr/>
              <w:t>02/05/2025</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tcMar>
              <w:bottom w:w="39" w:type="dxa"/>
            </w:tcMar>
            <w:vAlign w:val="center"/>
          </w:tcPr>
          <w:p>
            <w:pPr>
              <w:pStyle w:val="TableContents"/>
              <w:bidi w:val="0"/>
              <w:spacing w:before="0" w:after="283"/>
              <w:jc w:val="right"/>
              <w:rPr/>
            </w:pPr>
            <w:r>
              <w:rPr/>
              <w:t>​</w:t>
            </w:r>
          </w:p>
        </w:tc>
        <w:tc>
          <w:tcPr>
            <w:tcW w:w="435" w:type="dxa"/>
            <w:tcBorders>
              <w:bottom w:val="single" w:sz="2" w:space="0" w:color="D5D4D3"/>
            </w:tcBorders>
            <w:tcMar>
              <w:bottom w:w="39" w:type="dxa"/>
            </w:tcMar>
            <w:vAlign w:val="center"/>
          </w:tcPr>
          <w:p>
            <w:pPr>
              <w:pStyle w:val="TableContents"/>
              <w:bidi w:val="0"/>
              <w:spacing w:before="0" w:after="283"/>
              <w:jc w:val="right"/>
              <w:rPr/>
            </w:pPr>
            <w:r>
              <w:rPr/>
              <w:t>–</w:t>
            </w:r>
          </w:p>
        </w:tc>
        <w:tc>
          <w:tcPr>
            <w:tcW w:w="211"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15,150</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1,150,037</w:t>
            </w:r>
          </w:p>
        </w:tc>
        <w:tc>
          <w:tcPr>
            <w:tcW w:w="109" w:type="dxa"/>
            <w:tcBorders>
              <w:bottom w:val="single" w:sz="2" w:space="0" w:color="D5D4D3"/>
            </w:tcBorders>
            <w:vAlign w:val="center"/>
          </w:tcPr>
          <w:p>
            <w:pPr>
              <w:pStyle w:val="TableContents"/>
              <w:bidi w:val="0"/>
              <w:spacing w:before="0" w:after="283"/>
              <w:jc w:val="left"/>
              <w:rPr/>
            </w:pPr>
            <w:r>
              <w:rPr/>
              <w:t>​</w:t>
            </w:r>
          </w:p>
        </w:tc>
        <w:tc>
          <w:tcPr>
            <w:tcW w:w="154" w:type="dxa"/>
            <w:tcBorders>
              <w:bottom w:val="single" w:sz="2" w:space="0" w:color="D5D4D3"/>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043" w:type="dxa"/>
            <w:tcBorders/>
            <w:shd w:fill="E5E5E5" w:val="clear"/>
            <w:tcMar>
              <w:bottom w:w="0" w:type="dxa"/>
            </w:tcMar>
            <w:vAlign w:val="center"/>
          </w:tcPr>
          <w:p>
            <w:pPr>
              <w:pStyle w:val="TableContents"/>
              <w:bidi w:val="0"/>
              <w:spacing w:before="0" w:after="283"/>
              <w:jc w:val="left"/>
              <w:rPr>
                <w:spacing w:val="-1"/>
              </w:rPr>
            </w:pPr>
            <w:r>
              <w:rPr>
                <w:spacing w:val="-1"/>
              </w:rPr>
              <w:t xml:space="preserve">Carlos A. Olea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21"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10" w:type="dxa"/>
            <w:tcBorders/>
            <w:shd w:fill="E5E5E5" w:val="clear"/>
            <w:tcMar>
              <w:bottom w:w="0" w:type="dxa"/>
            </w:tcMar>
            <w:vAlign w:val="center"/>
          </w:tcPr>
          <w:p>
            <w:pPr>
              <w:pStyle w:val="TableContents"/>
              <w:bidi w:val="0"/>
              <w:spacing w:before="0" w:after="283"/>
              <w:jc w:val="left"/>
              <w:rPr/>
            </w:pPr>
            <w:r>
              <w:rPr/>
              <w:t>​</w:t>
            </w:r>
          </w:p>
        </w:tc>
        <w:tc>
          <w:tcPr>
            <w:tcW w:w="210" w:type="dxa"/>
            <w:tcBorders/>
            <w:shd w:fill="E5E5E5" w:val="clear"/>
            <w:tcMar>
              <w:bottom w:w="0" w:type="dxa"/>
            </w:tcMar>
            <w:vAlign w:val="center"/>
          </w:tcPr>
          <w:p>
            <w:pPr>
              <w:pStyle w:val="TableContents"/>
              <w:bidi w:val="0"/>
              <w:spacing w:before="0" w:after="283"/>
              <w:jc w:val="right"/>
              <w:rPr/>
            </w:pPr>
            <w:r>
              <w:rPr/>
              <w:t>​</w:t>
            </w:r>
          </w:p>
        </w:tc>
        <w:tc>
          <w:tcPr>
            <w:tcW w:w="435" w:type="dxa"/>
            <w:tcBorders/>
            <w:shd w:fill="E5E5E5" w:val="clear"/>
            <w:tcMar>
              <w:bottom w:w="0" w:type="dxa"/>
            </w:tcMar>
            <w:vAlign w:val="center"/>
          </w:tcPr>
          <w:p>
            <w:pPr>
              <w:pStyle w:val="TableContents"/>
              <w:bidi w:val="0"/>
              <w:spacing w:before="0" w:after="283"/>
              <w:jc w:val="right"/>
              <w:rPr/>
            </w:pPr>
            <w:r>
              <w:rPr/>
              <w:t>​</w:t>
            </w:r>
          </w:p>
        </w:tc>
        <w:tc>
          <w:tcPr>
            <w:tcW w:w="21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21" w:type="dxa"/>
            <w:tcBorders>
              <w:bottom w:val="single" w:sz="2" w:space="0" w:color="D5D4D3"/>
            </w:tcBorders>
            <w:tcMar>
              <w:bottom w:w="39" w:type="dxa"/>
            </w:tcMar>
            <w:vAlign w:val="center"/>
          </w:tcPr>
          <w:p>
            <w:pPr>
              <w:pStyle w:val="TableContents"/>
              <w:bidi w:val="0"/>
              <w:spacing w:before="0" w:after="283"/>
              <w:jc w:val="right"/>
              <w:rPr/>
            </w:pPr>
            <w:r>
              <w:rPr/>
              <w:t>AICA</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58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660,000</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825,000</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990,000</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tcMar>
              <w:bottom w:w="39" w:type="dxa"/>
            </w:tcMar>
            <w:vAlign w:val="center"/>
          </w:tcPr>
          <w:p>
            <w:pPr>
              <w:pStyle w:val="TableContents"/>
              <w:bidi w:val="0"/>
              <w:spacing w:before="0" w:after="283"/>
              <w:jc w:val="right"/>
              <w:rPr/>
            </w:pPr>
            <w:r>
              <w:rPr/>
              <w:t>​</w:t>
            </w:r>
          </w:p>
        </w:tc>
        <w:tc>
          <w:tcPr>
            <w:tcW w:w="435" w:type="dxa"/>
            <w:tcBorders>
              <w:bottom w:val="single" w:sz="2" w:space="0" w:color="D5D4D3"/>
            </w:tcBorders>
            <w:tcMar>
              <w:bottom w:w="39" w:type="dxa"/>
            </w:tcMar>
            <w:vAlign w:val="center"/>
          </w:tcPr>
          <w:p>
            <w:pPr>
              <w:pStyle w:val="TableContents"/>
              <w:bidi w:val="0"/>
              <w:spacing w:before="0" w:after="283"/>
              <w:jc w:val="right"/>
              <w:rPr/>
            </w:pPr>
            <w:r>
              <w:rPr/>
              <w:t>–</w:t>
            </w:r>
          </w:p>
        </w:tc>
        <w:tc>
          <w:tcPr>
            <w:tcW w:w="211"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54" w:type="dxa"/>
            <w:tcBorders>
              <w:bottom w:val="single" w:sz="2" w:space="0" w:color="D5D4D3"/>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21" w:type="dxa"/>
            <w:tcBorders>
              <w:bottom w:val="single" w:sz="2" w:space="0" w:color="D5D4D3"/>
            </w:tcBorders>
            <w:tcMar>
              <w:bottom w:w="39" w:type="dxa"/>
            </w:tcMar>
            <w:vAlign w:val="center"/>
          </w:tcPr>
          <w:p>
            <w:pPr>
              <w:pStyle w:val="TableContents"/>
              <w:bidi w:val="0"/>
              <w:spacing w:before="0" w:after="283"/>
              <w:jc w:val="right"/>
              <w:rPr/>
            </w:pPr>
            <w:r>
              <w:rPr/>
              <w:t>PBRS</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586" w:type="dxa"/>
            <w:tcBorders>
              <w:bottom w:val="single" w:sz="2" w:space="0" w:color="D5D4D3"/>
            </w:tcBorders>
            <w:tcMar>
              <w:bottom w:w="39" w:type="dxa"/>
            </w:tcMar>
            <w:vAlign w:val="center"/>
          </w:tcPr>
          <w:p>
            <w:pPr>
              <w:pStyle w:val="TableContents"/>
              <w:bidi w:val="0"/>
              <w:spacing w:before="0" w:after="283"/>
              <w:jc w:val="right"/>
              <w:rPr/>
            </w:pPr>
            <w:r>
              <w:rPr/>
              <w:t>02/05/2025</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tcMar>
              <w:bottom w:w="39" w:type="dxa"/>
            </w:tcMar>
            <w:vAlign w:val="center"/>
          </w:tcPr>
          <w:p>
            <w:pPr>
              <w:pStyle w:val="TableContents"/>
              <w:bidi w:val="0"/>
              <w:spacing w:before="0" w:after="283"/>
              <w:jc w:val="right"/>
              <w:rPr/>
            </w:pPr>
            <w:r>
              <w:rPr/>
              <w:t>​</w:t>
            </w:r>
          </w:p>
        </w:tc>
        <w:tc>
          <w:tcPr>
            <w:tcW w:w="435" w:type="dxa"/>
            <w:tcBorders>
              <w:bottom w:val="single" w:sz="2" w:space="0" w:color="D5D4D3"/>
            </w:tcBorders>
            <w:tcMar>
              <w:bottom w:w="39" w:type="dxa"/>
            </w:tcMar>
            <w:vAlign w:val="center"/>
          </w:tcPr>
          <w:p>
            <w:pPr>
              <w:pStyle w:val="TableContents"/>
              <w:bidi w:val="0"/>
              <w:spacing w:before="0" w:after="283"/>
              <w:jc w:val="right"/>
              <w:rPr/>
            </w:pPr>
            <w:r>
              <w:rPr/>
              <w:t>0</w:t>
            </w:r>
          </w:p>
        </w:tc>
        <w:tc>
          <w:tcPr>
            <w:tcW w:w="211"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8,892</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17,784</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728,344</w:t>
            </w:r>
          </w:p>
        </w:tc>
        <w:tc>
          <w:tcPr>
            <w:tcW w:w="109" w:type="dxa"/>
            <w:tcBorders>
              <w:bottom w:val="single" w:sz="2" w:space="0" w:color="D5D4D3"/>
            </w:tcBorders>
            <w:vAlign w:val="center"/>
          </w:tcPr>
          <w:p>
            <w:pPr>
              <w:pStyle w:val="TableContents"/>
              <w:bidi w:val="0"/>
              <w:spacing w:before="0" w:after="283"/>
              <w:jc w:val="left"/>
              <w:rPr/>
            </w:pPr>
            <w:r>
              <w:rPr/>
              <w:t>​</w:t>
            </w:r>
          </w:p>
        </w:tc>
        <w:tc>
          <w:tcPr>
            <w:tcW w:w="154" w:type="dxa"/>
            <w:tcBorders>
              <w:bottom w:val="single" w:sz="2" w:space="0" w:color="D5D4D3"/>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21" w:type="dxa"/>
            <w:tcBorders>
              <w:bottom w:val="single" w:sz="2" w:space="0" w:color="D5D4D3"/>
            </w:tcBorders>
            <w:tcMar>
              <w:bottom w:w="39" w:type="dxa"/>
            </w:tcMar>
            <w:vAlign w:val="center"/>
          </w:tcPr>
          <w:p>
            <w:pPr>
              <w:pStyle w:val="TableContents"/>
              <w:bidi w:val="0"/>
              <w:spacing w:before="0" w:after="283"/>
              <w:jc w:val="right"/>
              <w:rPr/>
            </w:pPr>
            <w:r>
              <w:rPr/>
              <w:t>TBRS</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586" w:type="dxa"/>
            <w:tcBorders>
              <w:bottom w:val="single" w:sz="2" w:space="0" w:color="D5D4D3"/>
            </w:tcBorders>
            <w:tcMar>
              <w:bottom w:w="39" w:type="dxa"/>
            </w:tcMar>
            <w:vAlign w:val="center"/>
          </w:tcPr>
          <w:p>
            <w:pPr>
              <w:pStyle w:val="TableContents"/>
              <w:bidi w:val="0"/>
              <w:spacing w:before="0" w:after="283"/>
              <w:jc w:val="right"/>
              <w:rPr/>
            </w:pPr>
            <w:r>
              <w:rPr/>
              <w:t>02/05/2025</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tcMar>
              <w:bottom w:w="39" w:type="dxa"/>
            </w:tcMar>
            <w:vAlign w:val="center"/>
          </w:tcPr>
          <w:p>
            <w:pPr>
              <w:pStyle w:val="TableContents"/>
              <w:bidi w:val="0"/>
              <w:spacing w:before="0" w:after="283"/>
              <w:jc w:val="right"/>
              <w:rPr/>
            </w:pPr>
            <w:r>
              <w:rPr/>
              <w:t>​</w:t>
            </w:r>
          </w:p>
        </w:tc>
        <w:tc>
          <w:tcPr>
            <w:tcW w:w="435" w:type="dxa"/>
            <w:tcBorders>
              <w:bottom w:val="single" w:sz="2" w:space="0" w:color="D5D4D3"/>
            </w:tcBorders>
            <w:tcMar>
              <w:bottom w:w="39" w:type="dxa"/>
            </w:tcMar>
            <w:vAlign w:val="center"/>
          </w:tcPr>
          <w:p>
            <w:pPr>
              <w:pStyle w:val="TableContents"/>
              <w:bidi w:val="0"/>
              <w:spacing w:before="0" w:after="283"/>
              <w:jc w:val="right"/>
              <w:rPr/>
            </w:pPr>
            <w:r>
              <w:rPr/>
              <w:t>–</w:t>
            </w:r>
          </w:p>
        </w:tc>
        <w:tc>
          <w:tcPr>
            <w:tcW w:w="211"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8,892</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674,992</w:t>
            </w:r>
          </w:p>
        </w:tc>
        <w:tc>
          <w:tcPr>
            <w:tcW w:w="109" w:type="dxa"/>
            <w:tcBorders>
              <w:bottom w:val="single" w:sz="2" w:space="0" w:color="D5D4D3"/>
            </w:tcBorders>
            <w:vAlign w:val="center"/>
          </w:tcPr>
          <w:p>
            <w:pPr>
              <w:pStyle w:val="TableContents"/>
              <w:bidi w:val="0"/>
              <w:spacing w:before="0" w:after="283"/>
              <w:jc w:val="left"/>
              <w:rPr/>
            </w:pPr>
            <w:r>
              <w:rPr/>
              <w:t>​</w:t>
            </w:r>
          </w:p>
        </w:tc>
        <w:tc>
          <w:tcPr>
            <w:tcW w:w="154" w:type="dxa"/>
            <w:tcBorders>
              <w:bottom w:val="single" w:sz="2" w:space="0" w:color="D5D4D3"/>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043" w:type="dxa"/>
            <w:tcBorders/>
            <w:shd w:fill="E5E5E5" w:val="clear"/>
            <w:tcMar>
              <w:bottom w:w="0" w:type="dxa"/>
            </w:tcMar>
            <w:vAlign w:val="center"/>
          </w:tcPr>
          <w:p>
            <w:pPr>
              <w:pStyle w:val="TableContents"/>
              <w:bidi w:val="0"/>
              <w:spacing w:before="0" w:after="283"/>
              <w:jc w:val="left"/>
              <w:rPr>
                <w:spacing w:val="-1"/>
              </w:rPr>
            </w:pPr>
            <w:r>
              <w:rPr>
                <w:spacing w:val="-1"/>
              </w:rPr>
              <w:t xml:space="preserve">Joseph Valane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21"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10" w:type="dxa"/>
            <w:tcBorders/>
            <w:shd w:fill="E5E5E5" w:val="clear"/>
            <w:tcMar>
              <w:bottom w:w="0" w:type="dxa"/>
            </w:tcMar>
            <w:vAlign w:val="center"/>
          </w:tcPr>
          <w:p>
            <w:pPr>
              <w:pStyle w:val="TableContents"/>
              <w:bidi w:val="0"/>
              <w:spacing w:before="0" w:after="283"/>
              <w:jc w:val="left"/>
              <w:rPr/>
            </w:pPr>
            <w:r>
              <w:rPr/>
              <w:t>​</w:t>
            </w:r>
          </w:p>
        </w:tc>
        <w:tc>
          <w:tcPr>
            <w:tcW w:w="210" w:type="dxa"/>
            <w:tcBorders/>
            <w:shd w:fill="E5E5E5" w:val="clear"/>
            <w:tcMar>
              <w:bottom w:w="0" w:type="dxa"/>
            </w:tcMar>
            <w:vAlign w:val="center"/>
          </w:tcPr>
          <w:p>
            <w:pPr>
              <w:pStyle w:val="TableContents"/>
              <w:bidi w:val="0"/>
              <w:spacing w:before="0" w:after="283"/>
              <w:jc w:val="right"/>
              <w:rPr/>
            </w:pPr>
            <w:r>
              <w:rPr/>
              <w:t>​</w:t>
            </w:r>
          </w:p>
        </w:tc>
        <w:tc>
          <w:tcPr>
            <w:tcW w:w="435" w:type="dxa"/>
            <w:tcBorders/>
            <w:shd w:fill="E5E5E5" w:val="clear"/>
            <w:tcMar>
              <w:bottom w:w="0" w:type="dxa"/>
            </w:tcMar>
            <w:vAlign w:val="center"/>
          </w:tcPr>
          <w:p>
            <w:pPr>
              <w:pStyle w:val="TableContents"/>
              <w:bidi w:val="0"/>
              <w:spacing w:before="0" w:after="283"/>
              <w:jc w:val="right"/>
              <w:rPr/>
            </w:pPr>
            <w:r>
              <w:rPr/>
              <w:t>​</w:t>
            </w:r>
          </w:p>
        </w:tc>
        <w:tc>
          <w:tcPr>
            <w:tcW w:w="21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21" w:type="dxa"/>
            <w:tcBorders>
              <w:bottom w:val="single" w:sz="2" w:space="0" w:color="D5D4D3"/>
            </w:tcBorders>
            <w:tcMar>
              <w:bottom w:w="39" w:type="dxa"/>
            </w:tcMar>
            <w:vAlign w:val="center"/>
          </w:tcPr>
          <w:p>
            <w:pPr>
              <w:pStyle w:val="TableContents"/>
              <w:bidi w:val="0"/>
              <w:spacing w:before="0" w:after="283"/>
              <w:jc w:val="right"/>
              <w:rPr/>
            </w:pPr>
            <w:r>
              <w:rPr/>
              <w:t>AICA</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58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400,000</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500,000</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600,000</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tcMar>
              <w:bottom w:w="39" w:type="dxa"/>
            </w:tcMar>
            <w:vAlign w:val="center"/>
          </w:tcPr>
          <w:p>
            <w:pPr>
              <w:pStyle w:val="TableContents"/>
              <w:bidi w:val="0"/>
              <w:spacing w:before="0" w:after="283"/>
              <w:jc w:val="right"/>
              <w:rPr/>
            </w:pPr>
            <w:r>
              <w:rPr/>
              <w:t>​</w:t>
            </w:r>
          </w:p>
        </w:tc>
        <w:tc>
          <w:tcPr>
            <w:tcW w:w="435" w:type="dxa"/>
            <w:tcBorders>
              <w:bottom w:val="single" w:sz="2" w:space="0" w:color="D5D4D3"/>
            </w:tcBorders>
            <w:tcMar>
              <w:bottom w:w="39" w:type="dxa"/>
            </w:tcMar>
            <w:vAlign w:val="center"/>
          </w:tcPr>
          <w:p>
            <w:pPr>
              <w:pStyle w:val="TableContents"/>
              <w:bidi w:val="0"/>
              <w:spacing w:before="0" w:after="283"/>
              <w:jc w:val="right"/>
              <w:rPr/>
            </w:pPr>
            <w:r>
              <w:rPr/>
              <w:t>–</w:t>
            </w:r>
          </w:p>
        </w:tc>
        <w:tc>
          <w:tcPr>
            <w:tcW w:w="211"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54" w:type="dxa"/>
            <w:tcBorders>
              <w:bottom w:val="single" w:sz="2" w:space="0" w:color="D5D4D3"/>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21" w:type="dxa"/>
            <w:tcBorders>
              <w:bottom w:val="single" w:sz="2" w:space="0" w:color="D5D4D3"/>
            </w:tcBorders>
            <w:tcMar>
              <w:bottom w:w="39" w:type="dxa"/>
            </w:tcMar>
            <w:vAlign w:val="center"/>
          </w:tcPr>
          <w:p>
            <w:pPr>
              <w:pStyle w:val="TableContents"/>
              <w:bidi w:val="0"/>
              <w:spacing w:before="0" w:after="283"/>
              <w:jc w:val="right"/>
              <w:rPr/>
            </w:pPr>
            <w:r>
              <w:rPr/>
              <w:t>PBRS</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586" w:type="dxa"/>
            <w:tcBorders>
              <w:bottom w:val="single" w:sz="2" w:space="0" w:color="D5D4D3"/>
            </w:tcBorders>
            <w:tcMar>
              <w:bottom w:w="39" w:type="dxa"/>
            </w:tcMar>
            <w:vAlign w:val="center"/>
          </w:tcPr>
          <w:p>
            <w:pPr>
              <w:pStyle w:val="TableContents"/>
              <w:bidi w:val="0"/>
              <w:spacing w:before="0" w:after="283"/>
              <w:jc w:val="right"/>
              <w:rPr/>
            </w:pPr>
            <w:r>
              <w:rPr/>
              <w:t>02/05/2025</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tcMar>
              <w:bottom w:w="39" w:type="dxa"/>
            </w:tcMar>
            <w:vAlign w:val="center"/>
          </w:tcPr>
          <w:p>
            <w:pPr>
              <w:pStyle w:val="TableContents"/>
              <w:bidi w:val="0"/>
              <w:spacing w:before="0" w:after="283"/>
              <w:jc w:val="right"/>
              <w:rPr/>
            </w:pPr>
            <w:r>
              <w:rPr/>
              <w:t>​</w:t>
            </w:r>
          </w:p>
        </w:tc>
        <w:tc>
          <w:tcPr>
            <w:tcW w:w="435" w:type="dxa"/>
            <w:tcBorders>
              <w:bottom w:val="single" w:sz="2" w:space="0" w:color="D5D4D3"/>
            </w:tcBorders>
            <w:tcMar>
              <w:bottom w:w="39" w:type="dxa"/>
            </w:tcMar>
            <w:vAlign w:val="center"/>
          </w:tcPr>
          <w:p>
            <w:pPr>
              <w:pStyle w:val="TableContents"/>
              <w:bidi w:val="0"/>
              <w:spacing w:before="0" w:after="283"/>
              <w:jc w:val="right"/>
              <w:rPr/>
            </w:pPr>
            <w:r>
              <w:rPr/>
              <w:t>0</w:t>
            </w:r>
          </w:p>
        </w:tc>
        <w:tc>
          <w:tcPr>
            <w:tcW w:w="211"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4,940</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9,880</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404,635</w:t>
            </w:r>
          </w:p>
        </w:tc>
        <w:tc>
          <w:tcPr>
            <w:tcW w:w="109" w:type="dxa"/>
            <w:tcBorders>
              <w:bottom w:val="single" w:sz="2" w:space="0" w:color="D5D4D3"/>
            </w:tcBorders>
            <w:vAlign w:val="center"/>
          </w:tcPr>
          <w:p>
            <w:pPr>
              <w:pStyle w:val="TableContents"/>
              <w:bidi w:val="0"/>
              <w:spacing w:before="0" w:after="283"/>
              <w:jc w:val="left"/>
              <w:rPr/>
            </w:pPr>
            <w:r>
              <w:rPr/>
              <w:t>​</w:t>
            </w:r>
          </w:p>
        </w:tc>
        <w:tc>
          <w:tcPr>
            <w:tcW w:w="154" w:type="dxa"/>
            <w:tcBorders>
              <w:bottom w:val="single" w:sz="2" w:space="0" w:color="D5D4D3"/>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21" w:type="dxa"/>
            <w:tcBorders>
              <w:bottom w:val="single" w:sz="2" w:space="0" w:color="D5D4D3"/>
            </w:tcBorders>
            <w:tcMar>
              <w:bottom w:w="39" w:type="dxa"/>
            </w:tcMar>
            <w:vAlign w:val="center"/>
          </w:tcPr>
          <w:p>
            <w:pPr>
              <w:pStyle w:val="TableContents"/>
              <w:bidi w:val="0"/>
              <w:spacing w:before="0" w:after="283"/>
              <w:jc w:val="right"/>
              <w:rPr/>
            </w:pPr>
            <w:r>
              <w:rPr/>
              <w:t>TBRS</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586" w:type="dxa"/>
            <w:tcBorders>
              <w:bottom w:val="single" w:sz="2" w:space="0" w:color="D5D4D3"/>
            </w:tcBorders>
            <w:tcMar>
              <w:bottom w:w="39" w:type="dxa"/>
            </w:tcMar>
            <w:vAlign w:val="center"/>
          </w:tcPr>
          <w:p>
            <w:pPr>
              <w:pStyle w:val="TableContents"/>
              <w:bidi w:val="0"/>
              <w:spacing w:before="0" w:after="283"/>
              <w:jc w:val="right"/>
              <w:rPr/>
            </w:pPr>
            <w:r>
              <w:rPr/>
              <w:t>02/05/2025</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tcMar>
              <w:bottom w:w="39" w:type="dxa"/>
            </w:tcMar>
            <w:vAlign w:val="center"/>
          </w:tcPr>
          <w:p>
            <w:pPr>
              <w:pStyle w:val="TableContents"/>
              <w:bidi w:val="0"/>
              <w:spacing w:before="0" w:after="283"/>
              <w:jc w:val="right"/>
              <w:rPr/>
            </w:pPr>
            <w:r>
              <w:rPr/>
              <w:t>​</w:t>
            </w:r>
          </w:p>
        </w:tc>
        <w:tc>
          <w:tcPr>
            <w:tcW w:w="435" w:type="dxa"/>
            <w:tcBorders>
              <w:bottom w:val="single" w:sz="2" w:space="0" w:color="D5D4D3"/>
            </w:tcBorders>
            <w:tcMar>
              <w:bottom w:w="39" w:type="dxa"/>
            </w:tcMar>
            <w:vAlign w:val="center"/>
          </w:tcPr>
          <w:p>
            <w:pPr>
              <w:pStyle w:val="TableContents"/>
              <w:bidi w:val="0"/>
              <w:spacing w:before="0" w:after="283"/>
              <w:jc w:val="right"/>
              <w:rPr/>
            </w:pPr>
            <w:r>
              <w:rPr/>
              <w:t>–</w:t>
            </w:r>
          </w:p>
        </w:tc>
        <w:tc>
          <w:tcPr>
            <w:tcW w:w="211"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4,940</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374,995</w:t>
            </w:r>
          </w:p>
        </w:tc>
        <w:tc>
          <w:tcPr>
            <w:tcW w:w="109" w:type="dxa"/>
            <w:tcBorders>
              <w:bottom w:val="single" w:sz="2" w:space="0" w:color="D5D4D3"/>
            </w:tcBorders>
            <w:vAlign w:val="center"/>
          </w:tcPr>
          <w:p>
            <w:pPr>
              <w:pStyle w:val="TableContents"/>
              <w:bidi w:val="0"/>
              <w:spacing w:before="0" w:after="283"/>
              <w:jc w:val="left"/>
              <w:rPr/>
            </w:pPr>
            <w:r>
              <w:rPr/>
              <w:t>​</w:t>
            </w:r>
          </w:p>
        </w:tc>
        <w:tc>
          <w:tcPr>
            <w:tcW w:w="154" w:type="dxa"/>
            <w:tcBorders>
              <w:bottom w:val="single" w:sz="2" w:space="0" w:color="D5D4D3"/>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043" w:type="dxa"/>
            <w:tcBorders/>
            <w:shd w:fill="E5E5E5" w:val="clear"/>
            <w:tcMar>
              <w:bottom w:w="0" w:type="dxa"/>
            </w:tcMar>
            <w:vAlign w:val="center"/>
          </w:tcPr>
          <w:p>
            <w:pPr>
              <w:pStyle w:val="TableContents"/>
              <w:bidi w:val="0"/>
              <w:spacing w:before="0" w:after="283"/>
              <w:jc w:val="left"/>
              <w:rPr>
                <w:spacing w:val="-1"/>
              </w:rPr>
            </w:pPr>
            <w:r>
              <w:rPr>
                <w:spacing w:val="-1"/>
              </w:rPr>
              <w:t xml:space="preserve">Doug Johnstone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21"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10" w:type="dxa"/>
            <w:tcBorders/>
            <w:shd w:fill="E5E5E5" w:val="clear"/>
            <w:tcMar>
              <w:bottom w:w="0" w:type="dxa"/>
            </w:tcMar>
            <w:vAlign w:val="center"/>
          </w:tcPr>
          <w:p>
            <w:pPr>
              <w:pStyle w:val="TableContents"/>
              <w:bidi w:val="0"/>
              <w:spacing w:before="0" w:after="283"/>
              <w:jc w:val="left"/>
              <w:rPr/>
            </w:pPr>
            <w:r>
              <w:rPr/>
              <w:t>​</w:t>
            </w:r>
          </w:p>
        </w:tc>
        <w:tc>
          <w:tcPr>
            <w:tcW w:w="210" w:type="dxa"/>
            <w:tcBorders/>
            <w:shd w:fill="E5E5E5" w:val="clear"/>
            <w:tcMar>
              <w:bottom w:w="0" w:type="dxa"/>
            </w:tcMar>
            <w:vAlign w:val="center"/>
          </w:tcPr>
          <w:p>
            <w:pPr>
              <w:pStyle w:val="TableContents"/>
              <w:bidi w:val="0"/>
              <w:spacing w:before="0" w:after="283"/>
              <w:jc w:val="right"/>
              <w:rPr/>
            </w:pPr>
            <w:r>
              <w:rPr/>
              <w:t>​</w:t>
            </w:r>
          </w:p>
        </w:tc>
        <w:tc>
          <w:tcPr>
            <w:tcW w:w="435" w:type="dxa"/>
            <w:tcBorders/>
            <w:shd w:fill="E5E5E5" w:val="clear"/>
            <w:tcMar>
              <w:bottom w:w="0" w:type="dxa"/>
            </w:tcMar>
            <w:vAlign w:val="center"/>
          </w:tcPr>
          <w:p>
            <w:pPr>
              <w:pStyle w:val="TableContents"/>
              <w:bidi w:val="0"/>
              <w:spacing w:before="0" w:after="283"/>
              <w:jc w:val="right"/>
              <w:rPr/>
            </w:pPr>
            <w:r>
              <w:rPr/>
              <w:t>​</w:t>
            </w:r>
          </w:p>
        </w:tc>
        <w:tc>
          <w:tcPr>
            <w:tcW w:w="21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21" w:type="dxa"/>
            <w:tcBorders>
              <w:bottom w:val="single" w:sz="2" w:space="0" w:color="D5D4D3"/>
            </w:tcBorders>
            <w:tcMar>
              <w:bottom w:w="39" w:type="dxa"/>
            </w:tcMar>
            <w:vAlign w:val="center"/>
          </w:tcPr>
          <w:p>
            <w:pPr>
              <w:pStyle w:val="TableContents"/>
              <w:bidi w:val="0"/>
              <w:spacing w:before="0" w:after="283"/>
              <w:jc w:val="right"/>
              <w:rPr/>
            </w:pPr>
            <w:r>
              <w:rPr/>
              <w:t>AICA</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58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575,000</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tcMar>
              <w:bottom w:w="39" w:type="dxa"/>
            </w:tcMar>
            <w:vAlign w:val="center"/>
          </w:tcPr>
          <w:p>
            <w:pPr>
              <w:pStyle w:val="TableContents"/>
              <w:bidi w:val="0"/>
              <w:spacing w:before="0" w:after="283"/>
              <w:jc w:val="right"/>
              <w:rPr/>
            </w:pPr>
            <w:r>
              <w:rPr/>
              <w:t>​</w:t>
            </w:r>
          </w:p>
        </w:tc>
        <w:tc>
          <w:tcPr>
            <w:tcW w:w="435" w:type="dxa"/>
            <w:tcBorders>
              <w:bottom w:val="single" w:sz="2" w:space="0" w:color="D5D4D3"/>
            </w:tcBorders>
            <w:tcMar>
              <w:bottom w:w="39" w:type="dxa"/>
            </w:tcMar>
            <w:vAlign w:val="center"/>
          </w:tcPr>
          <w:p>
            <w:pPr>
              <w:pStyle w:val="TableContents"/>
              <w:bidi w:val="0"/>
              <w:spacing w:before="0" w:after="283"/>
              <w:jc w:val="right"/>
              <w:rPr/>
            </w:pPr>
            <w:r>
              <w:rPr/>
              <w:t>–</w:t>
            </w:r>
          </w:p>
        </w:tc>
        <w:tc>
          <w:tcPr>
            <w:tcW w:w="211"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54" w:type="dxa"/>
            <w:tcBorders>
              <w:bottom w:val="single" w:sz="2" w:space="0" w:color="D5D4D3"/>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21" w:type="dxa"/>
            <w:tcBorders>
              <w:bottom w:val="single" w:sz="2" w:space="0" w:color="D5D4D3"/>
            </w:tcBorders>
            <w:tcMar>
              <w:bottom w:w="39" w:type="dxa"/>
            </w:tcMar>
            <w:vAlign w:val="center"/>
          </w:tcPr>
          <w:p>
            <w:pPr>
              <w:pStyle w:val="TableContents"/>
              <w:bidi w:val="0"/>
              <w:spacing w:before="0" w:after="283"/>
              <w:jc w:val="right"/>
              <w:rPr/>
            </w:pPr>
            <w:r>
              <w:rPr/>
              <w:t>PBRS</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586" w:type="dxa"/>
            <w:tcBorders>
              <w:bottom w:val="single" w:sz="2" w:space="0" w:color="D5D4D3"/>
            </w:tcBorders>
            <w:tcMar>
              <w:bottom w:w="39" w:type="dxa"/>
            </w:tcMar>
            <w:vAlign w:val="center"/>
          </w:tcPr>
          <w:p>
            <w:pPr>
              <w:pStyle w:val="TableContents"/>
              <w:bidi w:val="0"/>
              <w:spacing w:before="0" w:after="283"/>
              <w:jc w:val="right"/>
              <w:rPr/>
            </w:pPr>
            <w:r>
              <w:rPr/>
              <w:t>02/05/2025</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tcMar>
              <w:bottom w:w="39" w:type="dxa"/>
            </w:tcMar>
            <w:vAlign w:val="center"/>
          </w:tcPr>
          <w:p>
            <w:pPr>
              <w:pStyle w:val="TableContents"/>
              <w:bidi w:val="0"/>
              <w:spacing w:before="0" w:after="283"/>
              <w:jc w:val="right"/>
              <w:rPr/>
            </w:pPr>
            <w:r>
              <w:rPr/>
              <w:t>​</w:t>
            </w:r>
          </w:p>
        </w:tc>
        <w:tc>
          <w:tcPr>
            <w:tcW w:w="435" w:type="dxa"/>
            <w:tcBorders>
              <w:bottom w:val="single" w:sz="2" w:space="0" w:color="D5D4D3"/>
            </w:tcBorders>
            <w:tcMar>
              <w:bottom w:w="39" w:type="dxa"/>
            </w:tcMar>
            <w:vAlign w:val="center"/>
          </w:tcPr>
          <w:p>
            <w:pPr>
              <w:pStyle w:val="TableContents"/>
              <w:bidi w:val="0"/>
              <w:spacing w:before="0" w:after="283"/>
              <w:jc w:val="right"/>
              <w:rPr/>
            </w:pPr>
            <w:r>
              <w:rPr/>
              <w:t>0</w:t>
            </w:r>
          </w:p>
        </w:tc>
        <w:tc>
          <w:tcPr>
            <w:tcW w:w="211"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3,952</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7,904</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323,708</w:t>
            </w:r>
          </w:p>
        </w:tc>
        <w:tc>
          <w:tcPr>
            <w:tcW w:w="109" w:type="dxa"/>
            <w:tcBorders>
              <w:bottom w:val="single" w:sz="2" w:space="0" w:color="D5D4D3"/>
            </w:tcBorders>
            <w:vAlign w:val="center"/>
          </w:tcPr>
          <w:p>
            <w:pPr>
              <w:pStyle w:val="TableContents"/>
              <w:bidi w:val="0"/>
              <w:spacing w:before="0" w:after="283"/>
              <w:jc w:val="left"/>
              <w:rPr/>
            </w:pPr>
            <w:r>
              <w:rPr/>
              <w:t>​</w:t>
            </w:r>
          </w:p>
        </w:tc>
        <w:tc>
          <w:tcPr>
            <w:tcW w:w="154" w:type="dxa"/>
            <w:tcBorders>
              <w:bottom w:val="single" w:sz="2" w:space="0" w:color="D5D4D3"/>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21" w:type="dxa"/>
            <w:tcBorders>
              <w:bottom w:val="single" w:sz="2" w:space="0" w:color="D5D4D3"/>
            </w:tcBorders>
            <w:tcMar>
              <w:bottom w:w="39" w:type="dxa"/>
            </w:tcMar>
            <w:vAlign w:val="center"/>
          </w:tcPr>
          <w:p>
            <w:pPr>
              <w:pStyle w:val="TableContents"/>
              <w:bidi w:val="0"/>
              <w:spacing w:before="0" w:after="283"/>
              <w:jc w:val="right"/>
              <w:rPr/>
            </w:pPr>
            <w:r>
              <w:rPr/>
              <w:t>TBRS</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586" w:type="dxa"/>
            <w:tcBorders>
              <w:bottom w:val="single" w:sz="2" w:space="0" w:color="D5D4D3"/>
            </w:tcBorders>
            <w:tcMar>
              <w:bottom w:w="39" w:type="dxa"/>
            </w:tcMar>
            <w:vAlign w:val="center"/>
          </w:tcPr>
          <w:p>
            <w:pPr>
              <w:pStyle w:val="TableContents"/>
              <w:bidi w:val="0"/>
              <w:spacing w:before="0" w:after="283"/>
              <w:jc w:val="right"/>
              <w:rPr/>
            </w:pPr>
            <w:r>
              <w:rPr/>
              <w:t>02/05/2025</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tcMar>
              <w:bottom w:w="39" w:type="dxa"/>
            </w:tcMar>
            <w:vAlign w:val="center"/>
          </w:tcPr>
          <w:p>
            <w:pPr>
              <w:pStyle w:val="TableContents"/>
              <w:bidi w:val="0"/>
              <w:spacing w:before="0" w:after="283"/>
              <w:jc w:val="right"/>
              <w:rPr/>
            </w:pPr>
            <w:r>
              <w:rPr/>
              <w:t>​</w:t>
            </w:r>
          </w:p>
        </w:tc>
        <w:tc>
          <w:tcPr>
            <w:tcW w:w="435" w:type="dxa"/>
            <w:tcBorders>
              <w:bottom w:val="single" w:sz="2" w:space="0" w:color="D5D4D3"/>
            </w:tcBorders>
            <w:tcMar>
              <w:bottom w:w="39" w:type="dxa"/>
            </w:tcMar>
            <w:vAlign w:val="center"/>
          </w:tcPr>
          <w:p>
            <w:pPr>
              <w:pStyle w:val="TableContents"/>
              <w:bidi w:val="0"/>
              <w:spacing w:before="0" w:after="283"/>
              <w:jc w:val="right"/>
              <w:rPr/>
            </w:pPr>
            <w:r>
              <w:rPr/>
              <w:t>–</w:t>
            </w:r>
          </w:p>
        </w:tc>
        <w:tc>
          <w:tcPr>
            <w:tcW w:w="211"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3,952</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299,996</w:t>
            </w:r>
          </w:p>
        </w:tc>
        <w:tc>
          <w:tcPr>
            <w:tcW w:w="109" w:type="dxa"/>
            <w:tcBorders>
              <w:bottom w:val="single" w:sz="2" w:space="0" w:color="D5D4D3"/>
            </w:tcBorders>
            <w:vAlign w:val="center"/>
          </w:tcPr>
          <w:p>
            <w:pPr>
              <w:pStyle w:val="TableContents"/>
              <w:bidi w:val="0"/>
              <w:spacing w:before="0" w:after="283"/>
              <w:jc w:val="left"/>
              <w:rPr/>
            </w:pPr>
            <w:r>
              <w:rPr/>
              <w:t>​</w:t>
            </w:r>
          </w:p>
        </w:tc>
        <w:tc>
          <w:tcPr>
            <w:tcW w:w="154" w:type="dxa"/>
            <w:tcBorders>
              <w:bottom w:val="single" w:sz="2" w:space="0" w:color="D5D4D3"/>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043" w:type="dxa"/>
            <w:tcBorders/>
            <w:shd w:fill="E5E5E5" w:val="clear"/>
            <w:tcMar>
              <w:bottom w:w="0" w:type="dxa"/>
            </w:tcMar>
            <w:vAlign w:val="center"/>
          </w:tcPr>
          <w:p>
            <w:pPr>
              <w:pStyle w:val="TableContents"/>
              <w:bidi w:val="0"/>
              <w:spacing w:before="0" w:after="283"/>
              <w:jc w:val="left"/>
              <w:rPr>
                <w:spacing w:val="-1"/>
              </w:rPr>
            </w:pPr>
            <w:r>
              <w:rPr>
                <w:spacing w:val="-1"/>
              </w:rPr>
              <w:t xml:space="preserve">Drew Davis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21"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10" w:type="dxa"/>
            <w:tcBorders/>
            <w:shd w:fill="E5E5E5" w:val="clear"/>
            <w:tcMar>
              <w:bottom w:w="0" w:type="dxa"/>
            </w:tcMar>
            <w:vAlign w:val="center"/>
          </w:tcPr>
          <w:p>
            <w:pPr>
              <w:pStyle w:val="TableContents"/>
              <w:bidi w:val="0"/>
              <w:spacing w:before="0" w:after="283"/>
              <w:jc w:val="left"/>
              <w:rPr/>
            </w:pPr>
            <w:r>
              <w:rPr/>
              <w:t>​</w:t>
            </w:r>
          </w:p>
        </w:tc>
        <w:tc>
          <w:tcPr>
            <w:tcW w:w="210" w:type="dxa"/>
            <w:tcBorders/>
            <w:shd w:fill="E5E5E5" w:val="clear"/>
            <w:tcMar>
              <w:bottom w:w="0" w:type="dxa"/>
            </w:tcMar>
            <w:vAlign w:val="center"/>
          </w:tcPr>
          <w:p>
            <w:pPr>
              <w:pStyle w:val="TableContents"/>
              <w:bidi w:val="0"/>
              <w:spacing w:before="0" w:after="283"/>
              <w:jc w:val="right"/>
              <w:rPr/>
            </w:pPr>
            <w:r>
              <w:rPr/>
              <w:t>​</w:t>
            </w:r>
          </w:p>
        </w:tc>
        <w:tc>
          <w:tcPr>
            <w:tcW w:w="435" w:type="dxa"/>
            <w:tcBorders/>
            <w:shd w:fill="E5E5E5" w:val="clear"/>
            <w:tcMar>
              <w:bottom w:w="0" w:type="dxa"/>
            </w:tcMar>
            <w:vAlign w:val="center"/>
          </w:tcPr>
          <w:p>
            <w:pPr>
              <w:pStyle w:val="TableContents"/>
              <w:bidi w:val="0"/>
              <w:spacing w:before="0" w:after="283"/>
              <w:jc w:val="right"/>
              <w:rPr/>
            </w:pPr>
            <w:r>
              <w:rPr/>
              <w:t>​</w:t>
            </w:r>
          </w:p>
        </w:tc>
        <w:tc>
          <w:tcPr>
            <w:tcW w:w="21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21" w:type="dxa"/>
            <w:tcBorders>
              <w:bottom w:val="single" w:sz="2" w:space="0" w:color="D5D4D3"/>
            </w:tcBorders>
            <w:tcMar>
              <w:bottom w:w="39" w:type="dxa"/>
            </w:tcMar>
            <w:vAlign w:val="center"/>
          </w:tcPr>
          <w:p>
            <w:pPr>
              <w:pStyle w:val="TableContents"/>
              <w:bidi w:val="0"/>
              <w:spacing w:before="0" w:after="283"/>
              <w:jc w:val="right"/>
              <w:rPr/>
            </w:pPr>
            <w:r>
              <w:rPr/>
              <w:t>AICA</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58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625,000</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tcMar>
              <w:bottom w:w="39" w:type="dxa"/>
            </w:tcMar>
            <w:vAlign w:val="center"/>
          </w:tcPr>
          <w:p>
            <w:pPr>
              <w:pStyle w:val="TableContents"/>
              <w:bidi w:val="0"/>
              <w:spacing w:before="0" w:after="283"/>
              <w:jc w:val="right"/>
              <w:rPr/>
            </w:pPr>
            <w:r>
              <w:rPr/>
              <w:t>​</w:t>
            </w:r>
          </w:p>
        </w:tc>
        <w:tc>
          <w:tcPr>
            <w:tcW w:w="435" w:type="dxa"/>
            <w:tcBorders>
              <w:bottom w:val="single" w:sz="2" w:space="0" w:color="D5D4D3"/>
            </w:tcBorders>
            <w:tcMar>
              <w:bottom w:w="39" w:type="dxa"/>
            </w:tcMar>
            <w:vAlign w:val="center"/>
          </w:tcPr>
          <w:p>
            <w:pPr>
              <w:pStyle w:val="TableContents"/>
              <w:bidi w:val="0"/>
              <w:spacing w:before="0" w:after="283"/>
              <w:jc w:val="right"/>
              <w:rPr/>
            </w:pPr>
            <w:r>
              <w:rPr/>
              <w:t>–</w:t>
            </w:r>
          </w:p>
        </w:tc>
        <w:tc>
          <w:tcPr>
            <w:tcW w:w="211"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54" w:type="dxa"/>
            <w:tcBorders>
              <w:bottom w:val="single" w:sz="2" w:space="0" w:color="D5D4D3"/>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21" w:type="dxa"/>
            <w:tcBorders>
              <w:bottom w:val="single" w:sz="2" w:space="0" w:color="D5D4D3"/>
            </w:tcBorders>
            <w:tcMar>
              <w:bottom w:w="39" w:type="dxa"/>
            </w:tcMar>
            <w:vAlign w:val="center"/>
          </w:tcPr>
          <w:p>
            <w:pPr>
              <w:pStyle w:val="TableContents"/>
              <w:bidi w:val="0"/>
              <w:spacing w:before="0" w:after="283"/>
              <w:jc w:val="right"/>
              <w:rPr/>
            </w:pPr>
            <w:r>
              <w:rPr/>
              <w:t>PBRS</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586" w:type="dxa"/>
            <w:tcBorders>
              <w:bottom w:val="single" w:sz="2" w:space="0" w:color="D5D4D3"/>
            </w:tcBorders>
            <w:tcMar>
              <w:bottom w:w="39" w:type="dxa"/>
            </w:tcMar>
            <w:vAlign w:val="center"/>
          </w:tcPr>
          <w:p>
            <w:pPr>
              <w:pStyle w:val="TableContents"/>
              <w:bidi w:val="0"/>
              <w:spacing w:before="0" w:after="283"/>
              <w:jc w:val="right"/>
              <w:rPr/>
            </w:pPr>
            <w:r>
              <w:rPr/>
              <w:t>02/05/2025</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vAlign w:val="center"/>
          </w:tcPr>
          <w:p>
            <w:pPr>
              <w:pStyle w:val="TableContents"/>
              <w:bidi w:val="0"/>
              <w:spacing w:before="0" w:after="283"/>
              <w:jc w:val="left"/>
              <w:rPr/>
            </w:pPr>
            <w:r>
              <w:rPr/>
              <w:t>​</w:t>
            </w:r>
          </w:p>
        </w:tc>
        <w:tc>
          <w:tcPr>
            <w:tcW w:w="210" w:type="dxa"/>
            <w:tcBorders>
              <w:bottom w:val="single" w:sz="2" w:space="0" w:color="D5D4D3"/>
            </w:tcBorders>
            <w:tcMar>
              <w:bottom w:w="39" w:type="dxa"/>
            </w:tcMar>
            <w:vAlign w:val="center"/>
          </w:tcPr>
          <w:p>
            <w:pPr>
              <w:pStyle w:val="TableContents"/>
              <w:bidi w:val="0"/>
              <w:spacing w:before="0" w:after="283"/>
              <w:jc w:val="right"/>
              <w:rPr/>
            </w:pPr>
            <w:r>
              <w:rPr/>
              <w:t>​</w:t>
            </w:r>
          </w:p>
        </w:tc>
        <w:tc>
          <w:tcPr>
            <w:tcW w:w="435" w:type="dxa"/>
            <w:tcBorders>
              <w:bottom w:val="single" w:sz="2" w:space="0" w:color="D5D4D3"/>
            </w:tcBorders>
            <w:tcMar>
              <w:bottom w:w="39" w:type="dxa"/>
            </w:tcMar>
            <w:vAlign w:val="center"/>
          </w:tcPr>
          <w:p>
            <w:pPr>
              <w:pStyle w:val="TableContents"/>
              <w:bidi w:val="0"/>
              <w:spacing w:before="0" w:after="283"/>
              <w:jc w:val="right"/>
              <w:rPr/>
            </w:pPr>
            <w:r>
              <w:rPr/>
              <w:t>0</w:t>
            </w:r>
          </w:p>
        </w:tc>
        <w:tc>
          <w:tcPr>
            <w:tcW w:w="211"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4,940</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9,880</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766" w:type="dxa"/>
            <w:tcBorders>
              <w:bottom w:val="single" w:sz="2" w:space="0" w:color="D5D4D3"/>
            </w:tcBorders>
            <w:tcMar>
              <w:bottom w:w="39" w:type="dxa"/>
            </w:tcMar>
            <w:vAlign w:val="center"/>
          </w:tcPr>
          <w:p>
            <w:pPr>
              <w:pStyle w:val="TableContents"/>
              <w:bidi w:val="0"/>
              <w:spacing w:before="0" w:after="283"/>
              <w:jc w:val="righ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vAlign w:val="center"/>
          </w:tcPr>
          <w:p>
            <w:pPr>
              <w:pStyle w:val="TableContents"/>
              <w:bidi w:val="0"/>
              <w:spacing w:before="0" w:after="283"/>
              <w:jc w:val="left"/>
              <w:rPr/>
            </w:pPr>
            <w:r>
              <w:rPr/>
              <w:t>​</w:t>
            </w:r>
          </w:p>
        </w:tc>
        <w:tc>
          <w:tcPr>
            <w:tcW w:w="109" w:type="dxa"/>
            <w:tcBorders>
              <w:bottom w:val="single" w:sz="2" w:space="0" w:color="D5D4D3"/>
            </w:tcBorders>
            <w:tcMar>
              <w:bottom w:w="39" w:type="dxa"/>
            </w:tcMar>
            <w:vAlign w:val="center"/>
          </w:tcPr>
          <w:p>
            <w:pPr>
              <w:pStyle w:val="TableContents"/>
              <w:bidi w:val="0"/>
              <w:spacing w:before="0" w:after="283"/>
              <w:jc w:val="right"/>
              <w:rPr/>
            </w:pPr>
            <w:r>
              <w:rPr/>
              <w:t>​</w:t>
            </w:r>
          </w:p>
        </w:tc>
        <w:tc>
          <w:tcPr>
            <w:tcW w:w="1066" w:type="dxa"/>
            <w:tcBorders>
              <w:bottom w:val="single" w:sz="2" w:space="0" w:color="D5D4D3"/>
            </w:tcBorders>
            <w:tcMar>
              <w:bottom w:w="39" w:type="dxa"/>
            </w:tcMar>
            <w:vAlign w:val="center"/>
          </w:tcPr>
          <w:p>
            <w:pPr>
              <w:pStyle w:val="TableContents"/>
              <w:bidi w:val="0"/>
              <w:spacing w:before="0" w:after="283"/>
              <w:jc w:val="right"/>
              <w:rPr/>
            </w:pPr>
            <w:r>
              <w:rPr/>
              <w:t>404,635</w:t>
            </w:r>
          </w:p>
        </w:tc>
        <w:tc>
          <w:tcPr>
            <w:tcW w:w="109" w:type="dxa"/>
            <w:tcBorders>
              <w:bottom w:val="single" w:sz="2" w:space="0" w:color="D5D4D3"/>
            </w:tcBorders>
            <w:vAlign w:val="center"/>
          </w:tcPr>
          <w:p>
            <w:pPr>
              <w:pStyle w:val="TableContents"/>
              <w:bidi w:val="0"/>
              <w:spacing w:before="0" w:after="283"/>
              <w:jc w:val="left"/>
              <w:rPr/>
            </w:pPr>
            <w:r>
              <w:rPr/>
              <w:t>​</w:t>
            </w:r>
          </w:p>
        </w:tc>
        <w:tc>
          <w:tcPr>
            <w:tcW w:w="154" w:type="dxa"/>
            <w:tcBorders>
              <w:bottom w:val="single" w:sz="2" w:space="0" w:color="D5D4D3"/>
            </w:tcBorders>
            <w:vAlign w:val="center"/>
          </w:tcPr>
          <w:p>
            <w:pPr>
              <w:pStyle w:val="TableContents"/>
              <w:bidi w:val="0"/>
              <w:spacing w:before="0" w:after="283"/>
              <w:jc w:val="left"/>
              <w:rPr/>
            </w:pPr>
            <w:r>
              <w:rPr/>
              <w:t>​</w:t>
            </w:r>
          </w:p>
        </w:tc>
      </w:tr>
      <w:tr>
        <w:trPr/>
        <w:tc>
          <w:tcPr>
            <w:tcW w:w="124" w:type="dxa"/>
            <w:tcBorders>
              <w:bottom w:val="single" w:sz="8" w:space="0" w:color="7F7F7F"/>
            </w:tcBorders>
            <w:vAlign w:val="center"/>
          </w:tcPr>
          <w:p>
            <w:pPr>
              <w:pStyle w:val="TableContents"/>
              <w:bidi w:val="0"/>
              <w:spacing w:before="0" w:after="283"/>
              <w:jc w:val="left"/>
              <w:rPr/>
            </w:pPr>
            <w:r>
              <w:rPr/>
              <w:t>​</w:t>
            </w:r>
          </w:p>
        </w:tc>
        <w:tc>
          <w:tcPr>
            <w:tcW w:w="1043" w:type="dxa"/>
            <w:tcBorders>
              <w:bottom w:val="single" w:sz="8" w:space="0" w:color="7F7F7F"/>
            </w:tcBorders>
            <w:tcMar>
              <w:bottom w:w="60" w:type="dxa"/>
            </w:tcMar>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tcMar>
              <w:bottom w:w="60" w:type="dxa"/>
            </w:tcMar>
            <w:vAlign w:val="center"/>
          </w:tcPr>
          <w:p>
            <w:pPr>
              <w:pStyle w:val="TableContents"/>
              <w:bidi w:val="0"/>
              <w:spacing w:before="0" w:after="283"/>
              <w:jc w:val="right"/>
              <w:rPr/>
            </w:pPr>
            <w:r>
              <w:rPr/>
              <w:t>​</w:t>
            </w:r>
          </w:p>
        </w:tc>
        <w:tc>
          <w:tcPr>
            <w:tcW w:w="721" w:type="dxa"/>
            <w:tcBorders>
              <w:bottom w:val="single" w:sz="8" w:space="0" w:color="7F7F7F"/>
            </w:tcBorders>
            <w:tcMar>
              <w:bottom w:w="60" w:type="dxa"/>
            </w:tcMar>
            <w:vAlign w:val="center"/>
          </w:tcPr>
          <w:p>
            <w:pPr>
              <w:pStyle w:val="TableContents"/>
              <w:bidi w:val="0"/>
              <w:spacing w:before="0" w:after="283"/>
              <w:jc w:val="right"/>
              <w:rPr/>
            </w:pPr>
            <w:r>
              <w:rPr/>
              <w:t>TBRS</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tcMar>
              <w:bottom w:w="60" w:type="dxa"/>
            </w:tcMar>
            <w:vAlign w:val="center"/>
          </w:tcPr>
          <w:p>
            <w:pPr>
              <w:pStyle w:val="TableContents"/>
              <w:bidi w:val="0"/>
              <w:spacing w:before="0" w:after="283"/>
              <w:jc w:val="right"/>
              <w:rPr/>
            </w:pPr>
            <w:r>
              <w:rPr/>
              <w:t>​</w:t>
            </w:r>
          </w:p>
        </w:tc>
        <w:tc>
          <w:tcPr>
            <w:tcW w:w="586" w:type="dxa"/>
            <w:tcBorders>
              <w:bottom w:val="single" w:sz="8" w:space="0" w:color="7F7F7F"/>
            </w:tcBorders>
            <w:tcMar>
              <w:bottom w:w="60" w:type="dxa"/>
            </w:tcMar>
            <w:vAlign w:val="center"/>
          </w:tcPr>
          <w:p>
            <w:pPr>
              <w:pStyle w:val="TableContents"/>
              <w:bidi w:val="0"/>
              <w:spacing w:before="0" w:after="283"/>
              <w:jc w:val="right"/>
              <w:rPr/>
            </w:pPr>
            <w:r>
              <w:rPr/>
              <w:t>02/05/2025</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tcMar>
              <w:bottom w:w="60" w:type="dxa"/>
            </w:tcMar>
            <w:vAlign w:val="center"/>
          </w:tcPr>
          <w:p>
            <w:pPr>
              <w:pStyle w:val="TableContents"/>
              <w:bidi w:val="0"/>
              <w:spacing w:before="0" w:after="283"/>
              <w:jc w:val="right"/>
              <w:rPr/>
            </w:pPr>
            <w:r>
              <w:rPr/>
              <w:t>​</w:t>
            </w:r>
          </w:p>
        </w:tc>
        <w:tc>
          <w:tcPr>
            <w:tcW w:w="1066" w:type="dxa"/>
            <w:tcBorders>
              <w:bottom w:val="single" w:sz="8" w:space="0" w:color="7F7F7F"/>
            </w:tcBorders>
            <w:tcMar>
              <w:bottom w:w="60" w:type="dxa"/>
            </w:tcMar>
            <w:vAlign w:val="center"/>
          </w:tcPr>
          <w:p>
            <w:pPr>
              <w:pStyle w:val="TableContents"/>
              <w:bidi w:val="0"/>
              <w:spacing w:before="0" w:after="283"/>
              <w:jc w:val="righ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tcMar>
              <w:bottom w:w="60" w:type="dxa"/>
            </w:tcMar>
            <w:vAlign w:val="center"/>
          </w:tcPr>
          <w:p>
            <w:pPr>
              <w:pStyle w:val="TableContents"/>
              <w:bidi w:val="0"/>
              <w:spacing w:before="0" w:after="283"/>
              <w:jc w:val="right"/>
              <w:rPr/>
            </w:pPr>
            <w:r>
              <w:rPr/>
              <w:t>​</w:t>
            </w:r>
          </w:p>
        </w:tc>
        <w:tc>
          <w:tcPr>
            <w:tcW w:w="1066" w:type="dxa"/>
            <w:tcBorders>
              <w:bottom w:val="single" w:sz="8" w:space="0" w:color="7F7F7F"/>
            </w:tcBorders>
            <w:tcMar>
              <w:bottom w:w="60" w:type="dxa"/>
            </w:tcMar>
            <w:vAlign w:val="center"/>
          </w:tcPr>
          <w:p>
            <w:pPr>
              <w:pStyle w:val="TableContents"/>
              <w:bidi w:val="0"/>
              <w:spacing w:before="0" w:after="283"/>
              <w:jc w:val="righ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tcMar>
              <w:bottom w:w="60" w:type="dxa"/>
            </w:tcMar>
            <w:vAlign w:val="center"/>
          </w:tcPr>
          <w:p>
            <w:pPr>
              <w:pStyle w:val="TableContents"/>
              <w:bidi w:val="0"/>
              <w:spacing w:before="0" w:after="283"/>
              <w:jc w:val="right"/>
              <w:rPr/>
            </w:pPr>
            <w:r>
              <w:rPr/>
              <w:t>​</w:t>
            </w:r>
          </w:p>
        </w:tc>
        <w:tc>
          <w:tcPr>
            <w:tcW w:w="1066" w:type="dxa"/>
            <w:tcBorders>
              <w:bottom w:val="single" w:sz="8" w:space="0" w:color="7F7F7F"/>
            </w:tcBorders>
            <w:tcMar>
              <w:bottom w:w="60" w:type="dxa"/>
            </w:tcMar>
            <w:vAlign w:val="center"/>
          </w:tcPr>
          <w:p>
            <w:pPr>
              <w:pStyle w:val="TableContents"/>
              <w:bidi w:val="0"/>
              <w:spacing w:before="0" w:after="283"/>
              <w:jc w:val="righ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210" w:type="dxa"/>
            <w:tcBorders>
              <w:bottom w:val="single" w:sz="8" w:space="0" w:color="7F7F7F"/>
            </w:tcBorders>
            <w:vAlign w:val="center"/>
          </w:tcPr>
          <w:p>
            <w:pPr>
              <w:pStyle w:val="TableContents"/>
              <w:bidi w:val="0"/>
              <w:spacing w:before="0" w:after="283"/>
              <w:jc w:val="left"/>
              <w:rPr/>
            </w:pPr>
            <w:r>
              <w:rPr/>
              <w:t>​</w:t>
            </w:r>
          </w:p>
        </w:tc>
        <w:tc>
          <w:tcPr>
            <w:tcW w:w="210" w:type="dxa"/>
            <w:tcBorders>
              <w:bottom w:val="single" w:sz="8" w:space="0" w:color="7F7F7F"/>
            </w:tcBorders>
            <w:tcMar>
              <w:bottom w:w="60" w:type="dxa"/>
            </w:tcMar>
            <w:vAlign w:val="center"/>
          </w:tcPr>
          <w:p>
            <w:pPr>
              <w:pStyle w:val="TableContents"/>
              <w:bidi w:val="0"/>
              <w:spacing w:before="0" w:after="283"/>
              <w:jc w:val="right"/>
              <w:rPr/>
            </w:pPr>
            <w:r>
              <w:rPr/>
              <w:t>​</w:t>
            </w:r>
          </w:p>
        </w:tc>
        <w:tc>
          <w:tcPr>
            <w:tcW w:w="435" w:type="dxa"/>
            <w:tcBorders>
              <w:bottom w:val="single" w:sz="8" w:space="0" w:color="7F7F7F"/>
            </w:tcBorders>
            <w:tcMar>
              <w:bottom w:w="60" w:type="dxa"/>
            </w:tcMar>
            <w:vAlign w:val="center"/>
          </w:tcPr>
          <w:p>
            <w:pPr>
              <w:pStyle w:val="TableContents"/>
              <w:bidi w:val="0"/>
              <w:spacing w:before="0" w:after="283"/>
              <w:jc w:val="right"/>
              <w:rPr/>
            </w:pPr>
            <w:r>
              <w:rPr/>
              <w:t>–</w:t>
            </w:r>
          </w:p>
        </w:tc>
        <w:tc>
          <w:tcPr>
            <w:tcW w:w="211"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tcMar>
              <w:bottom w:w="60" w:type="dxa"/>
            </w:tcMar>
            <w:vAlign w:val="center"/>
          </w:tcPr>
          <w:p>
            <w:pPr>
              <w:pStyle w:val="TableContents"/>
              <w:bidi w:val="0"/>
              <w:spacing w:before="0" w:after="283"/>
              <w:jc w:val="right"/>
              <w:rPr/>
            </w:pPr>
            <w:r>
              <w:rPr/>
              <w:t>​</w:t>
            </w:r>
          </w:p>
        </w:tc>
        <w:tc>
          <w:tcPr>
            <w:tcW w:w="766" w:type="dxa"/>
            <w:tcBorders>
              <w:bottom w:val="single" w:sz="8" w:space="0" w:color="7F7F7F"/>
            </w:tcBorders>
            <w:tcMar>
              <w:bottom w:w="60" w:type="dxa"/>
            </w:tcMar>
            <w:vAlign w:val="center"/>
          </w:tcPr>
          <w:p>
            <w:pPr>
              <w:pStyle w:val="TableContents"/>
              <w:bidi w:val="0"/>
              <w:spacing w:before="0" w:after="283"/>
              <w:jc w:val="righ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tcMar>
              <w:bottom w:w="60" w:type="dxa"/>
            </w:tcMar>
            <w:vAlign w:val="center"/>
          </w:tcPr>
          <w:p>
            <w:pPr>
              <w:pStyle w:val="TableContents"/>
              <w:bidi w:val="0"/>
              <w:spacing w:before="0" w:after="283"/>
              <w:jc w:val="right"/>
              <w:rPr/>
            </w:pPr>
            <w:r>
              <w:rPr/>
              <w:t>​</w:t>
            </w:r>
          </w:p>
        </w:tc>
        <w:tc>
          <w:tcPr>
            <w:tcW w:w="766" w:type="dxa"/>
            <w:tcBorders>
              <w:bottom w:val="single" w:sz="8" w:space="0" w:color="7F7F7F"/>
            </w:tcBorders>
            <w:tcMar>
              <w:bottom w:w="60" w:type="dxa"/>
            </w:tcMar>
            <w:vAlign w:val="center"/>
          </w:tcPr>
          <w:p>
            <w:pPr>
              <w:pStyle w:val="TableContents"/>
              <w:bidi w:val="0"/>
              <w:spacing w:before="0" w:after="283"/>
              <w:jc w:val="righ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tcMar>
              <w:bottom w:w="60" w:type="dxa"/>
            </w:tcMar>
            <w:vAlign w:val="center"/>
          </w:tcPr>
          <w:p>
            <w:pPr>
              <w:pStyle w:val="TableContents"/>
              <w:bidi w:val="0"/>
              <w:spacing w:before="0" w:after="283"/>
              <w:jc w:val="right"/>
              <w:rPr/>
            </w:pPr>
            <w:r>
              <w:rPr/>
              <w:t>​</w:t>
            </w:r>
          </w:p>
        </w:tc>
        <w:tc>
          <w:tcPr>
            <w:tcW w:w="766" w:type="dxa"/>
            <w:tcBorders>
              <w:bottom w:val="single" w:sz="8" w:space="0" w:color="7F7F7F"/>
            </w:tcBorders>
            <w:tcMar>
              <w:bottom w:w="60" w:type="dxa"/>
            </w:tcMar>
            <w:vAlign w:val="center"/>
          </w:tcPr>
          <w:p>
            <w:pPr>
              <w:pStyle w:val="TableContents"/>
              <w:bidi w:val="0"/>
              <w:spacing w:before="0" w:after="283"/>
              <w:jc w:val="right"/>
              <w:rPr/>
            </w:pPr>
            <w:r>
              <w:rPr/>
              <w:t xml:space="preserve">4,940 </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tcMar>
              <w:bottom w:w="60" w:type="dxa"/>
            </w:tcMar>
            <w:vAlign w:val="center"/>
          </w:tcPr>
          <w:p>
            <w:pPr>
              <w:pStyle w:val="TableContents"/>
              <w:bidi w:val="0"/>
              <w:spacing w:before="0" w:after="283"/>
              <w:jc w:val="right"/>
              <w:rPr/>
            </w:pPr>
            <w:r>
              <w:rPr/>
              <w:t>​</w:t>
            </w:r>
          </w:p>
        </w:tc>
        <w:tc>
          <w:tcPr>
            <w:tcW w:w="1066" w:type="dxa"/>
            <w:tcBorders>
              <w:bottom w:val="single" w:sz="8" w:space="0" w:color="7F7F7F"/>
            </w:tcBorders>
            <w:tcMar>
              <w:bottom w:w="60" w:type="dxa"/>
            </w:tcMar>
            <w:vAlign w:val="center"/>
          </w:tcPr>
          <w:p>
            <w:pPr>
              <w:pStyle w:val="TableContents"/>
              <w:bidi w:val="0"/>
              <w:spacing w:before="0" w:after="283"/>
              <w:jc w:val="right"/>
              <w:rPr/>
            </w:pPr>
            <w:r>
              <w:rPr/>
              <w:t>374,995</w:t>
            </w:r>
          </w:p>
        </w:tc>
        <w:tc>
          <w:tcPr>
            <w:tcW w:w="109" w:type="dxa"/>
            <w:tcBorders>
              <w:bottom w:val="single" w:sz="8" w:space="0" w:color="7F7F7F"/>
            </w:tcBorders>
            <w:vAlign w:val="center"/>
          </w:tcPr>
          <w:p>
            <w:pPr>
              <w:pStyle w:val="TableContents"/>
              <w:bidi w:val="0"/>
              <w:spacing w:before="0" w:after="283"/>
              <w:jc w:val="left"/>
              <w:rPr/>
            </w:pPr>
            <w:r>
              <w:rPr/>
              <w:t>​</w:t>
            </w:r>
          </w:p>
        </w:tc>
        <w:tc>
          <w:tcPr>
            <w:tcW w:w="154" w:type="dxa"/>
            <w:tcBorders>
              <w:bottom w:val="single" w:sz="8" w:space="0" w:color="7F7F7F"/>
            </w:tcBorders>
            <w:vAlign w:val="center"/>
          </w:tcPr>
          <w:p>
            <w:pPr>
              <w:pStyle w:val="TableContents"/>
              <w:bidi w:val="0"/>
              <w:spacing w:before="0" w:after="283"/>
              <w:jc w:val="left"/>
              <w:rPr/>
            </w:pPr>
            <w:r>
              <w:rPr/>
              <w:t>​</w:t>
            </w:r>
          </w:p>
        </w:tc>
      </w:tr>
    </w:tbl>
    <w:p>
      <w:pPr>
        <w:pStyle w:val="TextBody"/>
        <w:bidi w:val="0"/>
        <w:spacing w:lineRule="atLeast" w:line="220" w:before="240" w:after="283"/>
        <w:ind w:left="1301"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Type of Award: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547">
                <wp:simplePos x="0" y="0"/>
                <wp:positionH relativeFrom="column">
                  <wp:align>left</wp:align>
                </wp:positionH>
                <wp:positionV relativeFrom="line">
                  <wp:posOffset>635</wp:posOffset>
                </wp:positionV>
                <wp:extent cx="254000" cy="279400"/>
                <wp:effectExtent l="0" t="0" r="0" b="0"/>
                <wp:wrapSquare wrapText="right"/>
                <wp:docPr id="560" name="Frame431"/>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1"/>
                          <w:sz w:val="18"/>
                        </w:rPr>
                        <w:t>(1)</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2501"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Annual Incentive Compensation (Cash) Award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254000" distR="0" simplePos="0" locked="0" layoutInCell="1" allowOverlap="1" relativeHeight="548">
                <wp:simplePos x="0" y="0"/>
                <wp:positionH relativeFrom="column">
                  <wp:align>left</wp:align>
                </wp:positionH>
                <wp:positionV relativeFrom="line">
                  <wp:align>top</wp:align>
                </wp:positionV>
                <wp:extent cx="762000" cy="279400"/>
                <wp:effectExtent l="0" t="0" r="0" b="0"/>
                <wp:wrapSquare wrapText="right"/>
                <wp:docPr id="561" name="Frame432"/>
                <a:graphic xmlns:a="http://schemas.openxmlformats.org/drawingml/2006/main">
                  <a:graphicData uri="http://schemas.microsoft.com/office/word/2010/wordprocessingShape">
                    <wps:wsp>
                      <wps:cNvSpPr txBox="1"/>
                      <wps:spPr>
                        <a:xfrm>
                          <a:off x="0" y="0"/>
                          <a:ext cx="762000" cy="279400"/>
                        </a:xfrm>
                        <a:prstGeom prst="rect"/>
                        <a:solidFill>
                          <a:srgbClr val="FFFFFF"/>
                        </a:solidFill>
                      </wps:spPr>
                      <wps:txbx>
                        <w:txbxContent>
                          <w:p>
                            <w:pPr>
                              <w:pStyle w:val="TextBody"/>
                              <w:bidi w:val="0"/>
                              <w:spacing w:lineRule="atLeast" w:line="220" w:before="0" w:after="283"/>
                              <w:jc w:val="left"/>
                              <w:rPr>
                                <w:sz w:val="18"/>
                              </w:rPr>
                            </w:pPr>
                            <w:r>
                              <w:rPr>
                                <w:spacing w:val="-1"/>
                                <w:sz w:val="18"/>
                              </w:rPr>
                              <w:t>AICA</w:t>
                            </w:r>
                            <w:r>
                              <w:rPr>
                                <w:sz w:val="18"/>
                              </w:rPr>
                              <w:t xml:space="preserve"> </w:t>
                              <w:br/>
                            </w:r>
                          </w:p>
                        </w:txbxContent>
                      </wps:txbx>
                      <wps:bodyPr anchor="t" lIns="0" tIns="0" rIns="0" bIns="0">
                        <a:noAutofit/>
                      </wps:bodyPr>
                    </wps:wsp>
                  </a:graphicData>
                </a:graphic>
              </wp:anchor>
            </w:drawing>
          </mc:Choice>
          <mc:Fallback>
            <w:pict>
              <v:rect style="position:absolute;rotation:-0;width:60pt;height:22pt;mso-wrap-distance-left:20pt;mso-wrap-distance-right:0pt;mso-wrap-distance-top:3pt;mso-wrap-distance-bottom:0pt;margin-top:3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1"/>
                          <w:sz w:val="18"/>
                        </w:rPr>
                        <w:t>AICA</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2501"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Performance-Based Restricted Stock Award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254000" distR="0" simplePos="0" locked="0" layoutInCell="1" allowOverlap="1" relativeHeight="549">
                <wp:simplePos x="0" y="0"/>
                <wp:positionH relativeFrom="column">
                  <wp:align>left</wp:align>
                </wp:positionH>
                <wp:positionV relativeFrom="line">
                  <wp:align>top</wp:align>
                </wp:positionV>
                <wp:extent cx="762000" cy="279400"/>
                <wp:effectExtent l="0" t="0" r="0" b="0"/>
                <wp:wrapSquare wrapText="right"/>
                <wp:docPr id="562" name="Frame433"/>
                <a:graphic xmlns:a="http://schemas.openxmlformats.org/drawingml/2006/main">
                  <a:graphicData uri="http://schemas.microsoft.com/office/word/2010/wordprocessingShape">
                    <wps:wsp>
                      <wps:cNvSpPr txBox="1"/>
                      <wps:spPr>
                        <a:xfrm>
                          <a:off x="0" y="0"/>
                          <a:ext cx="762000" cy="279400"/>
                        </a:xfrm>
                        <a:prstGeom prst="rect"/>
                        <a:solidFill>
                          <a:srgbClr val="FFFFFF"/>
                        </a:solidFill>
                      </wps:spPr>
                      <wps:txbx>
                        <w:txbxContent>
                          <w:p>
                            <w:pPr>
                              <w:pStyle w:val="TextBody"/>
                              <w:bidi w:val="0"/>
                              <w:spacing w:lineRule="atLeast" w:line="220" w:before="0" w:after="283"/>
                              <w:jc w:val="left"/>
                              <w:rPr>
                                <w:sz w:val="18"/>
                              </w:rPr>
                            </w:pPr>
                            <w:r>
                              <w:rPr>
                                <w:spacing w:val="-1"/>
                                <w:sz w:val="18"/>
                              </w:rPr>
                              <w:t>PBRS</w:t>
                            </w:r>
                            <w:r>
                              <w:rPr>
                                <w:sz w:val="18"/>
                              </w:rPr>
                              <w:t xml:space="preserve"> </w:t>
                              <w:br/>
                            </w:r>
                          </w:p>
                        </w:txbxContent>
                      </wps:txbx>
                      <wps:bodyPr anchor="t" lIns="0" tIns="0" rIns="0" bIns="0">
                        <a:noAutofit/>
                      </wps:bodyPr>
                    </wps:wsp>
                  </a:graphicData>
                </a:graphic>
              </wp:anchor>
            </w:drawing>
          </mc:Choice>
          <mc:Fallback>
            <w:pict>
              <v:rect style="position:absolute;rotation:-0;width:60pt;height:22pt;mso-wrap-distance-left:20pt;mso-wrap-distance-right:0pt;mso-wrap-distance-top:3pt;mso-wrap-distance-bottom:0pt;margin-top:3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1"/>
                          <w:sz w:val="18"/>
                        </w:rPr>
                        <w:t>PBRS</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2501"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Time-Based Restricted Stock Award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254000" distR="0" simplePos="0" locked="0" layoutInCell="1" allowOverlap="1" relativeHeight="550">
                <wp:simplePos x="0" y="0"/>
                <wp:positionH relativeFrom="column">
                  <wp:align>left</wp:align>
                </wp:positionH>
                <wp:positionV relativeFrom="line">
                  <wp:align>top</wp:align>
                </wp:positionV>
                <wp:extent cx="762000" cy="279400"/>
                <wp:effectExtent l="0" t="0" r="0" b="0"/>
                <wp:wrapSquare wrapText="right"/>
                <wp:docPr id="563" name="Frame434"/>
                <a:graphic xmlns:a="http://schemas.openxmlformats.org/drawingml/2006/main">
                  <a:graphicData uri="http://schemas.microsoft.com/office/word/2010/wordprocessingShape">
                    <wps:wsp>
                      <wps:cNvSpPr txBox="1"/>
                      <wps:spPr>
                        <a:xfrm>
                          <a:off x="0" y="0"/>
                          <a:ext cx="762000" cy="279400"/>
                        </a:xfrm>
                        <a:prstGeom prst="rect"/>
                        <a:solidFill>
                          <a:srgbClr val="FFFFFF"/>
                        </a:solidFill>
                      </wps:spPr>
                      <wps:txbx>
                        <w:txbxContent>
                          <w:p>
                            <w:pPr>
                              <w:pStyle w:val="TextBody"/>
                              <w:bidi w:val="0"/>
                              <w:spacing w:lineRule="atLeast" w:line="220" w:before="0" w:after="283"/>
                              <w:jc w:val="left"/>
                              <w:rPr>
                                <w:sz w:val="18"/>
                              </w:rPr>
                            </w:pPr>
                            <w:r>
                              <w:rPr>
                                <w:spacing w:val="-1"/>
                                <w:sz w:val="18"/>
                              </w:rPr>
                              <w:t>TBRS</w:t>
                            </w:r>
                            <w:r>
                              <w:rPr>
                                <w:sz w:val="18"/>
                              </w:rPr>
                              <w:t xml:space="preserve"> </w:t>
                              <w:br/>
                            </w:r>
                          </w:p>
                        </w:txbxContent>
                      </wps:txbx>
                      <wps:bodyPr anchor="t" lIns="0" tIns="0" rIns="0" bIns="0">
                        <a:noAutofit/>
                      </wps:bodyPr>
                    </wps:wsp>
                  </a:graphicData>
                </a:graphic>
              </wp:anchor>
            </w:drawing>
          </mc:Choice>
          <mc:Fallback>
            <w:pict>
              <v:rect style="position:absolute;rotation:-0;width:60pt;height:22pt;mso-wrap-distance-left:20pt;mso-wrap-distance-right:0pt;mso-wrap-distance-top:3pt;mso-wrap-distance-bottom:0pt;margin-top:3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1"/>
                          <w:sz w:val="18"/>
                        </w:rPr>
                        <w:t>TBRS</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These columns represent the annual incentive compensation awards that could have been earned by the NEOs based on performance for the 2025 fiscal year. The amounts shown reflect the awards that as applicable were possible at their respective threshold, target and maximum levels of performance. The annual incentive award amounts actually paid to each NEO are reported in the “</w:t>
      </w:r>
      <w:r>
        <w:rPr>
          <w:rFonts w:ascii="Arial;Helvetica;sans-serif" w:hAnsi="Arial;Helvetica;sans-serif"/>
          <w:b w:val="false"/>
          <w:i/>
          <w:caps w:val="false"/>
          <w:smallCaps w:val="false"/>
          <w:color w:val="000000"/>
          <w:sz w:val="18"/>
        </w:rPr>
        <w:t>Non-Equity Incentive Plan Compensation</w:t>
      </w:r>
      <w:r>
        <w:rPr>
          <w:rFonts w:ascii="Arial;Helvetica;sans-serif" w:hAnsi="Arial;Helvetica;sans-serif"/>
          <w:b w:val="false"/>
          <w:i w:val="false"/>
          <w:caps w:val="false"/>
          <w:smallCaps w:val="false"/>
          <w:color w:val="000000"/>
          <w:spacing w:val="-1"/>
          <w:sz w:val="18"/>
        </w:rPr>
        <w:t>” column (or, for Messrs. Johnstone and Davis, the “</w:t>
      </w:r>
      <w:r>
        <w:rPr>
          <w:rFonts w:ascii="Arial;Helvetica;sans-serif" w:hAnsi="Arial;Helvetica;sans-serif"/>
          <w:b w:val="false"/>
          <w:i/>
          <w:caps w:val="false"/>
          <w:smallCaps w:val="false"/>
          <w:color w:val="000000"/>
          <w:sz w:val="18"/>
        </w:rPr>
        <w:t>Bonus</w:t>
      </w:r>
      <w:r>
        <w:rPr>
          <w:rFonts w:ascii="Arial;Helvetica;sans-serif" w:hAnsi="Arial;Helvetica;sans-serif"/>
          <w:b w:val="false"/>
          <w:i w:val="false"/>
          <w:caps w:val="false"/>
          <w:smallCaps w:val="false"/>
          <w:color w:val="000000"/>
          <w:spacing w:val="-1"/>
          <w:sz w:val="18"/>
        </w:rPr>
        <w:t>” column) of the Summary Compensation Table. For more information regarding the annual incentive compensation program, see “</w:t>
      </w:r>
      <w:r>
        <w:rPr>
          <w:rFonts w:ascii="Arial;Helvetica;sans-serif" w:hAnsi="Arial;Helvetica;sans-serif"/>
          <w:b w:val="false"/>
          <w:i/>
          <w:caps w:val="false"/>
          <w:smallCaps w:val="false"/>
          <w:color w:val="000000"/>
          <w:sz w:val="18"/>
        </w:rPr>
        <w:t>Compensation Discussion and Analysis – Annual Incentive Compensation</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51">
                <wp:simplePos x="0" y="0"/>
                <wp:positionH relativeFrom="column">
                  <wp:align>left</wp:align>
                </wp:positionH>
                <wp:positionV relativeFrom="line">
                  <wp:align>top</wp:align>
                </wp:positionV>
                <wp:extent cx="254000" cy="279400"/>
                <wp:effectExtent l="0" t="0" r="0" b="0"/>
                <wp:wrapSquare wrapText="right"/>
                <wp:docPr id="564" name="Frame435"/>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(2)</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awards represent the performance-based restricted stock awards granted in 2025 that may vest based on the Company’s NAV growth over a three-year period. The vesting schedule for each award has a specified threshold performance level such that performance below threshold results in no shares vesting. If at least the threshold performance goal is attained, the number of shares that will vest ranges from 100% to 200% of the target number of shares granted. For additional information regarding the vesting of the performance-based restricted stock, see “</w:t>
      </w:r>
      <w:r>
        <w:rPr>
          <w:rFonts w:ascii="Arial;Helvetica;sans-serif" w:hAnsi="Arial;Helvetica;sans-serif"/>
          <w:b w:val="false"/>
          <w:i/>
          <w:caps w:val="false"/>
          <w:smallCaps w:val="false"/>
          <w:color w:val="000000"/>
          <w:sz w:val="18"/>
        </w:rPr>
        <w:t>Compensation Discussion and Analysis – Long-Term Equity Incentives</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52">
                <wp:simplePos x="0" y="0"/>
                <wp:positionH relativeFrom="column">
                  <wp:align>left</wp:align>
                </wp:positionH>
                <wp:positionV relativeFrom="line">
                  <wp:align>top</wp:align>
                </wp:positionV>
                <wp:extent cx="254000" cy="279400"/>
                <wp:effectExtent l="0" t="0" r="0" b="0"/>
                <wp:wrapSquare wrapText="right"/>
                <wp:docPr id="565" name="Frame436"/>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(3)</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awards represent the time-based restricted stock awards granted in 2025, which vest in equal annual installments over a three-year period. For additional information regarding the vesting of the time-based restricted stock, see “</w:t>
      </w:r>
      <w:r>
        <w:rPr>
          <w:rFonts w:ascii="Arial;Helvetica;sans-serif" w:hAnsi="Arial;Helvetica;sans-serif"/>
          <w:b w:val="false"/>
          <w:i/>
          <w:caps w:val="false"/>
          <w:smallCaps w:val="false"/>
          <w:color w:val="000000"/>
          <w:sz w:val="18"/>
        </w:rPr>
        <w:t>Compensation Discussion and Analysis – Long-Term Equity Incentives</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53">
                <wp:simplePos x="0" y="0"/>
                <wp:positionH relativeFrom="column">
                  <wp:align>left</wp:align>
                </wp:positionH>
                <wp:positionV relativeFrom="line">
                  <wp:align>top</wp:align>
                </wp:positionV>
                <wp:extent cx="254000" cy="279400"/>
                <wp:effectExtent l="0" t="0" r="0" b="0"/>
                <wp:wrapSquare wrapText="right"/>
                <wp:docPr id="566" name="Frame437"/>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(4)</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(4)</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Represents the grant date fair value determined pursuant to ASC Topic 718. </w:t>
      </w:r>
      <w:r>
        <mc:AlternateContent>
          <mc:Choice Requires="wps">
            <w:drawing>
              <wp:anchor behindDoc="0" distT="76200" distB="0" distL="0" distR="0" simplePos="0" locked="0" layoutInCell="1" allowOverlap="1" relativeHeight="554">
                <wp:simplePos x="0" y="0"/>
                <wp:positionH relativeFrom="column">
                  <wp:align>left</wp:align>
                </wp:positionH>
                <wp:positionV relativeFrom="line">
                  <wp:align>top</wp:align>
                </wp:positionV>
                <wp:extent cx="254000" cy="279400"/>
                <wp:effectExtent l="0" t="0" r="0" b="0"/>
                <wp:wrapSquare wrapText="right"/>
                <wp:docPr id="567" name="Frame438"/>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1"/>
                                <w:sz w:val="18"/>
                              </w:rPr>
                              <w:t>(5)</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1"/>
                          <w:sz w:val="18"/>
                        </w:rPr>
                        <w:t>(5)</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/ 75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EAAA"/>
      <w:bookmarkEnd w:id="67"/>
      <w:r>
        <w:rPr>
          <w:rFonts w:ascii="calibri;arial;sans-serif" w:hAnsi="calibri;arial;sans-serif"/>
          <w:b w:val="false"/>
          <w:i w:val="false"/>
          <w:caps w:val="false"/>
          <w:smallCaps w:val="false"/>
          <w:color w:val="000000"/>
          <w:sz w:val="16"/>
        </w:rPr>
        <w:t>​</w:t>
      </w:r>
      <w:bookmarkStart w:id="68" w:name="tDAOR"/>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Executive Compensation</w:t>
      </w:r>
      <w:r>
        <w:rPr>
          <w:rFonts w:ascii="Arial;Helvetica;sans-serif" w:hAnsi="Arial;Helvetica;sans-serif"/>
          <w:b/>
          <w:i w:val="false"/>
          <w:caps w:val="false"/>
          <w:smallCaps w:val="false"/>
          <w:color w:val="7F7F7F"/>
          <w:spacing w:val="-3"/>
          <w:sz w:val="22"/>
        </w:rPr>
        <w:t xml:space="preserve"> </w:t>
      </w:r>
    </w:p>
    <w:p>
      <w:pPr>
        <w:pStyle w:val="TextBody"/>
        <w:bidi w:val="0"/>
        <w:spacing w:lineRule="atLeast" w:line="340" w:before="120" w:after="283"/>
        <w:ind w:left="901"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EMPLOYMENT AGREEMENTS AND ARRANGEMENTS WITH THE NEO</w:t>
      </w:r>
      <w:r>
        <w:rPr>
          <w:rFonts w:ascii="Arial;Helvetica;sans-serif" w:hAnsi="Arial;Helvetica;sans-serif"/>
          <w:b/>
          <w:i w:val="false"/>
          <w:caps/>
          <w:color w:val="0075A8"/>
          <w:spacing w:val="-1"/>
          <w:sz w:val="22"/>
        </w:rPr>
        <w:t>s</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340" w:before="240" w:after="283"/>
        <w:jc w:val="left"/>
        <w:rPr>
          <w:rFonts w:ascii="Arial;Helvetica;sans-serif" w:hAnsi="Arial;Helvetica;sans-serif"/>
          <w:b/>
          <w:i w:val="false"/>
          <w:caps w:val="false"/>
          <w:smallCaps w:val="false"/>
          <w:color w:val="7F7F7F"/>
          <w:sz w:val="30"/>
        </w:rPr>
      </w:pPr>
      <w:r>
        <w:rPr>
          <w:rFonts w:ascii="Arial;Helvetica;sans-serif" w:hAnsi="Arial;Helvetica;sans-serif"/>
          <w:b/>
          <w:i w:val="false"/>
          <w:caps w:val="false"/>
          <w:smallCaps w:val="false"/>
          <w:color w:val="7F7F7F"/>
          <w:spacing w:val="-1"/>
          <w:sz w:val="30"/>
        </w:rPr>
        <w:t>David O’Reilly</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On December 1, 2020, the Company entered into a Second Amended and Restated Employment Agreement with Mr. O’Reilly to serve as the Company’s Chief Executive Officer, which agreement was subsequently amended effective January 1, 2024, April 1, 2025, and January 1, 2026 (such agreement, as amended, “Mr. O’Reilly’s Employment Agreement”). Mr. O’Reilly’s Employment Agreement expires on December 31, 2028, subject to certain early termination events, described below. Thereafter, Mr. O’Reilly’s Employment Agreement will automatically renew for additional one-year periods, unless either party provides the other party with at least 60 days’ prior written notice that it does not wish to automatically renew the term.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Under Mr. O’Reilly’s Employment Agreement, as most recently amended, Mr. O’Reilly is entitled to an annual base salary of $1,000,000 and, subject to achievement of certain performance goals that will be established annually by the Compensation Committee, eligible to earn an annual cash bonus with a target amount of $2,500,000. If the Compensation Committee sets a minimum overall goal under the annual incentive program with respect to any performance year, and that minimum overall goal is achieved, the bonus payable would range from a threshold value of 80% of target to a maximum value of 120% of target. In addition, Mr. O’Reilly’s Employment Agreement provides that he will be awarded an annual equity award (an “Annual LTIP Award”) based upon the Compensation Committee’s evaluation of such performance measures and objectives as may be established by the Compensation Committee from time to time. The Annual LTIP Award is a long-term equity or equity-based incentive award with an aggregate targeted grant value (with respect to the portion of the Annual LTIP Award that is subject to performance metrics, based on the achievement of the applicable performance metrics that cause the award to vest at the level of 100%, and without taking into account the probability of the award vesting at that level on the date of grant) on the date of grant equal to $5,500,000, with the number of shares of the Company’s common stock subject to such annual equity award determined by dividing the aggregate grant value by the closing price per share of the common stock on the date of grant. Prior to 2026, fifty percent (50%) of each Annual LTIP Award granted to Mr. O’Reilly provided for pro-rata vesting over three years, or five years in the case of awards granted in fiscal 2021 (an “O’Reilly Time Vesting LTIP Award”) and the other fifty percent (50%) of such award provided for performance-based vesting (an “O’Reilly Performance Vesting LTIP Award”). Beginning in 2026, twenty percent (20%) of each Annual LTIP Award granted to Mr. O’Reilly will provide for pro-rata vesting over three years and the other eighty percent (80%) will provide for performance-based vesting. Each O’Reilly Time Vesting LTIP Award and O’Reilly Performance Vesting LTIP Award is subject to the terms and conditions of our then-current equity incentive plan and the applicable award agreement. All Annual LTIP Awards are subject to the terms and conditions of the Company’s 2025 Equity Incentive Plan (or a successor plan) and any applicable award agreements thereunder.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O’Reilly is also subject to certain restrictive covenants regarding confidentiality, non-disparagement, non- solicitation, and non-competition. The non-solicitation and non-competition covenants apply during the term of Mr. O’Reilly’s employment and for the 12-month period following his termination for any reason.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2E2925"/>
          <w:sz w:val="20"/>
        </w:rPr>
      </w:pPr>
      <w:r>
        <w:rPr>
          <w:rFonts w:ascii="Arial;Helvetica;sans-serif" w:hAnsi="Arial;Helvetica;sans-serif"/>
          <w:b/>
          <w:i w:val="false"/>
          <w:caps/>
          <w:color w:val="2E2925"/>
          <w:spacing w:val="-3"/>
          <w:sz w:val="20"/>
        </w:rPr>
        <w:t>SEVERANCE AND CHANGE IN CONTROL BENEFITS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Termination Without Cause or for Good Reason</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Mr. O’Reilly terminates his employment for “good reason” or is terminated by the Company without “cause” ​(other than due to non-renewal, death or disability), the Company will pay and provide Mr. O’Reilly, in addition to his previously accrued benefits and compensation,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prorated portion of the target annual cash bonus, based upon the number of days elapsed during the applicable calendar year in which he was employed;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55">
                <wp:simplePos x="0" y="0"/>
                <wp:positionH relativeFrom="column">
                  <wp:align>left</wp:align>
                </wp:positionH>
                <wp:positionV relativeFrom="line">
                  <wp:align>top</wp:align>
                </wp:positionV>
                <wp:extent cx="254000" cy="350520"/>
                <wp:effectExtent l="0" t="0" r="0" b="0"/>
                <wp:wrapSquare wrapText="right"/>
                <wp:docPr id="568" name="Frame4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 amount equal to the sum of Mr. O’Reilly’s annual base salary and target annual cash bonus;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56">
                <wp:simplePos x="0" y="0"/>
                <wp:positionH relativeFrom="column">
                  <wp:align>left</wp:align>
                </wp:positionH>
                <wp:positionV relativeFrom="line">
                  <wp:align>top</wp:align>
                </wp:positionV>
                <wp:extent cx="254000" cy="350520"/>
                <wp:effectExtent l="0" t="0" r="0" b="0"/>
                <wp:wrapSquare wrapText="right"/>
                <wp:docPr id="569" name="Frame4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outstanding and unvested O’Reilly Time Vesting LTIP Awards, if any, will fully vest and all outstanding O’Reilly Performance Vesting LTIP Awards will remain outstanding and continue to vest based on the achievement of the performance metrics.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57">
                <wp:simplePos x="0" y="0"/>
                <wp:positionH relativeFrom="column">
                  <wp:align>left</wp:align>
                </wp:positionH>
                <wp:positionV relativeFrom="line">
                  <wp:align>top</wp:align>
                </wp:positionV>
                <wp:extent cx="254000" cy="350520"/>
                <wp:effectExtent l="0" t="0" r="0" b="0"/>
                <wp:wrapSquare wrapText="right"/>
                <wp:docPr id="570" name="Frame4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76 \ 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CAO"/>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Executive Compensation</w:t>
      </w:r>
      <w:r>
        <w:rPr>
          <w:rFonts w:ascii="Arial;Helvetica;sans-serif" w:hAnsi="Arial;Helvetica;sans-serif"/>
          <w:b/>
          <w:i w:val="false"/>
          <w:caps w:val="false"/>
          <w:smallCaps w:val="false"/>
          <w:color w:val="7F7F7F"/>
          <w:sz w:val="22"/>
        </w:rPr>
        <w:t>​</w:t>
      </w:r>
    </w:p>
    <w:p>
      <w:pPr>
        <w:pStyle w:val="TextBody"/>
        <w:bidi w:val="0"/>
        <w:spacing w:lineRule="atLeast" w:line="240" w:before="120" w:after="283"/>
        <w:ind w:left="901"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Non-Renewal of Employment Agreement</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Mr. O’Reilly’s employment terminates due to the Company’s non-renewal of Mr. O’Reilly’s Employment Agreement after the expiration of the term ending on December 31, 2028 or any subsequent one-year renewal period, the Company will pay and provide Mr. O’Reilly, in addition to his previously accrued benefits and compensation,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prorated portion of the target annual cash bonus, based upon the number of days elapsed during the applicable calendar year in which he was employed;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58">
                <wp:simplePos x="0" y="0"/>
                <wp:positionH relativeFrom="column">
                  <wp:align>left</wp:align>
                </wp:positionH>
                <wp:positionV relativeFrom="line">
                  <wp:align>top</wp:align>
                </wp:positionV>
                <wp:extent cx="254000" cy="350520"/>
                <wp:effectExtent l="0" t="0" r="0" b="0"/>
                <wp:wrapSquare wrapText="right"/>
                <wp:docPr id="571" name="Frame4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outstanding and unvested O’Reilly Time Vesting LTIP Awards, if any, will fully vest and all outstanding O’Reilly Performance Vesting LTIP Awards will remain outstanding and continue to vest based on the achievement of the performance metrics.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59">
                <wp:simplePos x="0" y="0"/>
                <wp:positionH relativeFrom="column">
                  <wp:align>left</wp:align>
                </wp:positionH>
                <wp:positionV relativeFrom="line">
                  <wp:align>top</wp:align>
                </wp:positionV>
                <wp:extent cx="254000" cy="350520"/>
                <wp:effectExtent l="0" t="0" r="0" b="0"/>
                <wp:wrapSquare wrapText="right"/>
                <wp:docPr id="572" name="Frame4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Death or Disability</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Mr. O’Reilly’s employment terminates by reason of his death or as a result of disability, the Company will pay and provide Mr. O’Reilly (or his estate), in addition to his previously accrued benefits and compensation,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prorated portion of the target annual cash bonus, based upon the number of days elapsed in the calendar year that Mr. O’Reilly was employed;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60">
                <wp:simplePos x="0" y="0"/>
                <wp:positionH relativeFrom="column">
                  <wp:align>left</wp:align>
                </wp:positionH>
                <wp:positionV relativeFrom="line">
                  <wp:align>top</wp:align>
                </wp:positionV>
                <wp:extent cx="254000" cy="350520"/>
                <wp:effectExtent l="0" t="0" r="0" b="0"/>
                <wp:wrapSquare wrapText="right"/>
                <wp:docPr id="573" name="Frame4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outstanding and unvested O’Reilly Time Vesting LTIP Awards, if any, will fully vest and all outstanding O’Reilly Performance Vesting LTIP Awards will remain outstanding and continue to vest based on the achievement of the performance metrics.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61">
                <wp:simplePos x="0" y="0"/>
                <wp:positionH relativeFrom="column">
                  <wp:align>left</wp:align>
                </wp:positionH>
                <wp:positionV relativeFrom="line">
                  <wp:align>top</wp:align>
                </wp:positionV>
                <wp:extent cx="254000" cy="350520"/>
                <wp:effectExtent l="0" t="0" r="0" b="0"/>
                <wp:wrapSquare wrapText="right"/>
                <wp:docPr id="574" name="Frame4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Change in Control Termination</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Mr. O’Reilly terminates his employment for “good reason” or is terminated by the Company without “cause,” in either case, in connection with, or within 24 months following, a Transaction (as defined in the April 2025 Employment Agreement Amendments (as defined below)) or change in control, the Company will pay and provide Mr. O’Reilly, in addition to his previously accrued benefits and compensation,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prorated portion of the target annual cash bonus based upon the number of days elapsed during the applicable calendar year in which he was employed;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62">
                <wp:simplePos x="0" y="0"/>
                <wp:positionH relativeFrom="column">
                  <wp:align>left</wp:align>
                </wp:positionH>
                <wp:positionV relativeFrom="line">
                  <wp:align>top</wp:align>
                </wp:positionV>
                <wp:extent cx="254000" cy="350520"/>
                <wp:effectExtent l="0" t="0" r="0" b="0"/>
                <wp:wrapSquare wrapText="right"/>
                <wp:docPr id="575" name="Frame4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 amount equal to two times the sum of Mr. O’Reilly’s annual base salary and the target annual cash bonus;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63">
                <wp:simplePos x="0" y="0"/>
                <wp:positionH relativeFrom="column">
                  <wp:align>left</wp:align>
                </wp:positionH>
                <wp:positionV relativeFrom="line">
                  <wp:align>top</wp:align>
                </wp:positionV>
                <wp:extent cx="254000" cy="350520"/>
                <wp:effectExtent l="0" t="0" r="0" b="0"/>
                <wp:wrapSquare wrapText="right"/>
                <wp:docPr id="576" name="Frame4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outstanding and unvested O’Reilly Time Vesting LTIP Awards, if any, will fully and immediately vest and all outstanding O’Reilly Performance Vesting LTIP Awards will vest at the greater of (a) 100% of the number of shares of common stock granted pursuant to each such award and (b) the performance level achieved as of the termination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64">
                <wp:simplePos x="0" y="0"/>
                <wp:positionH relativeFrom="column">
                  <wp:align>left</wp:align>
                </wp:positionH>
                <wp:positionV relativeFrom="line">
                  <wp:align>top</wp:align>
                </wp:positionV>
                <wp:extent cx="254000" cy="350520"/>
                <wp:effectExtent l="0" t="0" r="0" b="0"/>
                <wp:wrapSquare wrapText="right"/>
                <wp:docPr id="577" name="Frame4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Receipt of the severance payments and benefits set forth above is contingent upon Mr. O’Reilly executing and not revoking a release of claims in favor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40" w:before="240" w:after="283"/>
        <w:jc w:val="left"/>
        <w:rPr>
          <w:rFonts w:ascii="Arial;Helvetica;sans-serif" w:hAnsi="Arial;Helvetica;sans-serif"/>
          <w:b/>
          <w:i w:val="false"/>
          <w:caps w:val="false"/>
          <w:smallCaps w:val="false"/>
          <w:color w:val="7F7F7F"/>
          <w:sz w:val="30"/>
        </w:rPr>
      </w:pPr>
      <w:r>
        <w:rPr>
          <w:rFonts w:ascii="Arial;Helvetica;sans-serif" w:hAnsi="Arial;Helvetica;sans-serif"/>
          <w:b/>
          <w:i w:val="false"/>
          <w:caps w:val="false"/>
          <w:smallCaps w:val="false"/>
          <w:color w:val="7F7F7F"/>
          <w:spacing w:val="-1"/>
          <w:sz w:val="30"/>
        </w:rPr>
        <w:t>Carlos A. Olea</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connection with Mr. Olea’s appointment as Chief Financial Officer, the Company entered into an employment agreement with Mr. Olea, effective January 12, 2022, which agreement was subsequently amended effective January 1, 2024, April 1, 2025, and January 1, 2026 (such agreement, as amended, “Mr. Olea’s Employment Agreement”). Mr. Olea’s Employment Agreement expires on December 31, 2028, unless earlier terminated. Thereafter, the agreement shall renew automatically for additional periods of one year, unless either party provides notice of non-renewal at least 60 days prior to the automatic renewal.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Under Mr. Olea’s Employment Agreement, as most recently amended, his annual base salary is $550,000, and, subject to achievement of performance goals established by the Compensation Committee, Mr. Olea is eligible to </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/ 77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Executive Compensation</w:t>
      </w:r>
      <w:r>
        <w:rPr>
          <w:rFonts w:ascii="Arial;Helvetica;sans-serif" w:hAnsi="Arial;Helvetica;sans-serif"/>
          <w:b/>
          <w:i w:val="false"/>
          <w:caps w:val="false"/>
          <w:smallCaps w:val="false"/>
          <w:color w:val="7F7F7F"/>
          <w:spacing w:val="-3"/>
          <w:sz w:val="22"/>
        </w:rPr>
        <w:t xml:space="preserve"> </w:t>
      </w:r>
    </w:p>
    <w:p>
      <w:pPr>
        <w:pStyle w:val="TextBody"/>
        <w:bidi w:val="0"/>
        <w:spacing w:lineRule="atLeast" w:line="230" w:before="120" w:after="283"/>
        <w:ind w:left="9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earn an annual cash bonus with a target amount of $825,000. If the Compensation Committee establishes a minimum overall performance goal that Mr. Olea is required to achieve to receive an annual bonus and the minimum goal is achieved, then the annual bonus for such calendar year shall be equal to at least 80% of the target, but no more than 120% of the target bonus. In addition, Mr. Olea is eligible to receive an annual long-term equity award with an aggregate target grant value equal to $1,975,000 worth of restricted stock (20% time-based vesting and 80% performance-based vesting) under the Company’s 2025 Equity Incentive Plan (or a successor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52"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Olea is also subject to certain restrictive covenants regarding confidentiality, non-disparagement, non-solicitation and non-competition. The non-solicitation and non-competition covenants apply during the term of Mr. Olea’s employment and for the 12-month period following his termination for any reason. In the event Mr. Olea’s employment terminates before the expiration of the employment agreement’s term, he may be entitled to severance payments depending on the circumstances, and the severance may be enhanced if payable in connection with a Transaction (as defined in the April 2025 Employment Agreement Amendments) or change in control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12" w:after="283"/>
        <w:jc w:val="left"/>
        <w:rPr>
          <w:rFonts w:ascii="Arial;Helvetica;sans-serif" w:hAnsi="Arial;Helvetica;sans-serif"/>
          <w:b/>
          <w:i w:val="false"/>
          <w:caps w:val="false"/>
          <w:smallCaps w:val="false"/>
          <w:color w:val="2E2925"/>
          <w:sz w:val="20"/>
        </w:rPr>
      </w:pPr>
      <w:r>
        <w:rPr>
          <w:rFonts w:ascii="Arial;Helvetica;sans-serif" w:hAnsi="Arial;Helvetica;sans-serif"/>
          <w:b/>
          <w:i w:val="false"/>
          <w:caps/>
          <w:color w:val="2E2925"/>
          <w:spacing w:val="-3"/>
          <w:sz w:val="20"/>
        </w:rPr>
        <w:t>SEVERANCE AND CHANGE IN CONTROL BENEFITS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Termination Without Cause or for Good Reason</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Mr. Olea terminates his employment for “good reason” or is terminated by the Company without “cause” ​(other than due to non-renewal, death or disability), the Company will pay and provide Mr. Olea, in addition to his previously accrued benefits and compensation,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2"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prorated portion of the target annual cash bonus, based upon the number of days elapsed during the applicable calendar year in which he was employed;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1120" distB="0" distL="254000" distR="0" simplePos="0" locked="0" layoutInCell="1" allowOverlap="1" relativeHeight="565">
                <wp:simplePos x="0" y="0"/>
                <wp:positionH relativeFrom="column">
                  <wp:align>left</wp:align>
                </wp:positionH>
                <wp:positionV relativeFrom="line">
                  <wp:align>top</wp:align>
                </wp:positionV>
                <wp:extent cx="254000" cy="350520"/>
                <wp:effectExtent l="0" t="0" r="0" b="0"/>
                <wp:wrapSquare wrapText="right"/>
                <wp:docPr id="578" name="Frame4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7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 amount equal to the sum of Mr. Olea’s annual base salary and target annual cash bonus;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566">
                <wp:simplePos x="0" y="0"/>
                <wp:positionH relativeFrom="column">
                  <wp:align>left</wp:align>
                </wp:positionH>
                <wp:positionV relativeFrom="line">
                  <wp:align>top</wp:align>
                </wp:positionV>
                <wp:extent cx="254000" cy="350520"/>
                <wp:effectExtent l="0" t="0" r="0" b="0"/>
                <wp:wrapSquare wrapText="right"/>
                <wp:docPr id="579" name="Frame4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outstanding and unvested Olea Time Vesting LTIP Awards, if any, will fully vest and all outstanding Olea Performance Vesting LTIP Awards will remain outstanding and continue to vest based on the achievement of the performance metrics.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567">
                <wp:simplePos x="0" y="0"/>
                <wp:positionH relativeFrom="column">
                  <wp:align>left</wp:align>
                </wp:positionH>
                <wp:positionV relativeFrom="line">
                  <wp:align>top</wp:align>
                </wp:positionV>
                <wp:extent cx="254000" cy="350520"/>
                <wp:effectExtent l="0" t="0" r="0" b="0"/>
                <wp:wrapSquare wrapText="right"/>
                <wp:docPr id="580" name="Frame4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1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Non-Renewal of Employment Agreement</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Mr. Olea’s employment terminates due to the Company’s non-renewal of his employment agreement after the expiration of the term ending on December 31, 2028, or any subsequent one-year renewal period, the Company will pay and provide Mr. Olea, in addition to his previously accrued benefits and compensation,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0"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prorated portion of the target annual cash bonus, based upon the number of days elapsed during the applicable calendar year in which he was employed;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568">
                <wp:simplePos x="0" y="0"/>
                <wp:positionH relativeFrom="column">
                  <wp:align>left</wp:align>
                </wp:positionH>
                <wp:positionV relativeFrom="line">
                  <wp:align>top</wp:align>
                </wp:positionV>
                <wp:extent cx="254000" cy="350520"/>
                <wp:effectExtent l="0" t="0" r="0" b="0"/>
                <wp:wrapSquare wrapText="right"/>
                <wp:docPr id="581" name="Frame4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outstanding and unvested Olea Time Vesting LTIP Awards, if any, will fully vest and all outstanding Olea Performance Vesting LTIP Awards will remain outstanding and continue to vest based on the achievement of the performance metrics.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569">
                <wp:simplePos x="0" y="0"/>
                <wp:positionH relativeFrom="column">
                  <wp:align>left</wp:align>
                </wp:positionH>
                <wp:positionV relativeFrom="line">
                  <wp:align>top</wp:align>
                </wp:positionV>
                <wp:extent cx="254000" cy="350520"/>
                <wp:effectExtent l="0" t="0" r="0" b="0"/>
                <wp:wrapSquare wrapText="right"/>
                <wp:docPr id="582" name="Frame4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1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Death or Disability</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Mr. Olea’s employment terminates by reason of his death or as a result of disability, the Company will pay and provide Mr. Olea (or his estate), in addition to his previously accrued benefits and compensation,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0"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prorated portion of the target annual cash bonus, based upon the number of days elapsed in the calendar year that Mr. Olea was employed;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570">
                <wp:simplePos x="0" y="0"/>
                <wp:positionH relativeFrom="column">
                  <wp:align>left</wp:align>
                </wp:positionH>
                <wp:positionV relativeFrom="line">
                  <wp:align>top</wp:align>
                </wp:positionV>
                <wp:extent cx="254000" cy="350520"/>
                <wp:effectExtent l="0" t="0" r="0" b="0"/>
                <wp:wrapSquare wrapText="right"/>
                <wp:docPr id="583" name="Frame4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outstanding and unvested Olea Time Vesting LTIP Awards, if any, will fully vest and all outstanding Olea Performance Vesting LTIP Awards will remain outstanding and continue to vest based on the achievement of the performance metrics.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571">
                <wp:simplePos x="0" y="0"/>
                <wp:positionH relativeFrom="column">
                  <wp:align>left</wp:align>
                </wp:positionH>
                <wp:positionV relativeFrom="line">
                  <wp:align>top</wp:align>
                </wp:positionV>
                <wp:extent cx="254000" cy="350520"/>
                <wp:effectExtent l="0" t="0" r="0" b="0"/>
                <wp:wrapSquare wrapText="right"/>
                <wp:docPr id="584" name="Frame4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1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Change in Control Termination</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Mr. Olea terminates his employment for “good reason” or is terminated by the Company without “cause,” in either case, in connection with, or within 24 months following, a Transaction or change in control of the Company, the Company will pay and provide Mr. Olea, in addition to his previously accrued benefits and compensation,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78 \ 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JOVA"/>
      <w:bookmarkEnd w:id="70"/>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Executive Compensation</w:t>
      </w:r>
      <w:r>
        <w:rPr>
          <w:rFonts w:ascii="Arial;Helvetica;sans-serif" w:hAnsi="Arial;Helvetica;sans-serif"/>
          <w:b/>
          <w:i w:val="false"/>
          <w:caps w:val="false"/>
          <w:smallCaps w:val="false"/>
          <w:color w:val="7F7F7F"/>
          <w:sz w:val="22"/>
        </w:rPr>
        <w:t>​</w:t>
      </w:r>
    </w:p>
    <w:p>
      <w:pPr>
        <w:pStyle w:val="TextBody"/>
        <w:bidi w:val="0"/>
        <w:spacing w:lineRule="atLeast" w:line="240" w:before="120" w:after="283"/>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prorated portion of the target annual cash bonus based upon the number of days elapsed during the applicable calendar year in which he was employed;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572">
                <wp:simplePos x="0" y="0"/>
                <wp:positionH relativeFrom="column">
                  <wp:align>left</wp:align>
                </wp:positionH>
                <wp:positionV relativeFrom="line">
                  <wp:posOffset>635</wp:posOffset>
                </wp:positionV>
                <wp:extent cx="254000" cy="350520"/>
                <wp:effectExtent l="0" t="0" r="0" b="0"/>
                <wp:wrapSquare wrapText="right"/>
                <wp:docPr id="585" name="Frame4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 amount equal to two times the sum of Mr. Olea’s annual base salary and the target annual cash bonus;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5250" distB="0" distL="254000" distR="0" simplePos="0" locked="0" layoutInCell="1" allowOverlap="1" relativeHeight="573">
                <wp:simplePos x="0" y="0"/>
                <wp:positionH relativeFrom="column">
                  <wp:align>left</wp:align>
                </wp:positionH>
                <wp:positionV relativeFrom="line">
                  <wp:align>top</wp:align>
                </wp:positionV>
                <wp:extent cx="254000" cy="350520"/>
                <wp:effectExtent l="0" t="0" r="0" b="0"/>
                <wp:wrapSquare wrapText="right"/>
                <wp:docPr id="586" name="Frame4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outstanding and unvested Olea Time Vesting LTIP Awards, if any, will fully and immediately vest and all outstanding Olea Performance Vesting LTIP Awards will vest at the greater of (a) 100% of the number of shares of common stock granted pursuant to each such award and (b) the performance level achieved as of the termination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5250" distB="0" distL="254000" distR="0" simplePos="0" locked="0" layoutInCell="1" allowOverlap="1" relativeHeight="574">
                <wp:simplePos x="0" y="0"/>
                <wp:positionH relativeFrom="column">
                  <wp:align>left</wp:align>
                </wp:positionH>
                <wp:positionV relativeFrom="line">
                  <wp:align>top</wp:align>
                </wp:positionV>
                <wp:extent cx="254000" cy="350520"/>
                <wp:effectExtent l="0" t="0" r="0" b="0"/>
                <wp:wrapSquare wrapText="right"/>
                <wp:docPr id="587" name="Frame4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Receipt of the severance payments and benefits set forth above is contingent upon Mr. Olea executing and not revoking a release of claims in favor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40" w:before="240" w:after="283"/>
        <w:jc w:val="left"/>
        <w:rPr>
          <w:rFonts w:ascii="Arial;Helvetica;sans-serif" w:hAnsi="Arial;Helvetica;sans-serif"/>
          <w:b/>
          <w:i w:val="false"/>
          <w:caps w:val="false"/>
          <w:smallCaps w:val="false"/>
          <w:color w:val="7F7F7F"/>
          <w:sz w:val="30"/>
        </w:rPr>
      </w:pPr>
      <w:r>
        <w:rPr>
          <w:rFonts w:ascii="Arial;Helvetica;sans-serif" w:hAnsi="Arial;Helvetica;sans-serif"/>
          <w:b/>
          <w:i w:val="false"/>
          <w:caps w:val="false"/>
          <w:smallCaps w:val="false"/>
          <w:color w:val="7F7F7F"/>
          <w:spacing w:val="-1"/>
          <w:sz w:val="30"/>
        </w:rPr>
        <w:t>Joseph Valane</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connection with Mr. Valane’s appointment as General Counsel and Secretary, the Company entered into an employment agreement with Mr. Valane, dated December 29, 2023, and effective March 18, 2024, which agreement was subsequently amended effective April 1, 2025, and further amended effective January 1, 2026 (such agreement, as amended, “Mr. Valane’s Employment Agreement”). Mr. Valane’s Employment Agreement expires on December 31, 2028, unless earlier terminated. Thereafter, the agreement shall renew automatically for additional periods of one year, unless either party provides notice of non-renewal at least 60 days prior to the automatic renewal. In connection with entering into such agreement, Mr. Valane received an initial cash bonus in the amount of $400,000. Under Mr. Valane’s Employment Agreement, as most recently amended, his annual base salary is $500,000, and he is eligible to earn an annual cash bonus in the targeted amount of $700,000 based upon the achievement of performance goals established by the Compensation Committee. If the Compensation Committee establishes a minimum overall performance goal that Mr. Valane is required to achieve to receive an annual bonus and the minimum goal is achieved, then the annual bonus for such calendar year shall be equal to at least 80% of the target, but no more than 120% of the target bonus. Mr. Valane is eligible to receive an annual long-term equity award with an aggregate target grant value equal to $1,000,000 worth of restricted stock (20% time-based vesting and 80% performance-based vesting) under the Company’s 2025 Equity Incentive Plan (or a successor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Valane is also subject to certain restrictive covenants regarding confidentiality, non-disparagement, non- solicitation and non-competition. The non-solicitation and non-competition covenants apply during the term of Mr. Valane’s employment and for the 12-month period following his termination for any reason. In the event Mr. Valane’s employment terminates before the expiration of the employment agreement’s term, he may be entitled to severance payments depending on the circumstances, and the severance may be enhanced if payable in connection with a Transaction (as defined in the April 2025 Employment Agreement Amendments) or change in control of the Company. Effective June 29, 2026, Mr. Valane’s title changed from “General Counsel &amp; Secretary” to “Chief Legal Officer &amp; Secretary.”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2E2925"/>
          <w:sz w:val="20"/>
        </w:rPr>
      </w:pPr>
      <w:r>
        <w:rPr>
          <w:rFonts w:ascii="Arial;Helvetica;sans-serif" w:hAnsi="Arial;Helvetica;sans-serif"/>
          <w:b/>
          <w:i w:val="false"/>
          <w:caps/>
          <w:color w:val="2E2925"/>
          <w:spacing w:val="-3"/>
          <w:sz w:val="20"/>
        </w:rPr>
        <w:t>INITIAL VALANE LTIP AWARD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On April 1, 2024, the Company awarded Mr. Valane an initial long-term equity incentive award (the “Initial Valane LTIP Award”) with an aggregate targeted grant value of $500,000 (based on the closing price of the Company’s common stock on April 1, 2024), consisting of 7,040 shares of restricted stock, with time-based pro-rata vesting over three years (the “Initial Valane LTIP Award”). The Initial Valane LTIP Award is subject to the terms and conditions of the Company’s 2020 Equity Incentive Plan and the applicable award agreements issued thereunder. The Initial Valane LTIP Award was subsequently adjusted to 7,945 shares in connection with the spinoff of Seaport Entertainment.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2E2925"/>
          <w:sz w:val="20"/>
        </w:rPr>
      </w:pPr>
      <w:r>
        <w:rPr>
          <w:rFonts w:ascii="Arial;Helvetica;sans-serif" w:hAnsi="Arial;Helvetica;sans-serif"/>
          <w:b/>
          <w:i w:val="false"/>
          <w:caps/>
          <w:color w:val="2E2925"/>
          <w:spacing w:val="-3"/>
          <w:sz w:val="20"/>
        </w:rPr>
        <w:t>SEVERANCE AND CHANGE IN CONTROL BENEFITS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Termination Without Cause or for Good Reason</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Mr. Valane terminates his employment for “good reason” or is terminated by the Company without “cause” ​(other than due to non-renewal, death or disability), the Company will pay and provide Mr. Valane, in addition to his previously accrued benefits and compensation,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/ 79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Executive Compensation</w:t>
      </w:r>
      <w:r>
        <w:rPr>
          <w:rFonts w:ascii="Arial;Helvetica;sans-serif" w:hAnsi="Arial;Helvetica;sans-serif"/>
          <w:b/>
          <w:i w:val="false"/>
          <w:caps w:val="false"/>
          <w:smallCaps w:val="false"/>
          <w:color w:val="7F7F7F"/>
          <w:spacing w:val="-3"/>
          <w:sz w:val="22"/>
        </w:rPr>
        <w:t xml:space="preserve"> </w:t>
      </w:r>
    </w:p>
    <w:p>
      <w:pPr>
        <w:pStyle w:val="TextBody"/>
        <w:bidi w:val="0"/>
        <w:spacing w:lineRule="atLeast" w:line="240" w:before="120" w:after="283"/>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prorated portion of the target annual cash bonus, based upon the number of days elapsed during the applicable calendar year in which he was employed;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575">
                <wp:simplePos x="0" y="0"/>
                <wp:positionH relativeFrom="column">
                  <wp:align>left</wp:align>
                </wp:positionH>
                <wp:positionV relativeFrom="line">
                  <wp:posOffset>635</wp:posOffset>
                </wp:positionV>
                <wp:extent cx="254000" cy="350520"/>
                <wp:effectExtent l="0" t="0" r="0" b="0"/>
                <wp:wrapSquare wrapText="right"/>
                <wp:docPr id="588" name="Frame4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17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 amount equal to the sum of Mr. Valane’s annual base salary and target annual cash bonus;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3980" distB="0" distL="254000" distR="0" simplePos="0" locked="0" layoutInCell="1" allowOverlap="1" relativeHeight="576">
                <wp:simplePos x="0" y="0"/>
                <wp:positionH relativeFrom="column">
                  <wp:align>left</wp:align>
                </wp:positionH>
                <wp:positionV relativeFrom="line">
                  <wp:align>top</wp:align>
                </wp:positionV>
                <wp:extent cx="254000" cy="350520"/>
                <wp:effectExtent l="0" t="0" r="0" b="0"/>
                <wp:wrapSquare wrapText="right"/>
                <wp:docPr id="589" name="Frame4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outstanding and unvested Valane Time Vesting LTIP Awards, if any, will fully vest and all outstanding Valane Performance Vesting LTIP Awards will remain outstanding and continue to vest based on the achievement of the performance metrics.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3980" distB="0" distL="254000" distR="0" simplePos="0" locked="0" layoutInCell="1" allowOverlap="1" relativeHeight="577">
                <wp:simplePos x="0" y="0"/>
                <wp:positionH relativeFrom="column">
                  <wp:align>left</wp:align>
                </wp:positionH>
                <wp:positionV relativeFrom="line">
                  <wp:align>top</wp:align>
                </wp:positionV>
                <wp:extent cx="254000" cy="350520"/>
                <wp:effectExtent l="0" t="0" r="0" b="0"/>
                <wp:wrapSquare wrapText="right"/>
                <wp:docPr id="590" name="Frame4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Non-Renewal of Employment Agreement</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Mr. Valane’s employment terminates due to the Company’s non-renewal of his employment agreement after the expiration of the initial term ending on December 31, 2028, or any subsequent one-year renewal period, the Company will pay and provide Mr. Valane, in addition to his previously accrued benefits and compensation,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8"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prorated portion of the target annual cash bonus, based upon the number of days elapsed during the applicable calendar year in which he was employed;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3980" distB="0" distL="254000" distR="0" simplePos="0" locked="0" layoutInCell="1" allowOverlap="1" relativeHeight="578">
                <wp:simplePos x="0" y="0"/>
                <wp:positionH relativeFrom="column">
                  <wp:align>left</wp:align>
                </wp:positionH>
                <wp:positionV relativeFrom="line">
                  <wp:align>top</wp:align>
                </wp:positionV>
                <wp:extent cx="254000" cy="350520"/>
                <wp:effectExtent l="0" t="0" r="0" b="0"/>
                <wp:wrapSquare wrapText="right"/>
                <wp:docPr id="591" name="Frame4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outstanding and unvested Valane Time Vesting LTIP Awards, if any, will fully vest and all outstanding Valane Performance Vesting LTIP Awards will remain outstanding and continue to vest based on the achievement of the performance metrics.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3980" distB="0" distL="254000" distR="0" simplePos="0" locked="0" layoutInCell="1" allowOverlap="1" relativeHeight="579">
                <wp:simplePos x="0" y="0"/>
                <wp:positionH relativeFrom="column">
                  <wp:align>left</wp:align>
                </wp:positionH>
                <wp:positionV relativeFrom="line">
                  <wp:align>top</wp:align>
                </wp:positionV>
                <wp:extent cx="254000" cy="350520"/>
                <wp:effectExtent l="0" t="0" r="0" b="0"/>
                <wp:wrapSquare wrapText="right"/>
                <wp:docPr id="592" name="Frame4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Death or Disability</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Mr. Valane’s employment terminates by reason of his death or as a result of disability, the Company will pay and provide Mr. Valane (or his estate), in addition to his previously accrued benefits and compensation,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6"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prorated portion of the target annual cash bonus, based upon the number of days elapsed in the calendar year that Mr. Valane was employed;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2710" distB="0" distL="254000" distR="0" simplePos="0" locked="0" layoutInCell="1" allowOverlap="1" relativeHeight="580">
                <wp:simplePos x="0" y="0"/>
                <wp:positionH relativeFrom="column">
                  <wp:align>left</wp:align>
                </wp:positionH>
                <wp:positionV relativeFrom="line">
                  <wp:align>top</wp:align>
                </wp:positionV>
                <wp:extent cx="254000" cy="350520"/>
                <wp:effectExtent l="0" t="0" r="0" b="0"/>
                <wp:wrapSquare wrapText="right"/>
                <wp:docPr id="593" name="Frame4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outstanding and unvested Valane Time Vesting LTIP Awards, if any, will fully vest and all outstanding Valane Performance Vesting LTIP Awards will remain outstanding and continue to vest based on the achievement of the performance metrics.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2710" distB="0" distL="254000" distR="0" simplePos="0" locked="0" layoutInCell="1" allowOverlap="1" relativeHeight="581">
                <wp:simplePos x="0" y="0"/>
                <wp:positionH relativeFrom="column">
                  <wp:align>left</wp:align>
                </wp:positionH>
                <wp:positionV relativeFrom="line">
                  <wp:align>top</wp:align>
                </wp:positionV>
                <wp:extent cx="254000" cy="350520"/>
                <wp:effectExtent l="0" t="0" r="0" b="0"/>
                <wp:wrapSquare wrapText="right"/>
                <wp:docPr id="594" name="Frame4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Change in Control Termination</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Mr. Valane terminates his employment for “good reason” or is terminated by the Company without “cause,” in either case, in connection with, or within 24 months following, a Transaction or change in control of the Company, the Company will pay and provide Mr. Valane, in addition to his previously accrued benefits and compensation,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6"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prorated portion of the target annual cash bonus based upon the number of days elapsed during the applicable calendar year in which he was employed;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2710" distB="0" distL="254000" distR="0" simplePos="0" locked="0" layoutInCell="1" allowOverlap="1" relativeHeight="582">
                <wp:simplePos x="0" y="0"/>
                <wp:positionH relativeFrom="column">
                  <wp:align>left</wp:align>
                </wp:positionH>
                <wp:positionV relativeFrom="line">
                  <wp:align>top</wp:align>
                </wp:positionV>
                <wp:extent cx="254000" cy="350520"/>
                <wp:effectExtent l="0" t="0" r="0" b="0"/>
                <wp:wrapSquare wrapText="right"/>
                <wp:docPr id="595" name="Frame4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 amount equal to two times the sum of Mr. Valane’s annual base salary and the target annual cash bonus;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2710" distB="0" distL="254000" distR="0" simplePos="0" locked="0" layoutInCell="1" allowOverlap="1" relativeHeight="583">
                <wp:simplePos x="0" y="0"/>
                <wp:positionH relativeFrom="column">
                  <wp:align>left</wp:align>
                </wp:positionH>
                <wp:positionV relativeFrom="line">
                  <wp:align>top</wp:align>
                </wp:positionV>
                <wp:extent cx="254000" cy="350520"/>
                <wp:effectExtent l="0" t="0" r="0" b="0"/>
                <wp:wrapSquare wrapText="right"/>
                <wp:docPr id="596" name="Frame4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17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outstanding and unvested Valane Time Vesting LTIP Awards, if any, will fully and immediately vest and all outstanding Valane Performance Vesting LTIP Awards will vest at the greater of (a) 100% of the number of shares of common stock granted pursuant to each such award and (b) the performance level achieved as of the termination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2710" distB="0" distL="254000" distR="0" simplePos="0" locked="0" layoutInCell="1" allowOverlap="1" relativeHeight="584">
                <wp:simplePos x="0" y="0"/>
                <wp:positionH relativeFrom="column">
                  <wp:align>left</wp:align>
                </wp:positionH>
                <wp:positionV relativeFrom="line">
                  <wp:align>top</wp:align>
                </wp:positionV>
                <wp:extent cx="254000" cy="350520"/>
                <wp:effectExtent l="0" t="0" r="0" b="0"/>
                <wp:wrapSquare wrapText="right"/>
                <wp:docPr id="597" name="Frame4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Receipt of the severance payments and benefits set forth above is contingent upon Mr. Valane executing and not revoking a release of claims in favor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2E2925"/>
          <w:sz w:val="20"/>
        </w:rPr>
      </w:pPr>
      <w:r>
        <w:rPr>
          <w:rFonts w:ascii="Arial;Helvetica;sans-serif" w:hAnsi="Arial;Helvetica;sans-serif"/>
          <w:b/>
          <w:i w:val="false"/>
          <w:caps/>
          <w:color w:val="2E2925"/>
          <w:spacing w:val="-3"/>
          <w:sz w:val="20"/>
        </w:rPr>
        <w:t>2025 AMENDMENTS TO NEO EMPLOYMENT AGREEMENTS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On April 1, 2025, the Company entered into amendments to the employment agreements of Messrs. O’Reilly, Olea, and Valane (collectively, the “April 2025 Employment Agreement Amendments”). The April 2025 Employment Agreement Amendments modified the respective employment agreements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80 \ 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1" w:name="tDOJO"/>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Executive Compensation</w:t>
      </w:r>
      <w:r>
        <w:rPr>
          <w:rFonts w:ascii="Arial;Helvetica;sans-serif" w:hAnsi="Arial;Helvetica;sans-serif"/>
          <w:b/>
          <w:i w:val="false"/>
          <w:caps w:val="false"/>
          <w:smallCaps w:val="false"/>
          <w:color w:val="7F7F7F"/>
          <w:sz w:val="22"/>
        </w:rPr>
        <w:t>​</w:t>
      </w:r>
    </w:p>
    <w:p>
      <w:pPr>
        <w:pStyle w:val="TextBody"/>
        <w:bidi w:val="0"/>
        <w:spacing w:lineRule="atLeast" w:line="240" w:before="120" w:after="283"/>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revised the definition of “Good Reason” in each Executive’s employment agreement such that, among other things, “Good Reason” shall contemplate certain organizational changes, should they occur;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585">
                <wp:simplePos x="0" y="0"/>
                <wp:positionH relativeFrom="column">
                  <wp:align>left</wp:align>
                </wp:positionH>
                <wp:positionV relativeFrom="line">
                  <wp:posOffset>635</wp:posOffset>
                </wp:positionV>
                <wp:extent cx="228600" cy="350520"/>
                <wp:effectExtent l="0" t="0" r="0" b="0"/>
                <wp:wrapSquare wrapText="right"/>
                <wp:docPr id="598" name="Frame46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added the term “Transaction” to each Executive’s employment agreement, which definition includes any transaction or event (or series of transactions and/or events) that results in any person having beneficial ownership, directly or indirectly, of capital stock representing forty percent (40%) or more of the equity of the Company following such transaction or event, or that otherwise significantly affects the ownership or control of the securities (or all or substantially all of the assets) of the Company and such Transaction does not constitute a Change in Control under the respective Employment Agreement or any other transaction or event that the Board determines constitutes a Transaction within the meaning of the definition (all terms as defined in the respective Amendment or Employment Agreement, as the case may be);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1130" distB="0" distL="254000" distR="0" simplePos="0" locked="0" layoutInCell="1" allowOverlap="1" relativeHeight="586">
                <wp:simplePos x="0" y="0"/>
                <wp:positionH relativeFrom="column">
                  <wp:align>left</wp:align>
                </wp:positionH>
                <wp:positionV relativeFrom="line">
                  <wp:align>top</wp:align>
                </wp:positionV>
                <wp:extent cx="228600" cy="350520"/>
                <wp:effectExtent l="0" t="0" r="0" b="0"/>
                <wp:wrapSquare wrapText="right"/>
                <wp:docPr id="599" name="Frame47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provided for certain compensation and benefits to each Executive in the event of the termination of their respective employment agreements within twenty-four (24) months following a Transaction;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1130" distB="0" distL="254000" distR="0" simplePos="0" locked="0" layoutInCell="1" allowOverlap="1" relativeHeight="587">
                <wp:simplePos x="0" y="0"/>
                <wp:positionH relativeFrom="column">
                  <wp:align>left</wp:align>
                </wp:positionH>
                <wp:positionV relativeFrom="line">
                  <wp:align>top</wp:align>
                </wp:positionV>
                <wp:extent cx="228600" cy="350520"/>
                <wp:effectExtent l="0" t="0" r="0" b="0"/>
                <wp:wrapSquare wrapText="right"/>
                <wp:docPr id="600" name="Frame47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extended the term of each of Mr. O’Reilly’s and Mr. Olea’s employment agreements until December 31, 2028, to match the end of the existing term of Mr. Valane’s employment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1130" distB="0" distL="254000" distR="0" simplePos="0" locked="0" layoutInCell="1" allowOverlap="1" relativeHeight="588">
                <wp:simplePos x="0" y="0"/>
                <wp:positionH relativeFrom="column">
                  <wp:align>left</wp:align>
                </wp:positionH>
                <wp:positionV relativeFrom="line">
                  <wp:align>top</wp:align>
                </wp:positionV>
                <wp:extent cx="228600" cy="350520"/>
                <wp:effectExtent l="0" t="0" r="0" b="0"/>
                <wp:wrapSquare wrapText="right"/>
                <wp:docPr id="601" name="Frame47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increase Mr. O’Reilly’s annual target Long-Term Incentive Plan (LTIP) award amount to $4,500,000, as previously approved by the compensation committee of the Company’s board of directors as part of its ordinary course annual compensation review process;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1130" distB="0" distL="254000" distR="0" simplePos="0" locked="0" layoutInCell="1" allowOverlap="1" relativeHeight="589">
                <wp:simplePos x="0" y="0"/>
                <wp:positionH relativeFrom="column">
                  <wp:align>left</wp:align>
                </wp:positionH>
                <wp:positionV relativeFrom="line">
                  <wp:align>top</wp:align>
                </wp:positionV>
                <wp:extent cx="228600" cy="350520"/>
                <wp:effectExtent l="0" t="0" r="0" b="0"/>
                <wp:wrapSquare wrapText="right"/>
                <wp:docPr id="602" name="Frame47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66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make other related changes to the employment agreement of each Executive.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1130" distB="0" distL="254000" distR="0" simplePos="0" locked="0" layoutInCell="1" allowOverlap="1" relativeHeight="590">
                <wp:simplePos x="0" y="0"/>
                <wp:positionH relativeFrom="column">
                  <wp:align>left</wp:align>
                </wp:positionH>
                <wp:positionV relativeFrom="line">
                  <wp:align>top</wp:align>
                </wp:positionV>
                <wp:extent cx="228600" cy="350520"/>
                <wp:effectExtent l="0" t="0" r="0" b="0"/>
                <wp:wrapSquare wrapText="right"/>
                <wp:docPr id="603" name="Frame47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2E2925"/>
          <w:sz w:val="20"/>
        </w:rPr>
      </w:pPr>
      <w:r>
        <w:rPr>
          <w:rFonts w:ascii="Arial;Helvetica;sans-serif" w:hAnsi="Arial;Helvetica;sans-serif"/>
          <w:b/>
          <w:i w:val="false"/>
          <w:caps/>
          <w:color w:val="2E2925"/>
          <w:spacing w:val="-3"/>
          <w:sz w:val="20"/>
        </w:rPr>
        <w:t>2026 AMENDMENTS TO NEO EMPLOYMENT AGREEMENTS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Effective January 1, 2026, the Company entered into amendments to the employment agreements of Messrs. O’Reilly, Olea, and Valane (collectively, the “January 2026 Employment Agreement Amendments”). The January 2026 Employment Agreement Amendments modified the respective employment agreements as follows (in each case as approved by the compensation committee of the Company’s board of directors as part of its ordinary course annual compensation review process):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8"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increase Mr. O’Reilly’s (i) annual target Long-Term Incentive Plan (LTIP) award amount to $5,500,000 and (ii) cash bonus target to $2,500,000;</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1130" distB="0" distL="254000" distR="0" simplePos="0" locked="0" layoutInCell="1" allowOverlap="1" relativeHeight="591">
                <wp:simplePos x="0" y="0"/>
                <wp:positionH relativeFrom="column">
                  <wp:align>left</wp:align>
                </wp:positionH>
                <wp:positionV relativeFrom="line">
                  <wp:align>top</wp:align>
                </wp:positionV>
                <wp:extent cx="228600" cy="350520"/>
                <wp:effectExtent l="0" t="0" r="0" b="0"/>
                <wp:wrapSquare wrapText="right"/>
                <wp:docPr id="604" name="Frame47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66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increase Mr. Olea’s annual target Long-Term Incentive Plan (LTIP) award amount to $1,975,000;</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1130" distB="0" distL="254000" distR="0" simplePos="0" locked="0" layoutInCell="1" allowOverlap="1" relativeHeight="592">
                <wp:simplePos x="0" y="0"/>
                <wp:positionH relativeFrom="column">
                  <wp:align>left</wp:align>
                </wp:positionH>
                <wp:positionV relativeFrom="line">
                  <wp:align>top</wp:align>
                </wp:positionV>
                <wp:extent cx="228600" cy="350520"/>
                <wp:effectExtent l="0" t="0" r="0" b="0"/>
                <wp:wrapSquare wrapText="right"/>
                <wp:docPr id="605" name="Frame47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increase Mr. Valane’s (i) annual target Long-Term Incentive Plan (LTIP) award amount to $1,000,000 and (ii) cash bonus target to $700,000;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1130" distB="0" distL="254000" distR="0" simplePos="0" locked="0" layoutInCell="1" allowOverlap="1" relativeHeight="593">
                <wp:simplePos x="0" y="0"/>
                <wp:positionH relativeFrom="column">
                  <wp:align>left</wp:align>
                </wp:positionH>
                <wp:positionV relativeFrom="line">
                  <wp:align>top</wp:align>
                </wp:positionV>
                <wp:extent cx="228600" cy="350520"/>
                <wp:effectExtent l="0" t="0" r="0" b="0"/>
                <wp:wrapSquare wrapText="right"/>
                <wp:docPr id="606" name="Frame47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66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provide that, beginning in 2026, twenty percent (20%) of each annual target Long-Term Incentive Plan (LTIP) award granted to Messrs. O’Reilly, Olea and Valane will provide for pro-rata vesting over three years and the other eighty percent (80%) will provide for performance-based vesting.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1130" distB="0" distL="254000" distR="0" simplePos="0" locked="0" layoutInCell="1" allowOverlap="1" relativeHeight="594">
                <wp:simplePos x="0" y="0"/>
                <wp:positionH relativeFrom="column">
                  <wp:align>left</wp:align>
                </wp:positionH>
                <wp:positionV relativeFrom="line">
                  <wp:align>top</wp:align>
                </wp:positionV>
                <wp:extent cx="228600" cy="350520"/>
                <wp:effectExtent l="0" t="0" r="0" b="0"/>
                <wp:wrapSquare wrapText="right"/>
                <wp:docPr id="607" name="Frame47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340" w:before="240" w:after="283"/>
        <w:jc w:val="left"/>
        <w:rPr>
          <w:rFonts w:ascii="Arial;Helvetica;sans-serif" w:hAnsi="Arial;Helvetica;sans-serif"/>
          <w:b/>
          <w:i w:val="false"/>
          <w:caps w:val="false"/>
          <w:smallCaps w:val="false"/>
          <w:color w:val="7F7F7F"/>
          <w:sz w:val="30"/>
        </w:rPr>
      </w:pPr>
      <w:r>
        <w:rPr>
          <w:rFonts w:ascii="Arial;Helvetica;sans-serif" w:hAnsi="Arial;Helvetica;sans-serif"/>
          <w:b/>
          <w:i w:val="false"/>
          <w:caps w:val="false"/>
          <w:smallCaps w:val="false"/>
          <w:color w:val="7F7F7F"/>
          <w:spacing w:val="-1"/>
          <w:sz w:val="30"/>
        </w:rPr>
        <w:t>Douglas Johnstone</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Johnstone has served in his role as President of HHC Hawaii’s region since January 2020, and as head of national condominium development since July 2025. Mr. Johnstone is employed on an at-will basis. Mr. Johnstone is entitled to (i) an annual base salary of $575,000 (for 2025) and (ii) an annual discretionary cash bonus at a target of 100% of his base salary, subject to the applicable performance goals being achieved.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Additionally, Mr. Johnstone is eligible to receive an annual long-term equity award with an aggregate target grant value equal to 100% of his base salary (50% time-based vesting and 50% performance-based vesting) under the Company’s 2025 Equity Incentive Plan (or a successor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Johnstone’s base salary increased to $600,000, effective January 1,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/ 81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ANDA"/>
      <w:bookmarkEnd w:id="72"/>
      <w:r>
        <w:rPr>
          <w:rFonts w:ascii="calibri;arial;sans-serif" w:hAnsi="calibri;arial;sans-serif"/>
          <w:b w:val="false"/>
          <w:i w:val="false"/>
          <w:caps w:val="false"/>
          <w:smallCaps w:val="false"/>
          <w:color w:val="000000"/>
          <w:sz w:val="16"/>
        </w:rPr>
        <w:t>​</w:t>
      </w:r>
      <w:bookmarkStart w:id="73" w:name="tLJC"/>
      <w:bookmarkEnd w:id="73"/>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Executive Compensation</w:t>
      </w:r>
      <w:r>
        <w:rPr>
          <w:rFonts w:ascii="Arial;Helvetica;sans-serif" w:hAnsi="Arial;Helvetica;sans-serif"/>
          <w:b/>
          <w:i w:val="false"/>
          <w:caps w:val="false"/>
          <w:smallCaps w:val="false"/>
          <w:color w:val="7F7F7F"/>
          <w:spacing w:val="-3"/>
          <w:sz w:val="22"/>
        </w:rPr>
        <w:t xml:space="preserve"> </w:t>
      </w:r>
    </w:p>
    <w:p>
      <w:pPr>
        <w:pStyle w:val="TextBody"/>
        <w:bidi w:val="0"/>
        <w:spacing w:lineRule="atLeast" w:line="340" w:before="120" w:after="3160"/>
        <w:ind w:left="901" w:right="0" w:hanging="0"/>
        <w:jc w:val="left"/>
        <w:rPr>
          <w:rFonts w:ascii="Arial;Helvetica;sans-serif" w:hAnsi="Arial;Helvetica;sans-serif"/>
          <w:b/>
          <w:i w:val="false"/>
          <w:caps w:val="false"/>
          <w:smallCaps w:val="false"/>
          <w:color w:val="7F7F7F"/>
          <w:sz w:val="30"/>
        </w:rPr>
      </w:pPr>
      <w:r>
        <w:rPr>
          <w:rFonts w:ascii="Arial;Helvetica;sans-serif" w:hAnsi="Arial;Helvetica;sans-serif"/>
          <w:b/>
          <w:i w:val="false"/>
          <w:caps w:val="false"/>
          <w:smallCaps w:val="false"/>
          <w:color w:val="7F7F7F"/>
          <w:spacing w:val="-1"/>
          <w:sz w:val="30"/>
        </w:rPr>
        <w:t>Andrew Davis</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Davis has served as Chief Operating Officer of Howard Hughes Communities since February 2026. Previously, Mr. Davis served as HHC’s Executive Vice President, Investments and Operations. Mr. Davis is employed on an at-will basis. Mr. Davis is entitled to (i) an annual base salary of $500,000 (for 2025) and (ii) an annual discretionary cash bonus at a target of 125% of his base salary, subject to the applicable performance goals being achieved.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Additionally, Mr. Davis is eligible to receive an annual long-term equity award with an aggregate target grant value equal to $1,000,000 (20% time-based vesting and 80% performance-based vesting) under the Company’s 2025 Equity Incentive Plan (or a successor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Davis’s base salary increased to $550,000, effective January 1,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40" w:before="240" w:after="283"/>
        <w:jc w:val="left"/>
        <w:rPr>
          <w:rFonts w:ascii="Arial;Helvetica;sans-serif" w:hAnsi="Arial;Helvetica;sans-serif"/>
          <w:b/>
          <w:i w:val="false"/>
          <w:caps w:val="false"/>
          <w:smallCaps w:val="false"/>
          <w:color w:val="7F7F7F"/>
          <w:sz w:val="30"/>
        </w:rPr>
      </w:pPr>
      <w:r>
        <w:rPr>
          <w:rFonts w:ascii="Arial;Helvetica;sans-serif" w:hAnsi="Arial;Helvetica;sans-serif"/>
          <w:b/>
          <w:i w:val="false"/>
          <w:caps w:val="false"/>
          <w:smallCaps w:val="false"/>
          <w:color w:val="7F7F7F"/>
          <w:spacing w:val="-1"/>
          <w:sz w:val="30"/>
        </w:rPr>
        <w:t>L. Jay Cross</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previously disclosed, the Company and Mr. Cross mutually agreed not to renew his employment agreement upon the expiration of its current term on December 1, 2025, which constitutes a non-renewal by the Company under that agreement. Mr. Cross subsequently retired and ceased to be an executive officer of the Company, effective September 16, 2025. In connection with his retirement, on June 8, 2025, the Company and Mr. Cross entered into a separation and release agreement (the “Cross Separation Agreement”). Under the Cross Separation Agreement, subject to his execution and non-revocation of a release of claims in favor of the Company and his continued compliance with certain customary covenants, Mr. Cross became entitled to receive: (i) a cash payment equal to his base salary through December 1, 2025 (which totaled $317,308); (ii) a bonus payment for his service during 2025 of $1,950,000; and (iii) a discretionary cash payment of $2,300,000. In addition, 29,980 time-based restricted stock awards and options to purchase 17,208 shares of the Company’s common stock held by Mr. Cross vested in full, and 41,926 performance stock awards held by Mr. Cross remained outstanding and will continue to vest in accordance with their existing terms as if he had remained employed. The Company also agreed to reimburse Mr. Cross for the cost of COBRA coverage for continued participation in the Company’s group health plan through December 31,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2E2925"/>
          <w:sz w:val="20"/>
        </w:rPr>
      </w:pPr>
      <w:r>
        <w:rPr>
          <w:rFonts w:ascii="Arial;Helvetica;sans-serif" w:hAnsi="Arial;Helvetica;sans-serif"/>
          <w:b/>
          <w:i w:val="false"/>
          <w:caps/>
          <w:color w:val="2E2925"/>
          <w:spacing w:val="-3"/>
          <w:sz w:val="20"/>
        </w:rPr>
        <w:t>SEPARATION BENEFITS PLAN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Mr. Johnstone and Mr. Davis are each a participant in our Separation Benefits Plan. In connection with an involuntary termination by the Company, subject to the execution and non-revocation of a release of claims in favor of the Company, Mr. Johnstone and Mr. Davis are each entitled to a lump sum payment equal to 12 weeks of continued base salary payments plus an additional four weeks of continued base salary payments for each year of employment with the Company; provided that the maximum benefit paid under the Separation Benefits Plan may not exceed an amount equal to 52 weeks of base salary payments. The maximum severance payment under this plan was $307,000 in 2025. </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82 \ 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4" w:name="tEAD"/>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Executive Compensation</w:t>
      </w:r>
      <w:r>
        <w:rPr>
          <w:rFonts w:ascii="Arial;Helvetica;sans-serif" w:hAnsi="Arial;Helvetica;sans-serif"/>
          <w:b/>
          <w:i w:val="false"/>
          <w:caps w:val="false"/>
          <w:smallCaps w:val="false"/>
          <w:color w:val="7F7F7F"/>
          <w:sz w:val="22"/>
        </w:rPr>
        <w:t>​</w:t>
      </w:r>
    </w:p>
    <w:p>
      <w:pPr>
        <w:pStyle w:val="TextBody"/>
        <w:bidi w:val="0"/>
        <w:spacing w:lineRule="atLeast" w:line="340" w:before="120" w:after="283"/>
        <w:ind w:left="901" w:right="0" w:hanging="0"/>
        <w:jc w:val="left"/>
        <w:rPr>
          <w:rFonts w:ascii="Arial;Helvetica;sans-serif" w:hAnsi="Arial;Helvetica;sans-serif"/>
          <w:b/>
          <w:i w:val="false"/>
          <w:caps w:val="false"/>
          <w:smallCaps w:val="false"/>
          <w:color w:val="7F7F7F"/>
          <w:sz w:val="30"/>
        </w:rPr>
      </w:pPr>
      <w:r>
        <w:rPr>
          <w:rFonts w:ascii="Arial;Helvetica;sans-serif" w:hAnsi="Arial;Helvetica;sans-serif"/>
          <w:b/>
          <w:i w:val="false"/>
          <w:caps w:val="false"/>
          <w:smallCaps w:val="false"/>
          <w:color w:val="7F7F7F"/>
          <w:spacing w:val="-1"/>
          <w:sz w:val="30"/>
        </w:rPr>
        <w:t>Employment Agreements</w:t>
      </w:r>
      <w:r>
        <w:rPr>
          <w:rFonts w:ascii="Arial;Helvetica;sans-serif" w:hAnsi="Arial;Helvetica;sans-serif"/>
          <w:b/>
          <w:i w:val="false"/>
          <w:caps w:val="false"/>
          <w:smallCaps w:val="false"/>
          <w:color w:val="7F7F7F"/>
          <w:spacing w:val="-4"/>
          <w:sz w:val="30"/>
        </w:rPr>
        <w:t> – </w:t>
      </w:r>
      <w:r>
        <w:rPr>
          <w:rFonts w:ascii="Arial;Helvetica;sans-serif" w:hAnsi="Arial;Helvetica;sans-serif"/>
          <w:b/>
          <w:i w:val="false"/>
          <w:caps w:val="false"/>
          <w:smallCaps w:val="false"/>
          <w:color w:val="7F7F7F"/>
          <w:spacing w:val="-1"/>
          <w:sz w:val="30"/>
        </w:rPr>
        <w:t>Definitions</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defined terms generally apply to the employment agreements of Messrs. O’Reilly, Olea, and Valane.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6" w:after="0"/>
        <w:ind w:left="1661" w:right="0" w:hanging="0"/>
        <w:jc w:val="both"/>
        <w:rPr>
          <w:caps w:val="false"/>
          <w:smallCaps w:val="false"/>
          <w:color w:val="000000"/>
        </w:rPr>
      </w:pPr>
      <w:r>
        <w:rPr>
          <w:caps w:val="false"/>
          <w:smallCaps w:val="false"/>
          <w:color w:val="000000"/>
          <w:spacing w:val="0"/>
        </w:rPr>
        <w:t>“</w:t>
      </w:r>
      <w:r>
        <w:rPr>
          <w:rFonts w:ascii="Arial;Helvetica;sans-serif" w:hAnsi="Arial;Helvetica;sans-serif"/>
          <w:b/>
          <w:i w:val="false"/>
          <w:caps w:val="false"/>
          <w:smallCaps w:val="false"/>
          <w:color w:val="000000"/>
          <w:spacing w:val="0"/>
          <w:sz w:val="20"/>
        </w:rPr>
        <w:t>Cause”</w:t>
      </w:r>
      <w:r>
        <w:rPr>
          <w:rFonts w:ascii="Arial;Helvetica;sans-serif" w:hAnsi="Arial;Helvetica;sans-serif"/>
          <w:b w:val="false"/>
          <w:i w:val="false"/>
          <w:caps w:val="false"/>
          <w:smallCaps w:val="false"/>
          <w:color w:val="000000"/>
          <w:spacing w:val="-2"/>
          <w:sz w:val="20"/>
        </w:rPr>
        <w:t xml:space="preserve"> generally means, as determined in good faith by the board of directors, and where the Executive and the Executive’s counsel had an opportunity (on at least 15 days’ prior notice) to be heard before the board of directors, the Executive’s: (i) conviction, plea of guilty or no contest to any felony; (ii) gross negligence or willful misconduct in the performance of his duties; (iii) drug addiction or habitual intoxication; (iv) commission of fraud, embezzlement, misappropriation of funds, breach of fiduciary duty, material violation of law, or a material act of dishonesty against the Company, in each case that the board of directors determines was willful; (v) material and continued breach of the employment agreement, after notice for substantial performance is delivered by the Company in writing that identifies in reasonable detail the manner in which the Company believes the Executive is in breach of this employment agreement; (vi) willful material breach of Company policy or code of conduct; or (vii) willful and continued failure to substantially perform the Executive’s duties under the employment agreement (other than such failure resulting from the Executive’s incapacity due to physical or mental illness), in each case, subject to certain cure periods by the Executive.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6210" distB="0" distL="254000" distR="0" simplePos="0" locked="0" layoutInCell="1" allowOverlap="1" relativeHeight="595">
                <wp:simplePos x="0" y="0"/>
                <wp:positionH relativeFrom="column">
                  <wp:align>left</wp:align>
                </wp:positionH>
                <wp:positionV relativeFrom="line">
                  <wp:align>top</wp:align>
                </wp:positionV>
                <wp:extent cx="228600" cy="350520"/>
                <wp:effectExtent l="0" t="0" r="0" b="0"/>
                <wp:wrapSquare wrapText="right"/>
                <wp:docPr id="608" name="Frame47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3pt;mso-wrap-distance-bottom:0pt;margin-top:12.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46" w:after="0"/>
        <w:ind w:left="1661" w:right="0" w:hanging="0"/>
        <w:jc w:val="both"/>
        <w:rPr>
          <w:caps w:val="false"/>
          <w:smallCaps w:val="false"/>
          <w:color w:val="000000"/>
        </w:rPr>
      </w:pPr>
      <w:r>
        <w:rPr>
          <w:caps w:val="false"/>
          <w:smallCaps w:val="false"/>
          <w:color w:val="000000"/>
          <w:spacing w:val="0"/>
        </w:rPr>
        <w:t>“</w:t>
      </w:r>
      <w:r>
        <w:rPr>
          <w:rFonts w:ascii="Arial;Helvetica;sans-serif" w:hAnsi="Arial;Helvetica;sans-serif"/>
          <w:b/>
          <w:i w:val="false"/>
          <w:caps w:val="false"/>
          <w:smallCaps w:val="false"/>
          <w:color w:val="000000"/>
          <w:spacing w:val="0"/>
          <w:sz w:val="20"/>
        </w:rPr>
        <w:t>Change in Control”</w:t>
      </w:r>
      <w:r>
        <w:rPr>
          <w:rFonts w:ascii="Arial;Helvetica;sans-serif" w:hAnsi="Arial;Helvetica;sans-serif"/>
          <w:b w:val="false"/>
          <w:i w:val="false"/>
          <w:caps w:val="false"/>
          <w:smallCaps w:val="false"/>
          <w:color w:val="000000"/>
          <w:spacing w:val="-2"/>
          <w:sz w:val="20"/>
        </w:rPr>
        <w:t xml:space="preserve"> generally means the occurrence of any of the following events: (i) any consolidation, amalgamation, or merger of the Company with or into any other person, or any other corporate reorganization, business combination, transaction or transfer of securities of the Company by its stockholders, or a series of transactions (including the acquisition of capital stock of the Company), whether or not the Company is a party thereto, in which the stockholders of the Company immediately prior to such consolidation, merger, reorganization, business combination or transaction, collectively have beneficial ownership, directly or indirectly, of capital stock representing directly, or indirectly through one or more entities, less than fifty percent (50%) of the equity (measured by economic value or voting power (by contract, share ownership or otherwise)) of the Company or other surviving entity immediately after such consolidation, merger, reorganization, business combination or transaction; (ii) the sale or disposition, in one transaction or a series of related transactions, of all or substantially all of the assets of the Company to any person; (iii) during any period of twelve consecutive months, individuals who as of the beginning of such period constituted the entire Board (together with any new directors whose election by such Board or nomination for election by the Company’s stockholders was approved by a vote of at least two-thirds of the directors of the Company, then still in office, who were directors at the beginning of the period or whose election or nomination for election was previously so approved) cease for any reason to constitute a majority thereof; or (iv) approval by the stockholders of the Company of a complete liquidation or dissolution of the Company; provided, however, that notwithstanding the foregoing, any transaction with Pershing Square Capital Management, L.P. or any of its Affiliates shall not be deemed to be a Change in Control, unless otherwise determined by the Board.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6210" distB="0" distL="254000" distR="0" simplePos="0" locked="0" layoutInCell="1" allowOverlap="1" relativeHeight="596">
                <wp:simplePos x="0" y="0"/>
                <wp:positionH relativeFrom="column">
                  <wp:align>left</wp:align>
                </wp:positionH>
                <wp:positionV relativeFrom="line">
                  <wp:align>top</wp:align>
                </wp:positionV>
                <wp:extent cx="228600" cy="350520"/>
                <wp:effectExtent l="0" t="0" r="0" b="0"/>
                <wp:wrapSquare wrapText="right"/>
                <wp:docPr id="609" name="Frame48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3pt;mso-wrap-distance-bottom:0pt;margin-top:12.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661" w:right="0" w:hanging="0"/>
        <w:jc w:val="both"/>
        <w:rPr>
          <w:caps w:val="false"/>
          <w:smallCaps w:val="false"/>
          <w:color w:val="000000"/>
        </w:rPr>
      </w:pPr>
      <w:r>
        <w:rPr>
          <w:caps w:val="false"/>
          <w:smallCaps w:val="false"/>
          <w:color w:val="000000"/>
          <w:spacing w:val="0"/>
        </w:rPr>
        <w:t>“</w:t>
      </w:r>
      <w:r>
        <w:rPr>
          <w:rFonts w:ascii="Arial;Helvetica;sans-serif" w:hAnsi="Arial;Helvetica;sans-serif"/>
          <w:b/>
          <w:i w:val="false"/>
          <w:caps w:val="false"/>
          <w:smallCaps w:val="false"/>
          <w:color w:val="000000"/>
          <w:spacing w:val="0"/>
          <w:sz w:val="20"/>
        </w:rPr>
        <w:t>Good Reason”</w:t>
      </w:r>
      <w:r>
        <w:rPr>
          <w:rFonts w:ascii="Arial;Helvetica;sans-serif" w:hAnsi="Arial;Helvetica;sans-serif"/>
          <w:b w:val="false"/>
          <w:i w:val="false"/>
          <w:caps w:val="false"/>
          <w:smallCaps w:val="false"/>
          <w:color w:val="000000"/>
          <w:spacing w:val="-2"/>
          <w:sz w:val="20"/>
        </w:rPr>
        <w:t xml:space="preserve"> generally means the occurrence of any of the following events without the Executive’s written consent: (i) a material diminution in the Executive’s base compensation; (ii) a material diminution in the Executive’s authority, duties or responsibilities or change in the Executive’s reporting relationship; (iii) any other action or inaction that constitutes a material breach by the Company of the employment agreement; (iv) within twenty-four (24) months after the occurrence of a Change in Control or Transaction, the Executive ceases serving as an executive officer of the Company (or the Executive experiences a material diminution in the Executive’s authority, duties or responsibilities as an executive officer of the Company, including, without limitation, circumstances in which (1) the Executive is no longer serving as an executive officer of a company or other entity whose securities are listed or traded on a national securities exchange, or (2) the Executive continues to serve as an executive officer of the Company, but the Company is or becomes a direct or indirect subsidiary of a parent company or other entity (within the meaning of Rule 405 promulgated under the Securities Act of 1933, as amended)), in each case other than due to the Executive’s death or Permanent Disability or due to the Executive’s resignation or voluntary termination of the Executive’s employment without Good Reason; or (v) any requirement that the Executive relocate or maintain his Principal Location more than fifty (50) miles from Houston, Texas.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4940" distB="0" distL="254000" distR="0" simplePos="0" locked="0" layoutInCell="1" allowOverlap="1" relativeHeight="597">
                <wp:simplePos x="0" y="0"/>
                <wp:positionH relativeFrom="column">
                  <wp:align>left</wp:align>
                </wp:positionH>
                <wp:positionV relativeFrom="line">
                  <wp:align>top</wp:align>
                </wp:positionV>
                <wp:extent cx="228600" cy="350520"/>
                <wp:effectExtent l="0" t="0" r="0" b="0"/>
                <wp:wrapSquare wrapText="right"/>
                <wp:docPr id="610" name="Frame48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12.2pt;mso-wrap-distance-bottom:0pt;margin-top:12.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/ 83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OEAA"/>
      <w:bookmarkEnd w:id="75"/>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Executive Compensation</w:t>
      </w:r>
      <w:r>
        <w:rPr>
          <w:rFonts w:ascii="Arial;Helvetica;sans-serif" w:hAnsi="Arial;Helvetica;sans-serif"/>
          <w:b/>
          <w:i w:val="false"/>
          <w:caps w:val="false"/>
          <w:smallCaps w:val="false"/>
          <w:color w:val="7F7F7F"/>
          <w:spacing w:val="-3"/>
          <w:sz w:val="22"/>
        </w:rPr>
        <w:t xml:space="preserve"> </w:t>
      </w:r>
    </w:p>
    <w:p>
      <w:pPr>
        <w:pStyle w:val="TextBody"/>
        <w:bidi w:val="0"/>
        <w:spacing w:lineRule="atLeast" w:line="240" w:before="120" w:after="283"/>
        <w:ind w:left="1661" w:right="0" w:hanging="0"/>
        <w:jc w:val="both"/>
        <w:rPr>
          <w:caps w:val="false"/>
          <w:smallCaps w:val="false"/>
          <w:color w:val="000000"/>
        </w:rPr>
      </w:pPr>
      <w:r>
        <w:rPr>
          <w:caps w:val="false"/>
          <w:smallCaps w:val="false"/>
          <w:color w:val="000000"/>
          <w:spacing w:val="0"/>
        </w:rPr>
        <w:t>“</w:t>
      </w:r>
      <w:r>
        <w:rPr>
          <w:rFonts w:ascii="Arial;Helvetica;sans-serif" w:hAnsi="Arial;Helvetica;sans-serif"/>
          <w:b/>
          <w:i w:val="false"/>
          <w:caps w:val="false"/>
          <w:smallCaps w:val="false"/>
          <w:color w:val="000000"/>
          <w:spacing w:val="0"/>
          <w:sz w:val="20"/>
        </w:rPr>
        <w:t>Transaction”</w:t>
      </w:r>
      <w:r>
        <w:rPr>
          <w:rFonts w:ascii="Arial;Helvetica;sans-serif" w:hAnsi="Arial;Helvetica;sans-serif"/>
          <w:b w:val="false"/>
          <w:i w:val="false"/>
          <w:caps w:val="false"/>
          <w:smallCaps w:val="false"/>
          <w:color w:val="000000"/>
          <w:spacing w:val="-2"/>
          <w:sz w:val="20"/>
        </w:rPr>
        <w:t xml:space="preserve"> generally means (i) any transaction or event (or series of transactions and/or events) that results in any person having beneficial ownership, directly or indirectly, of capital stock representing forty percent (40%) or more of the equity (measured by economic value or voting power (by contract, share ownership or otherwise)) of the Company following such transaction or event, or that otherwise significantly affects the ownership or control of the securities (or all or substantially all of the assets) of the Company and such Transaction does not constitute a Change in Control under the Employment Agreement or (ii) any other transaction or event that the Board determines constitutes a Transaction within the meaning of this definition.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598">
                <wp:simplePos x="0" y="0"/>
                <wp:positionH relativeFrom="column">
                  <wp:align>left</wp:align>
                </wp:positionH>
                <wp:positionV relativeFrom="line">
                  <wp:posOffset>635</wp:posOffset>
                </wp:positionV>
                <wp:extent cx="228600" cy="350520"/>
                <wp:effectExtent l="0" t="0" r="0" b="0"/>
                <wp:wrapSquare wrapText="right"/>
                <wp:docPr id="611" name="Frame48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8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sz w:val="20"/>
                        </w:rPr>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340" w:before="320" w:after="283"/>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OUTSTANDING EQUITY AWARDS AT FISCAL YEAR-END</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following table provides information on the outstanding equity awards held by the NEOs at December 31, 2025.* </w:t>
      </w:r>
    </w:p>
    <w:tbl>
      <w:tblPr>
        <w:tblW w:w="12886" w:type="dxa"/>
        <w:jc w:val="left"/>
        <w:tblInd w:w="901" w:type="dxa"/>
        <w:tblLayout w:type="fixed"/>
        <w:tblCellMar>
          <w:top w:w="0" w:type="dxa"/>
          <w:left w:w="0" w:type="dxa"/>
          <w:bottom w:w="28" w:type="dxa"/>
          <w:right w:w="0" w:type="dxa"/>
        </w:tblCellMar>
      </w:tblPr>
      <w:tblGrid>
        <w:gridCol w:w="124"/>
        <w:gridCol w:w="1043"/>
        <w:gridCol w:w="109"/>
        <w:gridCol w:w="109"/>
        <w:gridCol w:w="128"/>
        <w:gridCol w:w="128"/>
        <w:gridCol w:w="904"/>
        <w:gridCol w:w="131"/>
        <w:gridCol w:w="109"/>
        <w:gridCol w:w="109"/>
        <w:gridCol w:w="286"/>
        <w:gridCol w:w="286"/>
        <w:gridCol w:w="595"/>
        <w:gridCol w:w="289"/>
        <w:gridCol w:w="109"/>
        <w:gridCol w:w="109"/>
        <w:gridCol w:w="109"/>
        <w:gridCol w:w="109"/>
        <w:gridCol w:w="646"/>
        <w:gridCol w:w="109"/>
        <w:gridCol w:w="109"/>
        <w:gridCol w:w="109"/>
        <w:gridCol w:w="109"/>
        <w:gridCol w:w="109"/>
        <w:gridCol w:w="769"/>
        <w:gridCol w:w="109"/>
        <w:gridCol w:w="109"/>
        <w:gridCol w:w="109"/>
        <w:gridCol w:w="109"/>
        <w:gridCol w:w="109"/>
        <w:gridCol w:w="796"/>
        <w:gridCol w:w="109"/>
        <w:gridCol w:w="109"/>
        <w:gridCol w:w="109"/>
        <w:gridCol w:w="109"/>
        <w:gridCol w:w="109"/>
        <w:gridCol w:w="1066"/>
        <w:gridCol w:w="109"/>
        <w:gridCol w:w="109"/>
        <w:gridCol w:w="109"/>
        <w:gridCol w:w="109"/>
        <w:gridCol w:w="109"/>
        <w:gridCol w:w="766"/>
        <w:gridCol w:w="109"/>
        <w:gridCol w:w="109"/>
        <w:gridCol w:w="109"/>
        <w:gridCol w:w="109"/>
        <w:gridCol w:w="109"/>
        <w:gridCol w:w="1068"/>
        <w:gridCol w:w="110"/>
        <w:gridCol w:w="154"/>
      </w:tblGrid>
      <w:tr>
        <w:trPr/>
        <w:tc>
          <w:tcPr>
            <w:tcW w:w="124" w:type="dxa"/>
            <w:tcBorders>
              <w:bottom w:val="single" w:sz="2" w:space="0" w:color="BAD8EA"/>
            </w:tcBorders>
            <w:shd w:fill="BAD8EA" w:val="clear"/>
            <w:vAlign w:val="center"/>
          </w:tcPr>
          <w:p>
            <w:pPr>
              <w:pStyle w:val="TableContents"/>
              <w:bidi w:val="0"/>
              <w:spacing w:before="0" w:after="283"/>
              <w:jc w:val="left"/>
              <w:rPr/>
            </w:pPr>
            <w:r>
              <w:rPr/>
              <w:t>​</w:t>
            </w:r>
          </w:p>
        </w:tc>
        <w:tc>
          <w:tcPr>
            <w:tcW w:w="1043" w:type="dxa"/>
            <w:tcBorders>
              <w:bottom w:val="single" w:sz="2" w:space="0" w:color="BAD8EA"/>
            </w:tcBorders>
            <w:shd w:fill="BAD8EA" w:val="clear"/>
            <w:vAlign w:val="center"/>
          </w:tcPr>
          <w:p>
            <w:pPr>
              <w:pStyle w:val="TableContents"/>
              <w:bidi w:val="0"/>
              <w:spacing w:before="0" w:after="283"/>
              <w:jc w:val="left"/>
              <w:rPr/>
            </w:pPr>
            <w:r>
              <w:rPr/>
              <w:t>​</w:t>
            </w:r>
          </w:p>
        </w:tc>
        <w:tc>
          <w:tcPr>
            <w:tcW w:w="109" w:type="dxa"/>
            <w:tcBorders>
              <w:bottom w:val="single" w:sz="2" w:space="0" w:color="BAD8EA"/>
            </w:tcBorders>
            <w:shd w:fill="BAD8EA" w:val="clear"/>
            <w:vAlign w:val="center"/>
          </w:tcPr>
          <w:p>
            <w:pPr>
              <w:pStyle w:val="TableContents"/>
              <w:bidi w:val="0"/>
              <w:spacing w:before="0" w:after="283"/>
              <w:jc w:val="left"/>
              <w:rPr/>
            </w:pPr>
            <w:r>
              <w:rPr/>
              <w:t>​</w:t>
            </w:r>
          </w:p>
        </w:tc>
        <w:tc>
          <w:tcPr>
            <w:tcW w:w="109" w:type="dxa"/>
            <w:tcBorders>
              <w:bottom w:val="single" w:sz="2" w:space="0" w:color="BAD8EA"/>
            </w:tcBorders>
            <w:shd w:fill="BAD8EA" w:val="clear"/>
            <w:vAlign w:val="center"/>
          </w:tcPr>
          <w:p>
            <w:pPr>
              <w:pStyle w:val="TableContents"/>
              <w:bidi w:val="0"/>
              <w:spacing w:before="0" w:after="283"/>
              <w:jc w:val="left"/>
              <w:rPr/>
            </w:pPr>
            <w:r>
              <w:rPr/>
              <w:t>​</w:t>
            </w:r>
          </w:p>
        </w:tc>
        <w:tc>
          <w:tcPr>
            <w:tcW w:w="5470" w:type="dxa"/>
            <w:gridSpan w:val="22"/>
            <w:tcBorders>
              <w:bottom w:val="single" w:sz="2" w:space="0" w:color="000000"/>
            </w:tcBorders>
            <w:shd w:fill="BAD8EA" w:val="clear"/>
            <w:vAlign w:val="center"/>
          </w:tcPr>
          <w:p>
            <w:pPr>
              <w:pStyle w:val="TableContents"/>
              <w:bidi w:val="0"/>
              <w:spacing w:before="0" w:after="0"/>
              <w:jc w:val="center"/>
              <w:rPr>
                <w:spacing w:val="0"/>
              </w:rPr>
            </w:pPr>
            <w:r>
              <w:rPr>
                <w:spacing w:val="0"/>
              </w:rPr>
              <w:t xml:space="preserve">Option Awards </w:t>
            </w:r>
          </w:p>
        </w:tc>
        <w:tc>
          <w:tcPr>
            <w:tcW w:w="109" w:type="dxa"/>
            <w:tcBorders>
              <w:bottom w:val="single" w:sz="2" w:space="0" w:color="BAD8EA"/>
            </w:tcBorders>
            <w:shd w:fill="BAD8EA" w:val="clear"/>
            <w:vAlign w:val="center"/>
          </w:tcPr>
          <w:p>
            <w:pPr>
              <w:pStyle w:val="TableContents"/>
              <w:bidi w:val="0"/>
              <w:spacing w:before="0" w:after="283"/>
              <w:jc w:val="left"/>
              <w:rPr/>
            </w:pPr>
            <w:r>
              <w:rPr/>
              <w:t>​</w:t>
            </w:r>
          </w:p>
        </w:tc>
        <w:tc>
          <w:tcPr>
            <w:tcW w:w="109" w:type="dxa"/>
            <w:tcBorders>
              <w:bottom w:val="single" w:sz="2" w:space="0" w:color="BAD8EA"/>
            </w:tcBorders>
            <w:shd w:fill="BAD8EA" w:val="clear"/>
            <w:vAlign w:val="center"/>
          </w:tcPr>
          <w:p>
            <w:pPr>
              <w:pStyle w:val="TableContents"/>
              <w:bidi w:val="0"/>
              <w:spacing w:before="0" w:after="283"/>
              <w:jc w:val="left"/>
              <w:rPr/>
            </w:pPr>
            <w:r>
              <w:rPr/>
              <w:t>​</w:t>
            </w:r>
          </w:p>
        </w:tc>
        <w:tc>
          <w:tcPr>
            <w:tcW w:w="5659" w:type="dxa"/>
            <w:gridSpan w:val="22"/>
            <w:tcBorders>
              <w:bottom w:val="single" w:sz="2" w:space="0" w:color="000000"/>
            </w:tcBorders>
            <w:shd w:fill="BAD8EA" w:val="clear"/>
            <w:vAlign w:val="center"/>
          </w:tcPr>
          <w:p>
            <w:pPr>
              <w:pStyle w:val="TableContents"/>
              <w:bidi w:val="0"/>
              <w:spacing w:before="0" w:after="0"/>
              <w:jc w:val="center"/>
              <w:rPr>
                <w:spacing w:val="0"/>
              </w:rPr>
            </w:pPr>
            <w:r>
              <w:rPr>
                <w:spacing w:val="0"/>
              </w:rPr>
              <w:t xml:space="preserve">Stock Awards </w:t>
            </w:r>
          </w:p>
        </w:tc>
        <w:tc>
          <w:tcPr>
            <w:tcW w:w="154" w:type="dxa"/>
            <w:tcBorders>
              <w:bottom w:val="single" w:sz="2" w:space="0" w:color="BAD8EA"/>
            </w:tcBorders>
            <w:shd w:fill="BAD8EA" w:val="clear"/>
            <w:vAlign w:val="center"/>
          </w:tcPr>
          <w:p>
            <w:pPr>
              <w:pStyle w:val="TableContents"/>
              <w:bidi w:val="0"/>
              <w:spacing w:before="0" w:after="283"/>
              <w:jc w:val="left"/>
              <w:rPr/>
            </w:pPr>
            <w:r>
              <w:rPr/>
              <w:t>​</w:t>
            </w:r>
          </w:p>
        </w:tc>
      </w:tr>
      <w:tr>
        <w:trPr/>
        <w:tc>
          <w:tcPr>
            <w:tcW w:w="124" w:type="dxa"/>
            <w:tcBorders/>
            <w:shd w:fill="BAD8EA" w:val="clear"/>
            <w:tcMar>
              <w:bottom w:w="0" w:type="dxa"/>
            </w:tcMar>
            <w:vAlign w:val="center"/>
          </w:tcPr>
          <w:p>
            <w:pPr>
              <w:pStyle w:val="TableContents"/>
              <w:bidi w:val="0"/>
              <w:spacing w:before="0" w:after="283"/>
              <w:jc w:val="left"/>
              <w:rPr/>
            </w:pPr>
            <w:r>
              <w:rPr/>
              <w:t>​</w:t>
            </w:r>
          </w:p>
        </w:tc>
        <w:tc>
          <w:tcPr>
            <w:tcW w:w="1043" w:type="dxa"/>
            <w:tcBorders/>
            <w:shd w:fill="BAD8EA" w:val="clear"/>
            <w:tcMar>
              <w:bottom w:w="0" w:type="dxa"/>
            </w:tcMar>
            <w:vAlign w:val="center"/>
          </w:tcPr>
          <w:p>
            <w:pPr>
              <w:pStyle w:val="TableContents"/>
              <w:bidi w:val="0"/>
              <w:spacing w:before="0" w:after="0"/>
              <w:jc w:val="left"/>
              <w:rPr>
                <w:spacing w:val="0"/>
              </w:rPr>
            </w:pPr>
            <w:r>
              <w:rPr>
                <w:spacing w:val="0"/>
              </w:rPr>
              <w:t xml:space="preserve">Name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291" w:type="dxa"/>
            <w:gridSpan w:val="4"/>
            <w:tcBorders/>
            <w:shd w:fill="BAD8EA" w:val="clear"/>
            <w:tcMar>
              <w:bottom w:w="0" w:type="dxa"/>
            </w:tcMar>
            <w:vAlign w:val="center"/>
          </w:tcPr>
          <w:p>
            <w:pPr>
              <w:pStyle w:val="TableContents"/>
              <w:bidi w:val="0"/>
              <w:spacing w:before="0" w:after="0"/>
              <w:jc w:val="center"/>
              <w:rPr/>
            </w:pPr>
            <w:r>
              <w:rPr>
                <w:spacing w:val="0"/>
              </w:rPr>
              <w:t xml:space="preserve">Number of </w:t>
              <w:br/>
              <w:t xml:space="preserve">Securities </w:t>
              <w:br/>
              <w:t xml:space="preserve">Underlying </w:t>
              <w:br/>
              <w:t xml:space="preserve">Unexercised </w:t>
              <w:br/>
              <w:t xml:space="preserve">Options </w:t>
              <w:br/>
              <w:t>Exercisable</w:t>
            </w:r>
            <w:r>
              <w:rPr/>
              <w:t xml:space="preserve"> </w:t>
              <w:br/>
            </w:r>
            <w:r>
              <w:rPr>
                <w:spacing w:val="-2"/>
              </w:rPr>
              <w:t xml:space="preserv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456" w:type="dxa"/>
            <w:gridSpan w:val="4"/>
            <w:tcBorders/>
            <w:shd w:fill="BAD8EA" w:val="clear"/>
            <w:tcMar>
              <w:bottom w:w="0" w:type="dxa"/>
            </w:tcMar>
            <w:vAlign w:val="center"/>
          </w:tcPr>
          <w:p>
            <w:pPr>
              <w:pStyle w:val="TableContents"/>
              <w:bidi w:val="0"/>
              <w:spacing w:before="0" w:after="0"/>
              <w:jc w:val="center"/>
              <w:rPr/>
            </w:pPr>
            <w:r>
              <w:rPr>
                <w:spacing w:val="0"/>
              </w:rPr>
              <w:t xml:space="preserve">Number of </w:t>
              <w:br/>
              <w:t xml:space="preserve">Securities </w:t>
              <w:br/>
              <w:t xml:space="preserve">Underlying </w:t>
              <w:br/>
              <w:t xml:space="preserve">Unexercised </w:t>
              <w:br/>
              <w:t xml:space="preserve">Options </w:t>
              <w:br/>
              <w:t>Unexercisable</w:t>
            </w:r>
            <w:r>
              <w:rPr/>
              <w:t xml:space="preserve"> </w:t>
              <w:br/>
            </w:r>
            <w:r>
              <w:rPr>
                <w:spacing w:val="-2"/>
              </w:rPr>
              <w:t xml:space="preserv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973" w:type="dxa"/>
            <w:gridSpan w:val="4"/>
            <w:tcBorders/>
            <w:shd w:fill="BAD8EA" w:val="clear"/>
            <w:tcMar>
              <w:bottom w:w="0" w:type="dxa"/>
            </w:tcMar>
            <w:vAlign w:val="center"/>
          </w:tcPr>
          <w:p>
            <w:pPr>
              <w:pStyle w:val="TableContents"/>
              <w:bidi w:val="0"/>
              <w:spacing w:before="0" w:after="0"/>
              <w:jc w:val="center"/>
              <w:rPr/>
            </w:pPr>
            <w:r>
              <w:rPr>
                <w:spacing w:val="0"/>
              </w:rPr>
              <w:t xml:space="preserve">Option </w:t>
              <w:br/>
              <w:t xml:space="preserve">Exercise </w:t>
              <w:br/>
              <w:t>Price</w:t>
            </w:r>
            <w:r>
              <w:rPr/>
              <w:t xml:space="preserve"> </w:t>
              <w:br/>
            </w:r>
            <w:r>
              <w:rPr>
                <w:spacing w:val="-2"/>
              </w:rPr>
              <w:t xml:space="preserv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6" w:type="dxa"/>
            <w:gridSpan w:val="4"/>
            <w:tcBorders/>
            <w:shd w:fill="BAD8EA" w:val="clear"/>
            <w:tcMar>
              <w:bottom w:w="0" w:type="dxa"/>
            </w:tcMar>
            <w:vAlign w:val="center"/>
          </w:tcPr>
          <w:p>
            <w:pPr>
              <w:pStyle w:val="TableContents"/>
              <w:bidi w:val="0"/>
              <w:spacing w:before="0" w:after="0"/>
              <w:jc w:val="center"/>
              <w:rPr>
                <w:spacing w:val="0"/>
              </w:rPr>
            </w:pPr>
            <w:r>
              <w:rPr>
                <w:spacing w:val="0"/>
              </w:rPr>
              <w:t xml:space="preserve">Option </w:t>
              <w:br/>
              <w:t xml:space="preserve">Expiration </w:t>
              <w:br/>
              <w:t xml:space="preserve">Date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123" w:type="dxa"/>
            <w:gridSpan w:val="4"/>
            <w:tcBorders/>
            <w:shd w:fill="BAD8EA" w:val="clear"/>
            <w:tcMar>
              <w:bottom w:w="0" w:type="dxa"/>
            </w:tcMar>
            <w:vAlign w:val="center"/>
          </w:tcPr>
          <w:p>
            <w:pPr>
              <w:pStyle w:val="TableContents"/>
              <w:bidi w:val="0"/>
              <w:spacing w:lineRule="atLeast" w:line="142" w:before="0" w:after="0"/>
              <w:jc w:val="center"/>
              <w:rPr/>
            </w:pPr>
            <w:r>
              <w:rPr>
                <w:spacing w:val="0"/>
              </w:rPr>
              <w:t xml:space="preserve">Number </w:t>
              <w:br/>
              <w:t xml:space="preserve">of Shares </w:t>
              <w:br/>
              <w:t xml:space="preserve">or Units </w:t>
              <w:br/>
              <w:t xml:space="preserve">of Stock </w:t>
              <w:br/>
              <w:t xml:space="preserve">That </w:t>
              <w:br/>
              <w:t xml:space="preserve">Have Not </w:t>
              <w:br/>
              <w:t>Vested</w:t>
            </w:r>
            <w:r>
              <w:rPr>
                <w:spacing w:val="-1"/>
                <w:sz w:val="9"/>
              </w:rPr>
              <w:t>(1)</w:t>
            </w:r>
            <w:r>
              <w:rPr/>
              <w:t xml:space="preserve"> </w:t>
              <w:br/>
            </w:r>
            <w:r>
              <w:rPr>
                <w:spacing w:val="-2"/>
              </w:rPr>
              <w:t xml:space="preserv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393" w:type="dxa"/>
            <w:gridSpan w:val="4"/>
            <w:tcBorders/>
            <w:shd w:fill="BAD8EA" w:val="clear"/>
            <w:tcMar>
              <w:bottom w:w="0" w:type="dxa"/>
            </w:tcMar>
            <w:vAlign w:val="center"/>
          </w:tcPr>
          <w:p>
            <w:pPr>
              <w:pStyle w:val="TableContents"/>
              <w:bidi w:val="0"/>
              <w:spacing w:before="0" w:after="0"/>
              <w:jc w:val="center"/>
              <w:rPr/>
            </w:pPr>
            <w:r>
              <w:rPr>
                <w:spacing w:val="0"/>
              </w:rPr>
              <w:t xml:space="preserve">Market </w:t>
              <w:br/>
              <w:t xml:space="preserve">Value of </w:t>
              <w:br/>
              <w:t xml:space="preserve">Shares or </w:t>
              <w:br/>
              <w:t xml:space="preserve">Units of </w:t>
              <w:br/>
              <w:t xml:space="preserve">Stock </w:t>
              <w:br/>
              <w:t xml:space="preserve">That Have </w:t>
              <w:br/>
              <w:t xml:space="preserve">Not </w:t>
              <w:br/>
              <w:t>Vested**</w:t>
            </w:r>
            <w:r>
              <w:rPr/>
              <w:t xml:space="preserve"> </w:t>
              <w:br/>
            </w:r>
            <w:r>
              <w:rPr>
                <w:spacing w:val="-2"/>
              </w:rPr>
              <w:t xml:space="preserv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3" w:type="dxa"/>
            <w:gridSpan w:val="4"/>
            <w:tcBorders/>
            <w:shd w:fill="BAD8EA" w:val="clear"/>
            <w:tcMar>
              <w:bottom w:w="0" w:type="dxa"/>
            </w:tcMar>
            <w:vAlign w:val="center"/>
          </w:tcPr>
          <w:p>
            <w:pPr>
              <w:pStyle w:val="TableContents"/>
              <w:bidi w:val="0"/>
              <w:spacing w:lineRule="atLeast" w:line="142" w:before="0" w:after="0"/>
              <w:jc w:val="center"/>
              <w:rPr/>
            </w:pPr>
            <w:r>
              <w:rPr>
                <w:spacing w:val="0"/>
              </w:rPr>
              <w:t xml:space="preserve">Equity </w:t>
              <w:br/>
              <w:t xml:space="preserve">Incentive </w:t>
              <w:br/>
              <w:t xml:space="preserve">Plan Awards: </w:t>
              <w:br/>
              <w:t xml:space="preserve">Number of </w:t>
              <w:br/>
              <w:t xml:space="preserve">Unearned </w:t>
              <w:br/>
              <w:t xml:space="preserve">Shares, </w:t>
              <w:br/>
              <w:t xml:space="preserve">Units </w:t>
              <w:br/>
              <w:t xml:space="preserve">or Other </w:t>
              <w:br/>
              <w:t xml:space="preserve">Rights That </w:t>
              <w:br/>
              <w:t xml:space="preserve">Have Not </w:t>
              <w:br/>
              <w:t>Vested</w:t>
            </w:r>
            <w:r>
              <w:rPr>
                <w:spacing w:val="-1"/>
                <w:sz w:val="9"/>
              </w:rPr>
              <w:t>(2)</w:t>
            </w:r>
            <w:r>
              <w:rPr/>
              <w:t xml:space="preserve"> </w:t>
              <w:br/>
            </w:r>
            <w:r>
              <w:rPr>
                <w:spacing w:val="-2"/>
              </w:rPr>
              <w:t xml:space="preserv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396" w:type="dxa"/>
            <w:gridSpan w:val="4"/>
            <w:tcBorders/>
            <w:shd w:fill="BAD8EA" w:val="clear"/>
            <w:tcMar>
              <w:bottom w:w="0" w:type="dxa"/>
            </w:tcMar>
            <w:vAlign w:val="center"/>
          </w:tcPr>
          <w:p>
            <w:pPr>
              <w:pStyle w:val="TableContents"/>
              <w:bidi w:val="0"/>
              <w:spacing w:before="0" w:after="0"/>
              <w:jc w:val="center"/>
              <w:rPr/>
            </w:pPr>
            <w:r>
              <w:rPr>
                <w:spacing w:val="0"/>
              </w:rPr>
              <w:t xml:space="preserve">Equity </w:t>
              <w:br/>
              <w:t xml:space="preserve">Incentive </w:t>
              <w:br/>
              <w:t xml:space="preserve">Plan Awards: </w:t>
              <w:br/>
              <w:t xml:space="preserve">Market or </w:t>
              <w:br/>
              <w:t xml:space="preserve">Payout </w:t>
              <w:br/>
              <w:t xml:space="preserve">Value of </w:t>
              <w:br/>
              <w:t xml:space="preserve">Unearned </w:t>
              <w:br/>
              <w:t xml:space="preserve">Shares, </w:t>
              <w:br/>
              <w:t xml:space="preserve">Units </w:t>
              <w:br/>
              <w:t xml:space="preserve">or Other </w:t>
              <w:br/>
              <w:t xml:space="preserve">Rights That </w:t>
              <w:br/>
              <w:t xml:space="preserve">Have Not </w:t>
              <w:br/>
              <w:t>Vested**</w:t>
            </w:r>
            <w:r>
              <w:rPr/>
              <w:t xml:space="preserve"> </w:t>
              <w:br/>
            </w:r>
            <w:r>
              <w:rPr>
                <w:spacing w:val="-2"/>
              </w:rPr>
              <w:t xml:space="preserve">($) </w:t>
            </w:r>
          </w:p>
        </w:tc>
        <w:tc>
          <w:tcPr>
            <w:tcW w:w="154" w:type="dxa"/>
            <w:tcBorders/>
            <w:shd w:fill="BAD8EA" w:val="clear"/>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043" w:type="dxa"/>
            <w:tcBorders/>
            <w:shd w:fill="E5E5E5" w:val="clear"/>
            <w:tcMar>
              <w:bottom w:w="0" w:type="dxa"/>
            </w:tcMar>
            <w:vAlign w:val="center"/>
          </w:tcPr>
          <w:p>
            <w:pPr>
              <w:pStyle w:val="TableContents"/>
              <w:bidi w:val="0"/>
              <w:spacing w:before="0" w:after="283"/>
              <w:jc w:val="left"/>
              <w:rPr>
                <w:spacing w:val="-1"/>
              </w:rPr>
            </w:pPr>
            <w:r>
              <w:rPr>
                <w:spacing w:val="-1"/>
              </w:rPr>
              <w:t xml:space="preserve">David O’Reilly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right"/>
              <w:rPr/>
            </w:pPr>
            <w:r>
              <w:rPr/>
              <w:t>​</w:t>
            </w:r>
          </w:p>
        </w:tc>
        <w:tc>
          <w:tcPr>
            <w:tcW w:w="904" w:type="dxa"/>
            <w:tcBorders/>
            <w:shd w:fill="E5E5E5" w:val="clear"/>
            <w:tcMar>
              <w:bottom w:w="0" w:type="dxa"/>
            </w:tcMar>
            <w:vAlign w:val="center"/>
          </w:tcPr>
          <w:p>
            <w:pPr>
              <w:pStyle w:val="TableContents"/>
              <w:bidi w:val="0"/>
              <w:spacing w:before="0" w:after="283"/>
              <w:jc w:val="right"/>
              <w:rPr/>
            </w:pPr>
            <w:r>
              <w:rPr/>
              <w:t>​</w:t>
            </w:r>
          </w:p>
        </w:tc>
        <w:tc>
          <w:tcPr>
            <w:tcW w:w="13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86" w:type="dxa"/>
            <w:tcBorders/>
            <w:shd w:fill="E5E5E5" w:val="clear"/>
            <w:tcMar>
              <w:bottom w:w="0" w:type="dxa"/>
            </w:tcMar>
            <w:vAlign w:val="center"/>
          </w:tcPr>
          <w:p>
            <w:pPr>
              <w:pStyle w:val="TableContents"/>
              <w:bidi w:val="0"/>
              <w:spacing w:before="0" w:after="283"/>
              <w:jc w:val="left"/>
              <w:rPr/>
            </w:pPr>
            <w:r>
              <w:rPr/>
              <w:t>​</w:t>
            </w:r>
          </w:p>
        </w:tc>
        <w:tc>
          <w:tcPr>
            <w:tcW w:w="286" w:type="dxa"/>
            <w:tcBorders/>
            <w:shd w:fill="E5E5E5" w:val="clear"/>
            <w:tcMar>
              <w:bottom w:w="0" w:type="dxa"/>
            </w:tcMar>
            <w:vAlign w:val="center"/>
          </w:tcPr>
          <w:p>
            <w:pPr>
              <w:pStyle w:val="TableContents"/>
              <w:bidi w:val="0"/>
              <w:spacing w:before="0" w:after="283"/>
              <w:jc w:val="right"/>
              <w:rPr/>
            </w:pPr>
            <w:r>
              <w:rPr/>
              <w:t>​</w:t>
            </w:r>
          </w:p>
        </w:tc>
        <w:tc>
          <w:tcPr>
            <w:tcW w:w="595" w:type="dxa"/>
            <w:tcBorders/>
            <w:shd w:fill="E5E5E5" w:val="clear"/>
            <w:tcMar>
              <w:bottom w:w="0" w:type="dxa"/>
            </w:tcMar>
            <w:vAlign w:val="center"/>
          </w:tcPr>
          <w:p>
            <w:pPr>
              <w:pStyle w:val="TableContents"/>
              <w:bidi w:val="0"/>
              <w:spacing w:before="0" w:after="283"/>
              <w:jc w:val="right"/>
              <w:rPr/>
            </w:pPr>
            <w:r>
              <w:rPr/>
              <w:t>​</w:t>
            </w:r>
          </w:p>
        </w:tc>
        <w:tc>
          <w:tcPr>
            <w:tcW w:w="28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64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9"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9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8" w:type="dxa"/>
            <w:tcBorders/>
            <w:shd w:fill="E5E5E5" w:val="clear"/>
            <w:tcMar>
              <w:bottom w:w="0" w:type="dxa"/>
            </w:tcMar>
            <w:vAlign w:val="center"/>
          </w:tcPr>
          <w:p>
            <w:pPr>
              <w:pStyle w:val="TableContents"/>
              <w:bidi w:val="0"/>
              <w:spacing w:before="0" w:after="283"/>
              <w:jc w:val="right"/>
              <w:rPr/>
            </w:pPr>
            <w:r>
              <w:rPr/>
              <w:t>​</w:t>
            </w:r>
          </w:p>
        </w:tc>
        <w:tc>
          <w:tcPr>
            <w:tcW w:w="110"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02/05/2025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29,640</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2,364,383</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02/05/2025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29,640</w:t>
            </w:r>
            <w:r>
              <w:rPr>
                <w:sz w:val="9"/>
              </w:rPr>
              <w:t>(4</w:t>
            </w:r>
            <w:r>
              <w:rPr>
                <w:sz w:val="9"/>
              </w:rPr>
              <w:t>)</w:t>
            </w:r>
            <w:r>
              <w:rPr/>
              <w:t xml:space="preserve">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2,364,383</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02/05/2024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38,020</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3,032,855</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02/05/2024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6,503</w:t>
            </w:r>
            <w:r>
              <w:rPr>
                <w:sz w:val="9"/>
              </w:rPr>
              <w:t>(5</w:t>
            </w:r>
            <w:r>
              <w:rPr>
                <w:sz w:val="9"/>
              </w:rPr>
              <w:t>)</w:t>
            </w:r>
            <w:r>
              <w:rPr/>
              <w:t xml:space="preserve">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518,744</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03/23/2023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33,884</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2,702,927</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11/30/2020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19,358</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64.45</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11/30/2030</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043" w:type="dxa"/>
            <w:tcBorders/>
            <w:shd w:fill="E5E5E5" w:val="clear"/>
            <w:tcMar>
              <w:bottom w:w="0" w:type="dxa"/>
            </w:tcMar>
            <w:vAlign w:val="center"/>
          </w:tcPr>
          <w:p>
            <w:pPr>
              <w:pStyle w:val="TableContents"/>
              <w:bidi w:val="0"/>
              <w:spacing w:before="0" w:after="283"/>
              <w:jc w:val="left"/>
              <w:rPr>
                <w:spacing w:val="-1"/>
              </w:rPr>
            </w:pPr>
            <w:r>
              <w:rPr>
                <w:spacing w:val="-1"/>
              </w:rPr>
              <w:t xml:space="preserve">Andrew Davis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right"/>
              <w:rPr/>
            </w:pPr>
            <w:r>
              <w:rPr/>
              <w:t>​</w:t>
            </w:r>
          </w:p>
        </w:tc>
        <w:tc>
          <w:tcPr>
            <w:tcW w:w="904" w:type="dxa"/>
            <w:tcBorders/>
            <w:shd w:fill="E5E5E5" w:val="clear"/>
            <w:tcMar>
              <w:bottom w:w="0" w:type="dxa"/>
            </w:tcMar>
            <w:vAlign w:val="center"/>
          </w:tcPr>
          <w:p>
            <w:pPr>
              <w:pStyle w:val="TableContents"/>
              <w:bidi w:val="0"/>
              <w:spacing w:before="0" w:after="283"/>
              <w:jc w:val="right"/>
              <w:rPr/>
            </w:pPr>
            <w:r>
              <w:rPr/>
              <w:t>​</w:t>
            </w:r>
          </w:p>
        </w:tc>
        <w:tc>
          <w:tcPr>
            <w:tcW w:w="13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86" w:type="dxa"/>
            <w:tcBorders/>
            <w:shd w:fill="E5E5E5" w:val="clear"/>
            <w:tcMar>
              <w:bottom w:w="0" w:type="dxa"/>
            </w:tcMar>
            <w:vAlign w:val="center"/>
          </w:tcPr>
          <w:p>
            <w:pPr>
              <w:pStyle w:val="TableContents"/>
              <w:bidi w:val="0"/>
              <w:spacing w:before="0" w:after="283"/>
              <w:jc w:val="left"/>
              <w:rPr/>
            </w:pPr>
            <w:r>
              <w:rPr/>
              <w:t>​</w:t>
            </w:r>
          </w:p>
        </w:tc>
        <w:tc>
          <w:tcPr>
            <w:tcW w:w="286" w:type="dxa"/>
            <w:tcBorders/>
            <w:shd w:fill="E5E5E5" w:val="clear"/>
            <w:tcMar>
              <w:bottom w:w="0" w:type="dxa"/>
            </w:tcMar>
            <w:vAlign w:val="center"/>
          </w:tcPr>
          <w:p>
            <w:pPr>
              <w:pStyle w:val="TableContents"/>
              <w:bidi w:val="0"/>
              <w:spacing w:before="0" w:after="283"/>
              <w:jc w:val="right"/>
              <w:rPr/>
            </w:pPr>
            <w:r>
              <w:rPr/>
              <w:t>​</w:t>
            </w:r>
          </w:p>
        </w:tc>
        <w:tc>
          <w:tcPr>
            <w:tcW w:w="595" w:type="dxa"/>
            <w:tcBorders/>
            <w:shd w:fill="E5E5E5" w:val="clear"/>
            <w:tcMar>
              <w:bottom w:w="0" w:type="dxa"/>
            </w:tcMar>
            <w:vAlign w:val="center"/>
          </w:tcPr>
          <w:p>
            <w:pPr>
              <w:pStyle w:val="TableContents"/>
              <w:bidi w:val="0"/>
              <w:spacing w:before="0" w:after="283"/>
              <w:jc w:val="right"/>
              <w:rPr/>
            </w:pPr>
            <w:r>
              <w:rPr/>
              <w:t>​</w:t>
            </w:r>
          </w:p>
        </w:tc>
        <w:tc>
          <w:tcPr>
            <w:tcW w:w="28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64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9"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9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8" w:type="dxa"/>
            <w:tcBorders/>
            <w:shd w:fill="E5E5E5" w:val="clear"/>
            <w:tcMar>
              <w:bottom w:w="0" w:type="dxa"/>
            </w:tcMar>
            <w:vAlign w:val="center"/>
          </w:tcPr>
          <w:p>
            <w:pPr>
              <w:pStyle w:val="TableContents"/>
              <w:bidi w:val="0"/>
              <w:spacing w:before="0" w:after="283"/>
              <w:jc w:val="right"/>
              <w:rPr/>
            </w:pPr>
            <w:r>
              <w:rPr/>
              <w:t>​</w:t>
            </w:r>
          </w:p>
        </w:tc>
        <w:tc>
          <w:tcPr>
            <w:tcW w:w="110"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02/05/2025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4,940</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394,064</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02/05/2025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4,940</w:t>
            </w:r>
            <w:r>
              <w:rPr>
                <w:sz w:val="9"/>
              </w:rPr>
              <w:t>(4</w:t>
            </w:r>
            <w:r>
              <w:rPr>
                <w:sz w:val="9"/>
              </w:rPr>
              <w:t>)</w:t>
            </w:r>
            <w:r>
              <w:rPr/>
              <w:t xml:space="preserve">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394,064</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01/30/2024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5,502</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438,895</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01/30/2024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942</w:t>
            </w:r>
            <w:r>
              <w:rPr>
                <w:sz w:val="9"/>
              </w:rPr>
              <w:t>(3</w:t>
            </w:r>
            <w:r>
              <w:rPr>
                <w:sz w:val="9"/>
              </w:rPr>
              <w:t>)</w:t>
            </w:r>
            <w:r>
              <w:rPr/>
              <w:t xml:space="preserve">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75,143</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03/23/2023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6,022</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480,375</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043" w:type="dxa"/>
            <w:tcBorders/>
            <w:shd w:fill="E5E5E5" w:val="clear"/>
            <w:tcMar>
              <w:bottom w:w="0" w:type="dxa"/>
            </w:tcMar>
            <w:vAlign w:val="center"/>
          </w:tcPr>
          <w:p>
            <w:pPr>
              <w:pStyle w:val="TableContents"/>
              <w:bidi w:val="0"/>
              <w:spacing w:before="0" w:after="283"/>
              <w:jc w:val="left"/>
              <w:rPr>
                <w:spacing w:val="-1"/>
              </w:rPr>
            </w:pPr>
            <w:r>
              <w:rPr>
                <w:spacing w:val="-1"/>
              </w:rPr>
              <w:t xml:space="preserve">Carlos A. Olea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right"/>
              <w:rPr/>
            </w:pPr>
            <w:r>
              <w:rPr/>
              <w:t>​</w:t>
            </w:r>
          </w:p>
        </w:tc>
        <w:tc>
          <w:tcPr>
            <w:tcW w:w="904" w:type="dxa"/>
            <w:tcBorders/>
            <w:shd w:fill="E5E5E5" w:val="clear"/>
            <w:tcMar>
              <w:bottom w:w="0" w:type="dxa"/>
            </w:tcMar>
            <w:vAlign w:val="center"/>
          </w:tcPr>
          <w:p>
            <w:pPr>
              <w:pStyle w:val="TableContents"/>
              <w:bidi w:val="0"/>
              <w:spacing w:before="0" w:after="283"/>
              <w:jc w:val="right"/>
              <w:rPr/>
            </w:pPr>
            <w:r>
              <w:rPr/>
              <w:t>​</w:t>
            </w:r>
          </w:p>
        </w:tc>
        <w:tc>
          <w:tcPr>
            <w:tcW w:w="13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86" w:type="dxa"/>
            <w:tcBorders/>
            <w:shd w:fill="E5E5E5" w:val="clear"/>
            <w:tcMar>
              <w:bottom w:w="0" w:type="dxa"/>
            </w:tcMar>
            <w:vAlign w:val="center"/>
          </w:tcPr>
          <w:p>
            <w:pPr>
              <w:pStyle w:val="TableContents"/>
              <w:bidi w:val="0"/>
              <w:spacing w:before="0" w:after="283"/>
              <w:jc w:val="left"/>
              <w:rPr/>
            </w:pPr>
            <w:r>
              <w:rPr/>
              <w:t>​</w:t>
            </w:r>
          </w:p>
        </w:tc>
        <w:tc>
          <w:tcPr>
            <w:tcW w:w="286" w:type="dxa"/>
            <w:tcBorders/>
            <w:shd w:fill="E5E5E5" w:val="clear"/>
            <w:tcMar>
              <w:bottom w:w="0" w:type="dxa"/>
            </w:tcMar>
            <w:vAlign w:val="center"/>
          </w:tcPr>
          <w:p>
            <w:pPr>
              <w:pStyle w:val="TableContents"/>
              <w:bidi w:val="0"/>
              <w:spacing w:before="0" w:after="283"/>
              <w:jc w:val="right"/>
              <w:rPr/>
            </w:pPr>
            <w:r>
              <w:rPr/>
              <w:t>​</w:t>
            </w:r>
          </w:p>
        </w:tc>
        <w:tc>
          <w:tcPr>
            <w:tcW w:w="595" w:type="dxa"/>
            <w:tcBorders/>
            <w:shd w:fill="E5E5E5" w:val="clear"/>
            <w:tcMar>
              <w:bottom w:w="0" w:type="dxa"/>
            </w:tcMar>
            <w:vAlign w:val="center"/>
          </w:tcPr>
          <w:p>
            <w:pPr>
              <w:pStyle w:val="TableContents"/>
              <w:bidi w:val="0"/>
              <w:spacing w:before="0" w:after="283"/>
              <w:jc w:val="right"/>
              <w:rPr/>
            </w:pPr>
            <w:r>
              <w:rPr/>
              <w:t>​</w:t>
            </w:r>
          </w:p>
        </w:tc>
        <w:tc>
          <w:tcPr>
            <w:tcW w:w="28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64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9"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9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8" w:type="dxa"/>
            <w:tcBorders/>
            <w:shd w:fill="E5E5E5" w:val="clear"/>
            <w:tcMar>
              <w:bottom w:w="0" w:type="dxa"/>
            </w:tcMar>
            <w:vAlign w:val="center"/>
          </w:tcPr>
          <w:p>
            <w:pPr>
              <w:pStyle w:val="TableContents"/>
              <w:bidi w:val="0"/>
              <w:spacing w:before="0" w:after="283"/>
              <w:jc w:val="right"/>
              <w:rPr/>
            </w:pPr>
            <w:r>
              <w:rPr/>
              <w:t>​</w:t>
            </w:r>
          </w:p>
        </w:tc>
        <w:tc>
          <w:tcPr>
            <w:tcW w:w="110"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02/05/2025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8,892</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709,315</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02/05/2025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8,892</w:t>
            </w:r>
            <w:r>
              <w:rPr>
                <w:sz w:val="9"/>
              </w:rPr>
              <w:t>(4</w:t>
            </w:r>
            <w:r>
              <w:rPr>
                <w:sz w:val="9"/>
              </w:rPr>
              <w:t>)</w:t>
            </w:r>
            <w:r>
              <w:rPr/>
              <w:t xml:space="preserve">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709,315</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02/05/2024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13,958</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1,113,430</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02/05/2024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2,388</w:t>
            </w:r>
            <w:r>
              <w:rPr>
                <w:sz w:val="9"/>
              </w:rPr>
              <w:t>(5</w:t>
            </w:r>
            <w:r>
              <w:rPr>
                <w:sz w:val="9"/>
              </w:rPr>
              <w:t>)</w:t>
            </w:r>
            <w:r>
              <w:rPr/>
              <w:t xml:space="preserve">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190,491</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03/23/2023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14,306</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1,141,190</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043" w:type="dxa"/>
            <w:tcBorders/>
            <w:shd w:fill="E5E5E5" w:val="clear"/>
            <w:tcMar>
              <w:bottom w:w="0" w:type="dxa"/>
            </w:tcMar>
            <w:vAlign w:val="center"/>
          </w:tcPr>
          <w:p>
            <w:pPr>
              <w:pStyle w:val="TableContents"/>
              <w:bidi w:val="0"/>
              <w:spacing w:before="0" w:after="283"/>
              <w:jc w:val="left"/>
              <w:rPr>
                <w:spacing w:val="-1"/>
              </w:rPr>
            </w:pPr>
            <w:r>
              <w:rPr>
                <w:spacing w:val="-1"/>
              </w:rPr>
              <w:t xml:space="preserve">Joseph Valane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right"/>
              <w:rPr/>
            </w:pPr>
            <w:r>
              <w:rPr/>
              <w:t>​</w:t>
            </w:r>
          </w:p>
        </w:tc>
        <w:tc>
          <w:tcPr>
            <w:tcW w:w="904" w:type="dxa"/>
            <w:tcBorders/>
            <w:shd w:fill="E5E5E5" w:val="clear"/>
            <w:tcMar>
              <w:bottom w:w="0" w:type="dxa"/>
            </w:tcMar>
            <w:vAlign w:val="center"/>
          </w:tcPr>
          <w:p>
            <w:pPr>
              <w:pStyle w:val="TableContents"/>
              <w:bidi w:val="0"/>
              <w:spacing w:before="0" w:after="283"/>
              <w:jc w:val="right"/>
              <w:rPr/>
            </w:pPr>
            <w:r>
              <w:rPr/>
              <w:t>​</w:t>
            </w:r>
          </w:p>
        </w:tc>
        <w:tc>
          <w:tcPr>
            <w:tcW w:w="13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86" w:type="dxa"/>
            <w:tcBorders/>
            <w:shd w:fill="E5E5E5" w:val="clear"/>
            <w:tcMar>
              <w:bottom w:w="0" w:type="dxa"/>
            </w:tcMar>
            <w:vAlign w:val="center"/>
          </w:tcPr>
          <w:p>
            <w:pPr>
              <w:pStyle w:val="TableContents"/>
              <w:bidi w:val="0"/>
              <w:spacing w:before="0" w:after="283"/>
              <w:jc w:val="left"/>
              <w:rPr/>
            </w:pPr>
            <w:r>
              <w:rPr/>
              <w:t>​</w:t>
            </w:r>
          </w:p>
        </w:tc>
        <w:tc>
          <w:tcPr>
            <w:tcW w:w="286" w:type="dxa"/>
            <w:tcBorders/>
            <w:shd w:fill="E5E5E5" w:val="clear"/>
            <w:tcMar>
              <w:bottom w:w="0" w:type="dxa"/>
            </w:tcMar>
            <w:vAlign w:val="center"/>
          </w:tcPr>
          <w:p>
            <w:pPr>
              <w:pStyle w:val="TableContents"/>
              <w:bidi w:val="0"/>
              <w:spacing w:before="0" w:after="283"/>
              <w:jc w:val="right"/>
              <w:rPr/>
            </w:pPr>
            <w:r>
              <w:rPr/>
              <w:t>​</w:t>
            </w:r>
          </w:p>
        </w:tc>
        <w:tc>
          <w:tcPr>
            <w:tcW w:w="595" w:type="dxa"/>
            <w:tcBorders/>
            <w:shd w:fill="E5E5E5" w:val="clear"/>
            <w:tcMar>
              <w:bottom w:w="0" w:type="dxa"/>
            </w:tcMar>
            <w:vAlign w:val="center"/>
          </w:tcPr>
          <w:p>
            <w:pPr>
              <w:pStyle w:val="TableContents"/>
              <w:bidi w:val="0"/>
              <w:spacing w:before="0" w:after="283"/>
              <w:jc w:val="right"/>
              <w:rPr/>
            </w:pPr>
            <w:r>
              <w:rPr/>
              <w:t>​</w:t>
            </w:r>
          </w:p>
        </w:tc>
        <w:tc>
          <w:tcPr>
            <w:tcW w:w="28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64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9"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9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8" w:type="dxa"/>
            <w:tcBorders/>
            <w:shd w:fill="E5E5E5" w:val="clear"/>
            <w:tcMar>
              <w:bottom w:w="0" w:type="dxa"/>
            </w:tcMar>
            <w:vAlign w:val="center"/>
          </w:tcPr>
          <w:p>
            <w:pPr>
              <w:pStyle w:val="TableContents"/>
              <w:bidi w:val="0"/>
              <w:spacing w:before="0" w:after="283"/>
              <w:jc w:val="right"/>
              <w:rPr/>
            </w:pPr>
            <w:r>
              <w:rPr/>
              <w:t>​</w:t>
            </w:r>
          </w:p>
        </w:tc>
        <w:tc>
          <w:tcPr>
            <w:tcW w:w="110"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02/05/2025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4,940</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394,064</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02/05/2025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4,940</w:t>
            </w:r>
            <w:r>
              <w:rPr>
                <w:sz w:val="9"/>
              </w:rPr>
              <w:t>(4</w:t>
            </w:r>
            <w:r>
              <w:rPr>
                <w:sz w:val="9"/>
              </w:rPr>
              <w:t>)</w:t>
            </w:r>
            <w:r>
              <w:rPr/>
              <w:t xml:space="preserve">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394,064</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04/01/2024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5,332</w:t>
            </w:r>
            <w:r>
              <w:rPr>
                <w:sz w:val="9"/>
              </w:rPr>
              <w:t>(6</w:t>
            </w:r>
            <w:r>
              <w:rPr>
                <w:sz w:val="9"/>
              </w:rPr>
              <w:t>)</w:t>
            </w:r>
            <w:r>
              <w:rPr/>
              <w:t xml:space="preserve">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425,334</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043" w:type="dxa"/>
            <w:tcBorders/>
            <w:shd w:fill="E5E5E5" w:val="clear"/>
            <w:tcMar>
              <w:bottom w:w="0" w:type="dxa"/>
            </w:tcMar>
            <w:vAlign w:val="center"/>
          </w:tcPr>
          <w:p>
            <w:pPr>
              <w:pStyle w:val="TableContents"/>
              <w:bidi w:val="0"/>
              <w:spacing w:before="0" w:after="283"/>
              <w:jc w:val="left"/>
              <w:rPr>
                <w:spacing w:val="-1"/>
              </w:rPr>
            </w:pPr>
            <w:r>
              <w:rPr>
                <w:spacing w:val="-1"/>
              </w:rPr>
              <w:t xml:space="preserve">Douglas Johnstone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left"/>
              <w:rPr/>
            </w:pPr>
            <w:r>
              <w:rPr/>
              <w:t>​</w:t>
            </w:r>
          </w:p>
        </w:tc>
        <w:tc>
          <w:tcPr>
            <w:tcW w:w="128" w:type="dxa"/>
            <w:tcBorders/>
            <w:shd w:fill="E5E5E5" w:val="clear"/>
            <w:tcMar>
              <w:bottom w:w="0" w:type="dxa"/>
            </w:tcMar>
            <w:vAlign w:val="center"/>
          </w:tcPr>
          <w:p>
            <w:pPr>
              <w:pStyle w:val="TableContents"/>
              <w:bidi w:val="0"/>
              <w:spacing w:before="0" w:after="283"/>
              <w:jc w:val="right"/>
              <w:rPr/>
            </w:pPr>
            <w:r>
              <w:rPr/>
              <w:t>​</w:t>
            </w:r>
          </w:p>
        </w:tc>
        <w:tc>
          <w:tcPr>
            <w:tcW w:w="904" w:type="dxa"/>
            <w:tcBorders/>
            <w:shd w:fill="E5E5E5" w:val="clear"/>
            <w:tcMar>
              <w:bottom w:w="0" w:type="dxa"/>
            </w:tcMar>
            <w:vAlign w:val="center"/>
          </w:tcPr>
          <w:p>
            <w:pPr>
              <w:pStyle w:val="TableContents"/>
              <w:bidi w:val="0"/>
              <w:spacing w:before="0" w:after="283"/>
              <w:jc w:val="right"/>
              <w:rPr/>
            </w:pPr>
            <w:r>
              <w:rPr/>
              <w:t>​</w:t>
            </w:r>
          </w:p>
        </w:tc>
        <w:tc>
          <w:tcPr>
            <w:tcW w:w="13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86" w:type="dxa"/>
            <w:tcBorders/>
            <w:shd w:fill="E5E5E5" w:val="clear"/>
            <w:tcMar>
              <w:bottom w:w="0" w:type="dxa"/>
            </w:tcMar>
            <w:vAlign w:val="center"/>
          </w:tcPr>
          <w:p>
            <w:pPr>
              <w:pStyle w:val="TableContents"/>
              <w:bidi w:val="0"/>
              <w:spacing w:before="0" w:after="283"/>
              <w:jc w:val="left"/>
              <w:rPr/>
            </w:pPr>
            <w:r>
              <w:rPr/>
              <w:t>​</w:t>
            </w:r>
          </w:p>
        </w:tc>
        <w:tc>
          <w:tcPr>
            <w:tcW w:w="286" w:type="dxa"/>
            <w:tcBorders/>
            <w:shd w:fill="E5E5E5" w:val="clear"/>
            <w:tcMar>
              <w:bottom w:w="0" w:type="dxa"/>
            </w:tcMar>
            <w:vAlign w:val="center"/>
          </w:tcPr>
          <w:p>
            <w:pPr>
              <w:pStyle w:val="TableContents"/>
              <w:bidi w:val="0"/>
              <w:spacing w:before="0" w:after="283"/>
              <w:jc w:val="right"/>
              <w:rPr/>
            </w:pPr>
            <w:r>
              <w:rPr/>
              <w:t>​</w:t>
            </w:r>
          </w:p>
        </w:tc>
        <w:tc>
          <w:tcPr>
            <w:tcW w:w="595" w:type="dxa"/>
            <w:tcBorders/>
            <w:shd w:fill="E5E5E5" w:val="clear"/>
            <w:tcMar>
              <w:bottom w:w="0" w:type="dxa"/>
            </w:tcMar>
            <w:vAlign w:val="center"/>
          </w:tcPr>
          <w:p>
            <w:pPr>
              <w:pStyle w:val="TableContents"/>
              <w:bidi w:val="0"/>
              <w:spacing w:before="0" w:after="283"/>
              <w:jc w:val="right"/>
              <w:rPr/>
            </w:pPr>
            <w:r>
              <w:rPr/>
              <w:t>​</w:t>
            </w:r>
          </w:p>
        </w:tc>
        <w:tc>
          <w:tcPr>
            <w:tcW w:w="28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64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9"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9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7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8" w:type="dxa"/>
            <w:tcBorders/>
            <w:shd w:fill="E5E5E5" w:val="clear"/>
            <w:tcMar>
              <w:bottom w:w="0" w:type="dxa"/>
            </w:tcMar>
            <w:vAlign w:val="center"/>
          </w:tcPr>
          <w:p>
            <w:pPr>
              <w:pStyle w:val="TableContents"/>
              <w:bidi w:val="0"/>
              <w:spacing w:before="0" w:after="283"/>
              <w:jc w:val="right"/>
              <w:rPr/>
            </w:pPr>
            <w:r>
              <w:rPr/>
              <w:t>​</w:t>
            </w:r>
          </w:p>
        </w:tc>
        <w:tc>
          <w:tcPr>
            <w:tcW w:w="110"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02/05/2025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3,952</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315,251</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02/05/2025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3,952</w:t>
            </w:r>
            <w:r>
              <w:rPr>
                <w:sz w:val="9"/>
              </w:rPr>
              <w:t>(4</w:t>
            </w:r>
            <w:r>
              <w:rPr>
                <w:sz w:val="9"/>
              </w:rPr>
              <w:t>)</w:t>
            </w:r>
            <w:r>
              <w:rPr/>
              <w:t xml:space="preserve">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315,251</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01/30/2024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6,536</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521,377</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043" w:type="dxa"/>
            <w:tcBorders>
              <w:bottom w:val="single" w:sz="2" w:space="0" w:color="CBCAC8"/>
            </w:tcBorders>
            <w:vAlign w:val="center"/>
          </w:tcPr>
          <w:p>
            <w:pPr>
              <w:pStyle w:val="TableContents"/>
              <w:bidi w:val="0"/>
              <w:spacing w:before="0" w:after="0"/>
              <w:ind w:left="150" w:right="0" w:hanging="0"/>
              <w:jc w:val="left"/>
              <w:rPr>
                <w:spacing w:val="-1"/>
              </w:rPr>
            </w:pPr>
            <w:r>
              <w:rPr>
                <w:spacing w:val="-1"/>
              </w:rPr>
              <w:t xml:space="preserve">01/30/2024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left"/>
              <w:rPr/>
            </w:pPr>
            <w:r>
              <w:rPr/>
              <w:t>​</w:t>
            </w:r>
          </w:p>
        </w:tc>
        <w:tc>
          <w:tcPr>
            <w:tcW w:w="128" w:type="dxa"/>
            <w:tcBorders>
              <w:bottom w:val="single" w:sz="2" w:space="0" w:color="CBCAC8"/>
            </w:tcBorders>
            <w:vAlign w:val="center"/>
          </w:tcPr>
          <w:p>
            <w:pPr>
              <w:pStyle w:val="TableContents"/>
              <w:bidi w:val="0"/>
              <w:spacing w:before="0" w:after="283"/>
              <w:jc w:val="right"/>
              <w:rPr/>
            </w:pPr>
            <w:r>
              <w:rPr/>
              <w:t>​</w:t>
            </w:r>
          </w:p>
        </w:tc>
        <w:tc>
          <w:tcPr>
            <w:tcW w:w="904" w:type="dxa"/>
            <w:tcBorders>
              <w:bottom w:val="single" w:sz="2" w:space="0" w:color="CBCAC8"/>
            </w:tcBorders>
            <w:vAlign w:val="center"/>
          </w:tcPr>
          <w:p>
            <w:pPr>
              <w:pStyle w:val="TableContents"/>
              <w:bidi w:val="0"/>
              <w:spacing w:before="0" w:after="283"/>
              <w:jc w:val="right"/>
              <w:rPr/>
            </w:pPr>
            <w:r>
              <w:rPr/>
              <w:t>–</w:t>
            </w:r>
          </w:p>
        </w:tc>
        <w:tc>
          <w:tcPr>
            <w:tcW w:w="131"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left"/>
              <w:rPr/>
            </w:pPr>
            <w:r>
              <w:rPr/>
              <w:t>​</w:t>
            </w:r>
          </w:p>
        </w:tc>
        <w:tc>
          <w:tcPr>
            <w:tcW w:w="286" w:type="dxa"/>
            <w:tcBorders>
              <w:bottom w:val="single" w:sz="2" w:space="0" w:color="CBCAC8"/>
            </w:tcBorders>
            <w:vAlign w:val="center"/>
          </w:tcPr>
          <w:p>
            <w:pPr>
              <w:pStyle w:val="TableContents"/>
              <w:bidi w:val="0"/>
              <w:spacing w:before="0" w:after="283"/>
              <w:jc w:val="right"/>
              <w:rPr/>
            </w:pPr>
            <w:r>
              <w:rPr/>
              <w:t>​</w:t>
            </w:r>
          </w:p>
        </w:tc>
        <w:tc>
          <w:tcPr>
            <w:tcW w:w="595" w:type="dxa"/>
            <w:tcBorders>
              <w:bottom w:val="single" w:sz="2" w:space="0" w:color="CBCAC8"/>
            </w:tcBorders>
            <w:vAlign w:val="center"/>
          </w:tcPr>
          <w:p>
            <w:pPr>
              <w:pStyle w:val="TableContents"/>
              <w:bidi w:val="0"/>
              <w:spacing w:before="0" w:after="283"/>
              <w:jc w:val="right"/>
              <w:rPr/>
            </w:pPr>
            <w:r>
              <w:rPr/>
              <w:t>–</w:t>
            </w:r>
          </w:p>
        </w:tc>
        <w:tc>
          <w:tcPr>
            <w:tcW w:w="28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64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9"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96" w:type="dxa"/>
            <w:tcBorders>
              <w:bottom w:val="single" w:sz="2" w:space="0" w:color="CBCAC8"/>
            </w:tcBorders>
            <w:vAlign w:val="center"/>
          </w:tcPr>
          <w:p>
            <w:pPr>
              <w:pStyle w:val="TableContents"/>
              <w:bidi w:val="0"/>
              <w:spacing w:before="0" w:after="283"/>
              <w:jc w:val="right"/>
              <w:rPr/>
            </w:pPr>
            <w:r>
              <w:rPr/>
              <w:t>1,118</w:t>
            </w:r>
            <w:r>
              <w:rPr>
                <w:sz w:val="9"/>
              </w:rPr>
              <w:t>(3</w:t>
            </w:r>
            <w:r>
              <w:rPr>
                <w:sz w:val="9"/>
              </w:rPr>
              <w:t>)</w:t>
            </w:r>
            <w:r>
              <w:rPr/>
              <w:t xml:space="preserve">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6" w:type="dxa"/>
            <w:tcBorders>
              <w:bottom w:val="single" w:sz="2" w:space="0" w:color="CBCAC8"/>
            </w:tcBorders>
            <w:vAlign w:val="center"/>
          </w:tcPr>
          <w:p>
            <w:pPr>
              <w:pStyle w:val="TableContents"/>
              <w:bidi w:val="0"/>
              <w:spacing w:before="0" w:after="283"/>
              <w:jc w:val="right"/>
              <w:rPr/>
            </w:pPr>
            <w:r>
              <w:rPr/>
              <w:t>89,183</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766" w:type="dxa"/>
            <w:tcBorders>
              <w:bottom w:val="single" w:sz="2" w:space="0" w:color="CBCAC8"/>
            </w:tcBorders>
            <w:vAlign w:val="center"/>
          </w:tcPr>
          <w:p>
            <w:pPr>
              <w:pStyle w:val="TableContents"/>
              <w:bidi w:val="0"/>
              <w:spacing w:before="0" w:after="283"/>
              <w:jc w:val="righ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right"/>
              <w:rPr/>
            </w:pPr>
            <w:r>
              <w:rPr/>
              <w:t>​</w:t>
            </w:r>
          </w:p>
        </w:tc>
        <w:tc>
          <w:tcPr>
            <w:tcW w:w="1068" w:type="dxa"/>
            <w:tcBorders>
              <w:bottom w:val="single" w:sz="2" w:space="0" w:color="CBCAC8"/>
            </w:tcBorders>
            <w:vAlign w:val="center"/>
          </w:tcPr>
          <w:p>
            <w:pPr>
              <w:pStyle w:val="TableContents"/>
              <w:bidi w:val="0"/>
              <w:spacing w:before="0" w:after="283"/>
              <w:jc w:val="right"/>
              <w:rPr/>
            </w:pPr>
            <w:r>
              <w:rPr/>
              <w:t>–</w:t>
            </w:r>
          </w:p>
        </w:tc>
        <w:tc>
          <w:tcPr>
            <w:tcW w:w="110"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8" w:space="0" w:color="7F7F7F"/>
            </w:tcBorders>
            <w:vAlign w:val="center"/>
          </w:tcPr>
          <w:p>
            <w:pPr>
              <w:pStyle w:val="TableContents"/>
              <w:bidi w:val="0"/>
              <w:spacing w:before="0" w:after="283"/>
              <w:jc w:val="left"/>
              <w:rPr/>
            </w:pPr>
            <w:r>
              <w:rPr/>
              <w:t>​</w:t>
            </w:r>
          </w:p>
        </w:tc>
        <w:tc>
          <w:tcPr>
            <w:tcW w:w="1043" w:type="dxa"/>
            <w:tcBorders>
              <w:bottom w:val="single" w:sz="8" w:space="0" w:color="7F7F7F"/>
            </w:tcBorders>
            <w:tcMar>
              <w:bottom w:w="80" w:type="dxa"/>
            </w:tcMar>
            <w:vAlign w:val="center"/>
          </w:tcPr>
          <w:p>
            <w:pPr>
              <w:pStyle w:val="TableContents"/>
              <w:bidi w:val="0"/>
              <w:spacing w:before="0" w:after="0"/>
              <w:ind w:left="150" w:right="0" w:hanging="0"/>
              <w:jc w:val="left"/>
              <w:rPr>
                <w:spacing w:val="-1"/>
              </w:rPr>
            </w:pPr>
            <w:r>
              <w:rPr>
                <w:spacing w:val="-1"/>
              </w:rPr>
              <w:t xml:space="preserve">03/23/2023 </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28" w:type="dxa"/>
            <w:tcBorders>
              <w:bottom w:val="single" w:sz="8" w:space="0" w:color="7F7F7F"/>
            </w:tcBorders>
            <w:vAlign w:val="center"/>
          </w:tcPr>
          <w:p>
            <w:pPr>
              <w:pStyle w:val="TableContents"/>
              <w:bidi w:val="0"/>
              <w:spacing w:before="0" w:after="283"/>
              <w:jc w:val="left"/>
              <w:rPr/>
            </w:pPr>
            <w:r>
              <w:rPr/>
              <w:t>​</w:t>
            </w:r>
          </w:p>
        </w:tc>
        <w:tc>
          <w:tcPr>
            <w:tcW w:w="128" w:type="dxa"/>
            <w:tcBorders>
              <w:bottom w:val="single" w:sz="8" w:space="0" w:color="7F7F7F"/>
            </w:tcBorders>
            <w:tcMar>
              <w:bottom w:w="80" w:type="dxa"/>
            </w:tcMar>
            <w:vAlign w:val="center"/>
          </w:tcPr>
          <w:p>
            <w:pPr>
              <w:pStyle w:val="TableContents"/>
              <w:bidi w:val="0"/>
              <w:spacing w:before="0" w:after="283"/>
              <w:jc w:val="right"/>
              <w:rPr/>
            </w:pPr>
            <w:r>
              <w:rPr/>
              <w:t>​</w:t>
            </w:r>
          </w:p>
        </w:tc>
        <w:tc>
          <w:tcPr>
            <w:tcW w:w="904" w:type="dxa"/>
            <w:tcBorders>
              <w:bottom w:val="single" w:sz="8" w:space="0" w:color="7F7F7F"/>
            </w:tcBorders>
            <w:tcMar>
              <w:bottom w:w="80" w:type="dxa"/>
            </w:tcMar>
            <w:vAlign w:val="center"/>
          </w:tcPr>
          <w:p>
            <w:pPr>
              <w:pStyle w:val="TableContents"/>
              <w:bidi w:val="0"/>
              <w:spacing w:before="0" w:after="283"/>
              <w:jc w:val="right"/>
              <w:rPr/>
            </w:pPr>
            <w:r>
              <w:rPr/>
              <w:t>–</w:t>
            </w:r>
          </w:p>
        </w:tc>
        <w:tc>
          <w:tcPr>
            <w:tcW w:w="131"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286" w:type="dxa"/>
            <w:tcBorders>
              <w:bottom w:val="single" w:sz="8" w:space="0" w:color="7F7F7F"/>
            </w:tcBorders>
            <w:vAlign w:val="center"/>
          </w:tcPr>
          <w:p>
            <w:pPr>
              <w:pStyle w:val="TableContents"/>
              <w:bidi w:val="0"/>
              <w:spacing w:before="0" w:after="283"/>
              <w:jc w:val="left"/>
              <w:rPr/>
            </w:pPr>
            <w:r>
              <w:rPr/>
              <w:t>​</w:t>
            </w:r>
          </w:p>
        </w:tc>
        <w:tc>
          <w:tcPr>
            <w:tcW w:w="286" w:type="dxa"/>
            <w:tcBorders>
              <w:bottom w:val="single" w:sz="8" w:space="0" w:color="7F7F7F"/>
            </w:tcBorders>
            <w:tcMar>
              <w:bottom w:w="80" w:type="dxa"/>
            </w:tcMar>
            <w:vAlign w:val="center"/>
          </w:tcPr>
          <w:p>
            <w:pPr>
              <w:pStyle w:val="TableContents"/>
              <w:bidi w:val="0"/>
              <w:spacing w:before="0" w:after="283"/>
              <w:jc w:val="right"/>
              <w:rPr/>
            </w:pPr>
            <w:r>
              <w:rPr/>
              <w:t>​</w:t>
            </w:r>
          </w:p>
        </w:tc>
        <w:tc>
          <w:tcPr>
            <w:tcW w:w="595" w:type="dxa"/>
            <w:tcBorders>
              <w:bottom w:val="single" w:sz="8" w:space="0" w:color="7F7F7F"/>
            </w:tcBorders>
            <w:tcMar>
              <w:bottom w:w="80" w:type="dxa"/>
            </w:tcMar>
            <w:vAlign w:val="center"/>
          </w:tcPr>
          <w:p>
            <w:pPr>
              <w:pStyle w:val="TableContents"/>
              <w:bidi w:val="0"/>
              <w:spacing w:before="0" w:after="283"/>
              <w:jc w:val="right"/>
              <w:rPr/>
            </w:pPr>
            <w:r>
              <w:rPr/>
              <w:t>–</w:t>
            </w:r>
          </w:p>
        </w:tc>
        <w:tc>
          <w:tcPr>
            <w:tcW w:w="28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tcMar>
              <w:bottom w:w="80" w:type="dxa"/>
            </w:tcMar>
            <w:vAlign w:val="center"/>
          </w:tcPr>
          <w:p>
            <w:pPr>
              <w:pStyle w:val="TableContents"/>
              <w:bidi w:val="0"/>
              <w:spacing w:before="0" w:after="283"/>
              <w:jc w:val="right"/>
              <w:rPr/>
            </w:pPr>
            <w:r>
              <w:rPr/>
              <w:t>​</w:t>
            </w:r>
          </w:p>
        </w:tc>
        <w:tc>
          <w:tcPr>
            <w:tcW w:w="646" w:type="dxa"/>
            <w:tcBorders>
              <w:bottom w:val="single" w:sz="8" w:space="0" w:color="7F7F7F"/>
            </w:tcBorders>
            <w:tcMar>
              <w:bottom w:w="80" w:type="dxa"/>
            </w:tcMar>
            <w:vAlign w:val="center"/>
          </w:tcPr>
          <w:p>
            <w:pPr>
              <w:pStyle w:val="TableContents"/>
              <w:bidi w:val="0"/>
              <w:spacing w:before="0" w:after="283"/>
              <w:jc w:val="righ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tcMar>
              <w:bottom w:w="80" w:type="dxa"/>
            </w:tcMar>
            <w:vAlign w:val="center"/>
          </w:tcPr>
          <w:p>
            <w:pPr>
              <w:pStyle w:val="TableContents"/>
              <w:bidi w:val="0"/>
              <w:spacing w:before="0" w:after="283"/>
              <w:jc w:val="right"/>
              <w:rPr/>
            </w:pPr>
            <w:r>
              <w:rPr/>
              <w:t>​</w:t>
            </w:r>
          </w:p>
        </w:tc>
        <w:tc>
          <w:tcPr>
            <w:tcW w:w="769" w:type="dxa"/>
            <w:tcBorders>
              <w:bottom w:val="single" w:sz="8" w:space="0" w:color="7F7F7F"/>
            </w:tcBorders>
            <w:tcMar>
              <w:bottom w:w="80" w:type="dxa"/>
            </w:tcMar>
            <w:vAlign w:val="center"/>
          </w:tcPr>
          <w:p>
            <w:pPr>
              <w:pStyle w:val="TableContents"/>
              <w:bidi w:val="0"/>
              <w:spacing w:before="0" w:after="283"/>
              <w:jc w:val="righ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tcMar>
              <w:bottom w:w="80" w:type="dxa"/>
            </w:tcMar>
            <w:vAlign w:val="center"/>
          </w:tcPr>
          <w:p>
            <w:pPr>
              <w:pStyle w:val="TableContents"/>
              <w:bidi w:val="0"/>
              <w:spacing w:before="0" w:after="283"/>
              <w:jc w:val="right"/>
              <w:rPr/>
            </w:pPr>
            <w:r>
              <w:rPr/>
              <w:t>​</w:t>
            </w:r>
          </w:p>
        </w:tc>
        <w:tc>
          <w:tcPr>
            <w:tcW w:w="796" w:type="dxa"/>
            <w:tcBorders>
              <w:bottom w:val="single" w:sz="8" w:space="0" w:color="7F7F7F"/>
            </w:tcBorders>
            <w:tcMar>
              <w:bottom w:w="80" w:type="dxa"/>
            </w:tcMar>
            <w:vAlign w:val="center"/>
          </w:tcPr>
          <w:p>
            <w:pPr>
              <w:pStyle w:val="TableContents"/>
              <w:bidi w:val="0"/>
              <w:spacing w:before="0" w:after="283"/>
              <w:jc w:val="right"/>
              <w:rPr/>
            </w:pPr>
            <w:r>
              <w:rPr/>
              <w:t xml:space="preserve">– </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tcMar>
              <w:bottom w:w="80" w:type="dxa"/>
            </w:tcMar>
            <w:vAlign w:val="center"/>
          </w:tcPr>
          <w:p>
            <w:pPr>
              <w:pStyle w:val="TableContents"/>
              <w:bidi w:val="0"/>
              <w:spacing w:before="0" w:after="283"/>
              <w:jc w:val="right"/>
              <w:rPr/>
            </w:pPr>
            <w:r>
              <w:rPr/>
              <w:t>​</w:t>
            </w:r>
          </w:p>
        </w:tc>
        <w:tc>
          <w:tcPr>
            <w:tcW w:w="1066" w:type="dxa"/>
            <w:tcBorders>
              <w:bottom w:val="single" w:sz="8" w:space="0" w:color="7F7F7F"/>
            </w:tcBorders>
            <w:tcMar>
              <w:bottom w:w="80" w:type="dxa"/>
            </w:tcMar>
            <w:vAlign w:val="center"/>
          </w:tcPr>
          <w:p>
            <w:pPr>
              <w:pStyle w:val="TableContents"/>
              <w:bidi w:val="0"/>
              <w:spacing w:before="0" w:after="283"/>
              <w:jc w:val="right"/>
              <w:rPr/>
            </w:pPr>
            <w:r>
              <w:rPr/>
              <w:t xml:space="preserve">– </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tcMar>
              <w:bottom w:w="80" w:type="dxa"/>
            </w:tcMar>
            <w:vAlign w:val="center"/>
          </w:tcPr>
          <w:p>
            <w:pPr>
              <w:pStyle w:val="TableContents"/>
              <w:bidi w:val="0"/>
              <w:spacing w:before="0" w:after="283"/>
              <w:jc w:val="right"/>
              <w:rPr/>
            </w:pPr>
            <w:r>
              <w:rPr/>
              <w:t>​</w:t>
            </w:r>
          </w:p>
        </w:tc>
        <w:tc>
          <w:tcPr>
            <w:tcW w:w="766" w:type="dxa"/>
            <w:tcBorders>
              <w:bottom w:val="single" w:sz="8" w:space="0" w:color="7F7F7F"/>
            </w:tcBorders>
            <w:tcMar>
              <w:bottom w:w="80" w:type="dxa"/>
            </w:tcMar>
            <w:vAlign w:val="center"/>
          </w:tcPr>
          <w:p>
            <w:pPr>
              <w:pStyle w:val="TableContents"/>
              <w:bidi w:val="0"/>
              <w:spacing w:before="0" w:after="283"/>
              <w:jc w:val="right"/>
              <w:rPr/>
            </w:pPr>
            <w:r>
              <w:rPr/>
              <w:t xml:space="preserve">4,628 </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vAlign w:val="center"/>
          </w:tcPr>
          <w:p>
            <w:pPr>
              <w:pStyle w:val="TableContents"/>
              <w:bidi w:val="0"/>
              <w:spacing w:before="0" w:after="283"/>
              <w:jc w:val="left"/>
              <w:rPr/>
            </w:pPr>
            <w:r>
              <w:rPr/>
              <w:t>​</w:t>
            </w:r>
          </w:p>
        </w:tc>
        <w:tc>
          <w:tcPr>
            <w:tcW w:w="109" w:type="dxa"/>
            <w:tcBorders>
              <w:bottom w:val="single" w:sz="8" w:space="0" w:color="7F7F7F"/>
            </w:tcBorders>
            <w:tcMar>
              <w:bottom w:w="80" w:type="dxa"/>
            </w:tcMar>
            <w:vAlign w:val="center"/>
          </w:tcPr>
          <w:p>
            <w:pPr>
              <w:pStyle w:val="TableContents"/>
              <w:bidi w:val="0"/>
              <w:spacing w:before="0" w:after="283"/>
              <w:jc w:val="right"/>
              <w:rPr/>
            </w:pPr>
            <w:r>
              <w:rPr/>
              <w:t>​</w:t>
            </w:r>
          </w:p>
        </w:tc>
        <w:tc>
          <w:tcPr>
            <w:tcW w:w="1068" w:type="dxa"/>
            <w:tcBorders>
              <w:bottom w:val="single" w:sz="8" w:space="0" w:color="7F7F7F"/>
            </w:tcBorders>
            <w:tcMar>
              <w:bottom w:w="80" w:type="dxa"/>
            </w:tcMar>
            <w:vAlign w:val="center"/>
          </w:tcPr>
          <w:p>
            <w:pPr>
              <w:pStyle w:val="TableContents"/>
              <w:bidi w:val="0"/>
              <w:spacing w:before="0" w:after="283"/>
              <w:jc w:val="right"/>
              <w:rPr/>
            </w:pPr>
            <w:r>
              <w:rPr/>
              <w:t>369,176</w:t>
            </w:r>
          </w:p>
        </w:tc>
        <w:tc>
          <w:tcPr>
            <w:tcW w:w="110" w:type="dxa"/>
            <w:tcBorders>
              <w:bottom w:val="single" w:sz="8" w:space="0" w:color="7F7F7F"/>
            </w:tcBorders>
            <w:vAlign w:val="center"/>
          </w:tcPr>
          <w:p>
            <w:pPr>
              <w:pStyle w:val="TableContents"/>
              <w:bidi w:val="0"/>
              <w:spacing w:before="0" w:after="283"/>
              <w:jc w:val="left"/>
              <w:rPr/>
            </w:pPr>
            <w:r>
              <w:rPr/>
              <w:t>​</w:t>
            </w:r>
          </w:p>
        </w:tc>
        <w:tc>
          <w:tcPr>
            <w:tcW w:w="154" w:type="dxa"/>
            <w:tcBorders>
              <w:bottom w:val="single" w:sz="8" w:space="0" w:color="7F7F7F"/>
            </w:tcBorders>
            <w:vAlign w:val="center"/>
          </w:tcPr>
          <w:p>
            <w:pPr>
              <w:pStyle w:val="TableContents"/>
              <w:bidi w:val="0"/>
              <w:spacing w:before="0" w:after="283"/>
              <w:jc w:val="left"/>
              <w:rPr/>
            </w:pPr>
            <w:r>
              <w:rPr/>
              <w:t>​</w:t>
            </w:r>
          </w:p>
        </w:tc>
      </w:tr>
    </w:tbl>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301"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On July 31, 2024, Howard Hughes Holdings Inc. completed the spinoff of SEG from the Company. In connection with the spinoff: (i) each time-based restricted stock award that was outstanding and held by a continuing HHH employee or non-employee director as of immediately prior to the effective time of the spinoff was adjusted into a post-distribution time-based restricted stock award that covered a number of post-distribution shares of HHH common stock equal to the product obtained by multiplying (x) the number of shares of HHH common stock covered by the applicable award immediately prior to the effective time, by (y) the HHH Ratio (as defined in the Employee Matters Agreement, dated July 31, 2024, between HHH and SEG), rounded down to the nearest whole share; (ii) each performance-based restricted stock award with vesting based on achievement of absolute or relative HHH total shareholder return was converted into a time-based restricted stock award covering a number of shares of HHH common stock, based on actual achievement of the performance metrics applicable to </w:t>
      </w:r>
      <w:r>
        <mc:AlternateContent>
          <mc:Choice Requires="wps">
            <w:drawing>
              <wp:anchor behindDoc="0" distT="38100" distB="0" distL="0" distR="0" simplePos="0" locked="0" layoutInCell="1" allowOverlap="1" relativeHeight="599">
                <wp:simplePos x="0" y="0"/>
                <wp:positionH relativeFrom="column">
                  <wp:align>left</wp:align>
                </wp:positionH>
                <wp:positionV relativeFrom="line">
                  <wp:align>top</wp:align>
                </wp:positionV>
                <wp:extent cx="254000" cy="279400"/>
                <wp:effectExtent l="0" t="0" r="0" b="0"/>
                <wp:wrapSquare wrapText="right"/>
                <wp:docPr id="612" name="Frame483"/>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84 \ 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Executive Compensation</w:t>
      </w:r>
      <w:r>
        <w:rPr>
          <w:rFonts w:ascii="Arial;Helvetica;sans-serif" w:hAnsi="Arial;Helvetica;sans-serif"/>
          <w:b/>
          <w:i w:val="false"/>
          <w:caps w:val="false"/>
          <w:smallCaps w:val="false"/>
          <w:color w:val="7F7F7F"/>
          <w:sz w:val="22"/>
        </w:rPr>
        <w:t>​</w:t>
      </w:r>
    </w:p>
    <w:p>
      <w:pPr>
        <w:pStyle w:val="TextBody"/>
        <w:bidi w:val="0"/>
        <w:spacing w:lineRule="atLeast" w:line="220" w:before="120" w:after="622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award as of the distribution date, and will continue to be subject to the original vesting period based on the holder’s continued service with HHH; and (iii) each performance-based restricted stock award with vesting based on achievement of HHH NAV per share or adjusted NAV that was held by an HHH employee was converted into an award covering shares of HHH common stock and will continue to be subject to the same terms and conditions following the effective time as applied to such award prior to the effective time of the spinoff, subject to adjustment of the applicable performance goals and/or performance calculation methodology in order to reflect the spinoff ((i), (ii), and (iii), collectively, the “Spinoff Award Adjustments”). The amounts set forth on the table above and, unless the context otherwise indicates, elsewhere in this proxy statement, reflect the Spinoff Award Adjustments.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Pursuant to SEC rules, market value in these columns was determined by multiplying the number of shares of stock by $79.77, the closing price of our common stock on December 31, 2025, the last trading day of the year.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00">
                <wp:simplePos x="0" y="0"/>
                <wp:positionH relativeFrom="column">
                  <wp:align>left</wp:align>
                </wp:positionH>
                <wp:positionV relativeFrom="line">
                  <wp:align>top</wp:align>
                </wp:positionV>
                <wp:extent cx="254000" cy="350520"/>
                <wp:effectExtent l="0" t="0" r="0" b="0"/>
                <wp:wrapSquare wrapText="right"/>
                <wp:docPr id="613" name="Frame4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1"/>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column reflects outstanding grants of restricted stock (time-based vesting).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01">
                <wp:simplePos x="0" y="0"/>
                <wp:positionH relativeFrom="column">
                  <wp:align>left</wp:align>
                </wp:positionH>
                <wp:positionV relativeFrom="line">
                  <wp:align>top</wp:align>
                </wp:positionV>
                <wp:extent cx="254000" cy="350520"/>
                <wp:effectExtent l="0" t="0" r="0" b="0"/>
                <wp:wrapSquare wrapText="right"/>
                <wp:docPr id="614" name="Frame4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(1)</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the case of performance-based awards granted in 2023 and 2024, this column reflects the total amount of restricted stock (performance-based vesting) that vest at the level of 200%, based upon achieving the threshold adjusted net asset value growth over a three-year period. In the case of performance-based awards granted in 2025, this column reflects the total amount of restricted stock (performance-based vesting) that vest at the level of 100%, based upon achieving the threshold adjusted net asset value growth over a three-year period. See Footnote 3 of the 2025 Grants of Plan-Based Awards table for additional information regarding the vesting of performance-based restricted stock.</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02">
                <wp:simplePos x="0" y="0"/>
                <wp:positionH relativeFrom="column">
                  <wp:align>left</wp:align>
                </wp:positionH>
                <wp:positionV relativeFrom="line">
                  <wp:align>top</wp:align>
                </wp:positionV>
                <wp:extent cx="254000" cy="350520"/>
                <wp:effectExtent l="0" t="0" r="0" b="0"/>
                <wp:wrapSquare wrapText="right"/>
                <wp:docPr id="615" name="Frame4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(2)</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These shares of common stock vest in three equal installments. One-third (1/3) vested on each of January 30, 2025 and December 31, 2025, and one-third (1/3) will vest on December 31, 2026.</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03">
                <wp:simplePos x="0" y="0"/>
                <wp:positionH relativeFrom="column">
                  <wp:align>left</wp:align>
                </wp:positionH>
                <wp:positionV relativeFrom="line">
                  <wp:align>top</wp:align>
                </wp:positionV>
                <wp:extent cx="254000" cy="350520"/>
                <wp:effectExtent l="0" t="0" r="0" b="0"/>
                <wp:wrapSquare wrapText="right"/>
                <wp:docPr id="616" name="Frame4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(3)</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These shares of common stock vest in three equal installments. One-third (1/3) vested on February 5, 2026, and one-third (1/3) will vest on each of December 31, 2026 and December 31, 2027.</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04">
                <wp:simplePos x="0" y="0"/>
                <wp:positionH relativeFrom="column">
                  <wp:align>left</wp:align>
                </wp:positionH>
                <wp:positionV relativeFrom="line">
                  <wp:align>top</wp:align>
                </wp:positionV>
                <wp:extent cx="254000" cy="350520"/>
                <wp:effectExtent l="0" t="0" r="0" b="0"/>
                <wp:wrapSquare wrapText="right"/>
                <wp:docPr id="617" name="Frame4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(4)</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These shares of common stock vest in three equal installments. One-third (1/3) vested on each of February 5, 2025 and December 31, 2025, and one-third (1/3) will vest on December 31, 2026.</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05">
                <wp:simplePos x="0" y="0"/>
                <wp:positionH relativeFrom="column">
                  <wp:align>left</wp:align>
                </wp:positionH>
                <wp:positionV relativeFrom="line">
                  <wp:align>top</wp:align>
                </wp:positionV>
                <wp:extent cx="254000" cy="350520"/>
                <wp:effectExtent l="0" t="0" r="0" b="0"/>
                <wp:wrapSquare wrapText="right"/>
                <wp:docPr id="618" name="Frame4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1"/>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(5)</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These shares of common stock vest in three equal installments. One-third (1/3) vested on April 1, 2025, and one-third (1/3) will vest on each of April 1, 2026 and April 1, 2027. </w:t>
      </w:r>
      <w:r>
        <mc:AlternateContent>
          <mc:Choice Requires="wps">
            <w:drawing>
              <wp:anchor behindDoc="0" distT="76200" distB="0" distL="0" distR="0" simplePos="0" locked="0" layoutInCell="1" allowOverlap="1" relativeHeight="606">
                <wp:simplePos x="0" y="0"/>
                <wp:positionH relativeFrom="column">
                  <wp:align>left</wp:align>
                </wp:positionH>
                <wp:positionV relativeFrom="line">
                  <wp:align>top</wp:align>
                </wp:positionV>
                <wp:extent cx="254000" cy="350520"/>
                <wp:effectExtent l="0" t="0" r="0" b="0"/>
                <wp:wrapSquare wrapText="right"/>
                <wp:docPr id="619" name="Frame4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1"/>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(6)</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/ 85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6" w:name="t2OEA"/>
      <w:bookmarkEnd w:id="76"/>
      <w:r>
        <w:rPr>
          <w:rFonts w:ascii="calibri;arial;sans-serif" w:hAnsi="calibri;arial;sans-serif"/>
          <w:b w:val="false"/>
          <w:i w:val="false"/>
          <w:caps w:val="false"/>
          <w:smallCaps w:val="false"/>
          <w:color w:val="000000"/>
          <w:sz w:val="16"/>
        </w:rPr>
        <w:t>​</w:t>
      </w:r>
      <w:bookmarkStart w:id="77" w:name="tNDC"/>
      <w:bookmarkEnd w:id="77"/>
      <w:r>
        <w:rPr>
          <w:rFonts w:ascii="calibri;arial;sans-serif" w:hAnsi="calibri;arial;sans-serif"/>
          <w:b w:val="false"/>
          <w:i w:val="false"/>
          <w:caps w:val="false"/>
          <w:smallCaps w:val="false"/>
          <w:color w:val="000000"/>
          <w:sz w:val="16"/>
        </w:rPr>
        <w:t>​</w:t>
      </w:r>
      <w:bookmarkStart w:id="78" w:name="tPPUT"/>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Executive Compensation</w:t>
      </w:r>
      <w:r>
        <w:rPr>
          <w:rFonts w:ascii="Arial;Helvetica;sans-serif" w:hAnsi="Arial;Helvetica;sans-serif"/>
          <w:b/>
          <w:i w:val="false"/>
          <w:caps w:val="false"/>
          <w:smallCaps w:val="false"/>
          <w:color w:val="7F7F7F"/>
          <w:spacing w:val="-3"/>
          <w:sz w:val="22"/>
        </w:rPr>
        <w:t xml:space="preserve"> </w:t>
      </w:r>
    </w:p>
    <w:p>
      <w:pPr>
        <w:pStyle w:val="TextBody"/>
        <w:bidi w:val="0"/>
        <w:spacing w:lineRule="atLeast" w:line="340" w:before="120" w:after="283"/>
        <w:ind w:left="901"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2025 OPTION EXERCISES AND STOCK VESTED</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information regarding options exercised and stock awards vested during fiscal year 2025 with respect to our NEOs.</w:t>
      </w:r>
      <w:r>
        <w:rPr>
          <w:rFonts w:ascii="Arial;Helvetica;sans-serif" w:hAnsi="Arial;Helvetica;sans-serif"/>
          <w:b w:val="false"/>
          <w:i w:val="false"/>
          <w:caps w:val="false"/>
          <w:smallCaps w:val="false"/>
          <w:color w:val="000000"/>
          <w:spacing w:val="4"/>
          <w:sz w:val="20"/>
        </w:rPr>
        <w:t xml:space="preserve"> </w:t>
      </w:r>
    </w:p>
    <w:tbl>
      <w:tblPr>
        <w:tblW w:w="9051" w:type="dxa"/>
        <w:jc w:val="left"/>
        <w:tblInd w:w="901" w:type="dxa"/>
        <w:tblLayout w:type="fixed"/>
        <w:tblCellMar>
          <w:top w:w="0" w:type="dxa"/>
          <w:left w:w="0" w:type="dxa"/>
          <w:bottom w:w="28" w:type="dxa"/>
          <w:right w:w="0" w:type="dxa"/>
        </w:tblCellMar>
      </w:tblPr>
      <w:tblGrid>
        <w:gridCol w:w="124"/>
        <w:gridCol w:w="1938"/>
        <w:gridCol w:w="109"/>
        <w:gridCol w:w="109"/>
        <w:gridCol w:w="265"/>
        <w:gridCol w:w="265"/>
        <w:gridCol w:w="552"/>
        <w:gridCol w:w="267"/>
        <w:gridCol w:w="123"/>
        <w:gridCol w:w="123"/>
        <w:gridCol w:w="318"/>
        <w:gridCol w:w="318"/>
        <w:gridCol w:w="661"/>
        <w:gridCol w:w="322"/>
        <w:gridCol w:w="109"/>
        <w:gridCol w:w="109"/>
        <w:gridCol w:w="127"/>
        <w:gridCol w:w="127"/>
        <w:gridCol w:w="967"/>
        <w:gridCol w:w="127"/>
        <w:gridCol w:w="109"/>
        <w:gridCol w:w="109"/>
        <w:gridCol w:w="121"/>
        <w:gridCol w:w="121"/>
        <w:gridCol w:w="1256"/>
        <w:gridCol w:w="121"/>
        <w:gridCol w:w="154"/>
      </w:tblGrid>
      <w:tr>
        <w:trPr/>
        <w:tc>
          <w:tcPr>
            <w:tcW w:w="124" w:type="dxa"/>
            <w:tcBorders>
              <w:bottom w:val="single" w:sz="2" w:space="0" w:color="BAD8EA"/>
            </w:tcBorders>
            <w:shd w:fill="BAD8EA" w:val="clear"/>
            <w:vAlign w:val="center"/>
          </w:tcPr>
          <w:p>
            <w:pPr>
              <w:pStyle w:val="TableContents"/>
              <w:bidi w:val="0"/>
              <w:spacing w:before="0" w:after="283"/>
              <w:jc w:val="left"/>
              <w:rPr/>
            </w:pPr>
            <w:r>
              <w:rPr/>
              <w:t>​</w:t>
            </w:r>
          </w:p>
        </w:tc>
        <w:tc>
          <w:tcPr>
            <w:tcW w:w="1938" w:type="dxa"/>
            <w:tcBorders>
              <w:bottom w:val="single" w:sz="2" w:space="0" w:color="BAD8EA"/>
            </w:tcBorders>
            <w:shd w:fill="BAD8EA" w:val="clear"/>
            <w:vAlign w:val="center"/>
          </w:tcPr>
          <w:p>
            <w:pPr>
              <w:pStyle w:val="TableContents"/>
              <w:bidi w:val="0"/>
              <w:spacing w:before="0" w:after="283"/>
              <w:jc w:val="left"/>
              <w:rPr/>
            </w:pPr>
            <w:r>
              <w:rPr/>
              <w:t>​</w:t>
            </w:r>
          </w:p>
        </w:tc>
        <w:tc>
          <w:tcPr>
            <w:tcW w:w="109" w:type="dxa"/>
            <w:tcBorders>
              <w:bottom w:val="single" w:sz="2" w:space="0" w:color="BAD8EA"/>
            </w:tcBorders>
            <w:shd w:fill="BAD8EA" w:val="clear"/>
            <w:vAlign w:val="center"/>
          </w:tcPr>
          <w:p>
            <w:pPr>
              <w:pStyle w:val="TableContents"/>
              <w:bidi w:val="0"/>
              <w:spacing w:before="0" w:after="283"/>
              <w:jc w:val="left"/>
              <w:rPr/>
            </w:pPr>
            <w:r>
              <w:rPr/>
              <w:t>​</w:t>
            </w:r>
          </w:p>
        </w:tc>
        <w:tc>
          <w:tcPr>
            <w:tcW w:w="109" w:type="dxa"/>
            <w:tcBorders>
              <w:bottom w:val="single" w:sz="2" w:space="0" w:color="BAD8EA"/>
            </w:tcBorders>
            <w:shd w:fill="BAD8EA" w:val="clear"/>
            <w:vAlign w:val="center"/>
          </w:tcPr>
          <w:p>
            <w:pPr>
              <w:pStyle w:val="TableContents"/>
              <w:bidi w:val="0"/>
              <w:spacing w:before="0" w:after="283"/>
              <w:jc w:val="left"/>
              <w:rPr/>
            </w:pPr>
            <w:r>
              <w:rPr/>
              <w:t>​</w:t>
            </w:r>
          </w:p>
        </w:tc>
        <w:tc>
          <w:tcPr>
            <w:tcW w:w="3214" w:type="dxa"/>
            <w:gridSpan w:val="10"/>
            <w:tcBorders>
              <w:bottom w:val="single" w:sz="2" w:space="0" w:color="000000"/>
            </w:tcBorders>
            <w:shd w:fill="BAD8EA" w:val="clear"/>
            <w:tcMar>
              <w:bottom w:w="53" w:type="dxa"/>
            </w:tcMar>
            <w:vAlign w:val="center"/>
          </w:tcPr>
          <w:p>
            <w:pPr>
              <w:pStyle w:val="TableContents"/>
              <w:bidi w:val="0"/>
              <w:spacing w:before="0" w:after="0"/>
              <w:jc w:val="center"/>
              <w:rPr>
                <w:spacing w:val="0"/>
              </w:rPr>
            </w:pPr>
            <w:r>
              <w:rPr>
                <w:spacing w:val="0"/>
              </w:rPr>
              <w:t xml:space="preserve">Option Awards </w:t>
            </w:r>
          </w:p>
        </w:tc>
        <w:tc>
          <w:tcPr>
            <w:tcW w:w="109" w:type="dxa"/>
            <w:tcBorders>
              <w:bottom w:val="single" w:sz="2" w:space="0" w:color="BAD8EA"/>
            </w:tcBorders>
            <w:shd w:fill="BAD8EA" w:val="clear"/>
            <w:vAlign w:val="center"/>
          </w:tcPr>
          <w:p>
            <w:pPr>
              <w:pStyle w:val="TableContents"/>
              <w:bidi w:val="0"/>
              <w:spacing w:before="0" w:after="283"/>
              <w:jc w:val="left"/>
              <w:rPr/>
            </w:pPr>
            <w:r>
              <w:rPr/>
              <w:t>​</w:t>
            </w:r>
          </w:p>
        </w:tc>
        <w:tc>
          <w:tcPr>
            <w:tcW w:w="109" w:type="dxa"/>
            <w:tcBorders>
              <w:bottom w:val="single" w:sz="2" w:space="0" w:color="BAD8EA"/>
            </w:tcBorders>
            <w:shd w:fill="BAD8EA" w:val="clear"/>
            <w:vAlign w:val="center"/>
          </w:tcPr>
          <w:p>
            <w:pPr>
              <w:pStyle w:val="TableContents"/>
              <w:bidi w:val="0"/>
              <w:spacing w:before="0" w:after="283"/>
              <w:jc w:val="left"/>
              <w:rPr/>
            </w:pPr>
            <w:r>
              <w:rPr/>
              <w:t>​</w:t>
            </w:r>
          </w:p>
        </w:tc>
        <w:tc>
          <w:tcPr>
            <w:tcW w:w="3185" w:type="dxa"/>
            <w:gridSpan w:val="10"/>
            <w:tcBorders>
              <w:bottom w:val="single" w:sz="2" w:space="0" w:color="000000"/>
            </w:tcBorders>
            <w:shd w:fill="BAD8EA" w:val="clear"/>
            <w:tcMar>
              <w:bottom w:w="53" w:type="dxa"/>
            </w:tcMar>
            <w:vAlign w:val="center"/>
          </w:tcPr>
          <w:p>
            <w:pPr>
              <w:pStyle w:val="TableContents"/>
              <w:bidi w:val="0"/>
              <w:spacing w:before="0" w:after="0"/>
              <w:jc w:val="center"/>
              <w:rPr>
                <w:spacing w:val="0"/>
              </w:rPr>
            </w:pPr>
            <w:r>
              <w:rPr>
                <w:spacing w:val="0"/>
              </w:rPr>
              <w:t xml:space="preserve">Stock Awards </w:t>
            </w:r>
          </w:p>
        </w:tc>
        <w:tc>
          <w:tcPr>
            <w:tcW w:w="154" w:type="dxa"/>
            <w:tcBorders>
              <w:bottom w:val="single" w:sz="2" w:space="0" w:color="BAD8EA"/>
            </w:tcBorders>
            <w:shd w:fill="BAD8EA" w:val="clear"/>
            <w:vAlign w:val="center"/>
          </w:tcPr>
          <w:p>
            <w:pPr>
              <w:pStyle w:val="TableContents"/>
              <w:bidi w:val="0"/>
              <w:spacing w:before="0" w:after="283"/>
              <w:jc w:val="left"/>
              <w:rPr/>
            </w:pPr>
            <w:r>
              <w:rPr/>
              <w:t>​</w:t>
            </w:r>
          </w:p>
        </w:tc>
      </w:tr>
      <w:tr>
        <w:trPr/>
        <w:tc>
          <w:tcPr>
            <w:tcW w:w="124" w:type="dxa"/>
            <w:tcBorders/>
            <w:shd w:fill="BAD8EA" w:val="clear"/>
            <w:tcMar>
              <w:bottom w:w="0" w:type="dxa"/>
            </w:tcMar>
            <w:vAlign w:val="center"/>
          </w:tcPr>
          <w:p>
            <w:pPr>
              <w:pStyle w:val="TableContents"/>
              <w:bidi w:val="0"/>
              <w:spacing w:before="0" w:after="283"/>
              <w:jc w:val="left"/>
              <w:rPr/>
            </w:pPr>
            <w:r>
              <w:rPr/>
              <w:t>​</w:t>
            </w:r>
          </w:p>
        </w:tc>
        <w:tc>
          <w:tcPr>
            <w:tcW w:w="1938" w:type="dxa"/>
            <w:tcBorders/>
            <w:shd w:fill="BAD8EA" w:val="clear"/>
            <w:tcMar>
              <w:bottom w:w="0" w:type="dxa"/>
            </w:tcMar>
            <w:vAlign w:val="center"/>
          </w:tcPr>
          <w:p>
            <w:pPr>
              <w:pStyle w:val="TableContents"/>
              <w:bidi w:val="0"/>
              <w:spacing w:before="0" w:after="0"/>
              <w:jc w:val="left"/>
              <w:rPr>
                <w:spacing w:val="0"/>
              </w:rPr>
            </w:pPr>
            <w:r>
              <w:rPr>
                <w:spacing w:val="0"/>
              </w:rPr>
              <w:t xml:space="preserve">Name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349" w:type="dxa"/>
            <w:gridSpan w:val="4"/>
            <w:tcBorders/>
            <w:shd w:fill="BAD8EA" w:val="clear"/>
            <w:tcMar>
              <w:bottom w:w="0" w:type="dxa"/>
            </w:tcMar>
            <w:vAlign w:val="center"/>
          </w:tcPr>
          <w:p>
            <w:pPr>
              <w:pStyle w:val="TableContents"/>
              <w:bidi w:val="0"/>
              <w:spacing w:lineRule="atLeast" w:line="202" w:before="0" w:after="0"/>
              <w:jc w:val="center"/>
              <w:rPr/>
            </w:pPr>
            <w:r>
              <w:rPr>
                <w:spacing w:val="0"/>
              </w:rPr>
              <w:t xml:space="preserve">Number of </w:t>
              <w:br/>
              <w:t xml:space="preserve">Shares </w:t>
              <w:br/>
              <w:t xml:space="preserve">Acquired on </w:t>
              <w:br/>
              <w:t>Exercise</w:t>
            </w:r>
            <w:r>
              <w:rPr/>
              <w:t xml:space="preserve"> </w:t>
              <w:br/>
            </w:r>
            <w:r>
              <w:rPr>
                <w:spacing w:val="-2"/>
              </w:rPr>
              <w:t xml:space="preserve">(#) </w:t>
            </w:r>
          </w:p>
        </w:tc>
        <w:tc>
          <w:tcPr>
            <w:tcW w:w="123" w:type="dxa"/>
            <w:tcBorders/>
            <w:shd w:fill="BAD8EA" w:val="clear"/>
            <w:tcMar>
              <w:bottom w:w="0" w:type="dxa"/>
            </w:tcMar>
            <w:vAlign w:val="center"/>
          </w:tcPr>
          <w:p>
            <w:pPr>
              <w:pStyle w:val="TableContents"/>
              <w:bidi w:val="0"/>
              <w:spacing w:before="0" w:after="283"/>
              <w:jc w:val="left"/>
              <w:rPr/>
            </w:pPr>
            <w:r>
              <w:rPr/>
              <w:t>​</w:t>
            </w:r>
          </w:p>
        </w:tc>
        <w:tc>
          <w:tcPr>
            <w:tcW w:w="123" w:type="dxa"/>
            <w:tcBorders/>
            <w:shd w:fill="BAD8EA" w:val="clear"/>
            <w:tcMar>
              <w:bottom w:w="0" w:type="dxa"/>
            </w:tcMar>
            <w:vAlign w:val="center"/>
          </w:tcPr>
          <w:p>
            <w:pPr>
              <w:pStyle w:val="TableContents"/>
              <w:bidi w:val="0"/>
              <w:spacing w:before="0" w:after="283"/>
              <w:jc w:val="left"/>
              <w:rPr/>
            </w:pPr>
            <w:r>
              <w:rPr/>
              <w:t>​</w:t>
            </w:r>
          </w:p>
        </w:tc>
        <w:tc>
          <w:tcPr>
            <w:tcW w:w="1619" w:type="dxa"/>
            <w:gridSpan w:val="4"/>
            <w:tcBorders/>
            <w:shd w:fill="BAD8EA" w:val="clear"/>
            <w:tcMar>
              <w:bottom w:w="0" w:type="dxa"/>
            </w:tcMar>
            <w:vAlign w:val="center"/>
          </w:tcPr>
          <w:p>
            <w:pPr>
              <w:pStyle w:val="TableContents"/>
              <w:bidi w:val="0"/>
              <w:spacing w:lineRule="atLeast" w:line="202" w:before="0" w:after="0"/>
              <w:jc w:val="center"/>
              <w:rPr/>
            </w:pPr>
            <w:r>
              <w:rPr>
                <w:spacing w:val="0"/>
              </w:rPr>
              <w:t xml:space="preserve">Value Realized </w:t>
              <w:br/>
              <w:t>on Exercise</w:t>
            </w:r>
            <w:r>
              <w:rPr/>
              <w:t xml:space="preserve"> </w:t>
              <w:br/>
            </w:r>
            <w:r>
              <w:rPr>
                <w:spacing w:val="-2"/>
              </w:rPr>
              <w:t xml:space="preserv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348" w:type="dxa"/>
            <w:gridSpan w:val="4"/>
            <w:tcBorders/>
            <w:shd w:fill="BAD8EA" w:val="clear"/>
            <w:tcMar>
              <w:bottom w:w="0" w:type="dxa"/>
            </w:tcMar>
            <w:vAlign w:val="center"/>
          </w:tcPr>
          <w:p>
            <w:pPr>
              <w:pStyle w:val="TableContents"/>
              <w:bidi w:val="0"/>
              <w:spacing w:lineRule="atLeast" w:line="202" w:before="0" w:after="0"/>
              <w:jc w:val="center"/>
              <w:rPr/>
            </w:pPr>
            <w:r>
              <w:rPr>
                <w:spacing w:val="0"/>
              </w:rPr>
              <w:t xml:space="preserve">Number of </w:t>
              <w:br/>
              <w:t xml:space="preserve">Shares </w:t>
              <w:br/>
              <w:t xml:space="preserve">Acquired on </w:t>
              <w:br/>
              <w:t>Vesting</w:t>
            </w:r>
            <w:r>
              <w:rPr/>
              <w:t xml:space="preserve"> </w:t>
              <w:br/>
            </w:r>
            <w:r>
              <w:rPr>
                <w:spacing w:val="-2"/>
              </w:rPr>
              <w:t xml:space="preserve">(#) </w:t>
            </w:r>
          </w:p>
        </w:tc>
        <w:tc>
          <w:tcPr>
            <w:tcW w:w="109" w:type="dxa"/>
            <w:tcBorders/>
            <w:shd w:fill="BAD8EA" w:val="clear"/>
            <w:tcMar>
              <w:bottom w:w="0" w:type="dxa"/>
            </w:tcMar>
            <w:vAlign w:val="center"/>
          </w:tcPr>
          <w:p>
            <w:pPr>
              <w:pStyle w:val="TableContents"/>
              <w:bidi w:val="0"/>
              <w:spacing w:before="0" w:after="283"/>
              <w:jc w:val="left"/>
              <w:rPr/>
            </w:pPr>
            <w:r>
              <w:rPr/>
              <w:t>​</w:t>
            </w:r>
          </w:p>
        </w:tc>
        <w:tc>
          <w:tcPr>
            <w:tcW w:w="109" w:type="dxa"/>
            <w:tcBorders/>
            <w:shd w:fill="BAD8EA" w:val="clear"/>
            <w:tcMar>
              <w:bottom w:w="0" w:type="dxa"/>
            </w:tcMar>
            <w:vAlign w:val="center"/>
          </w:tcPr>
          <w:p>
            <w:pPr>
              <w:pStyle w:val="TableContents"/>
              <w:bidi w:val="0"/>
              <w:spacing w:before="0" w:after="283"/>
              <w:jc w:val="left"/>
              <w:rPr/>
            </w:pPr>
            <w:r>
              <w:rPr/>
              <w:t>​</w:t>
            </w:r>
          </w:p>
        </w:tc>
        <w:tc>
          <w:tcPr>
            <w:tcW w:w="1619" w:type="dxa"/>
            <w:gridSpan w:val="4"/>
            <w:tcBorders/>
            <w:shd w:fill="BAD8EA" w:val="clear"/>
            <w:tcMar>
              <w:bottom w:w="0" w:type="dxa"/>
            </w:tcMar>
            <w:vAlign w:val="center"/>
          </w:tcPr>
          <w:p>
            <w:pPr>
              <w:pStyle w:val="TableContents"/>
              <w:bidi w:val="0"/>
              <w:spacing w:lineRule="atLeast" w:line="202" w:before="0" w:after="0"/>
              <w:jc w:val="center"/>
              <w:rPr/>
            </w:pPr>
            <w:r>
              <w:rPr>
                <w:spacing w:val="0"/>
              </w:rPr>
              <w:t xml:space="preserve">Value Realized </w:t>
              <w:br/>
              <w:t>on Vesting</w:t>
            </w:r>
            <w:r>
              <w:rPr/>
              <w:t xml:space="preserve"> </w:t>
              <w:br/>
            </w:r>
            <w:r>
              <w:rPr>
                <w:spacing w:val="-2"/>
              </w:rPr>
              <w:t xml:space="preserve">($) </w:t>
            </w:r>
          </w:p>
        </w:tc>
        <w:tc>
          <w:tcPr>
            <w:tcW w:w="154" w:type="dxa"/>
            <w:tcBorders/>
            <w:shd w:fill="BAD8EA"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938"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David O’Reilly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65" w:type="dxa"/>
            <w:tcBorders>
              <w:bottom w:val="single" w:sz="2" w:space="0" w:color="CBCAC8"/>
            </w:tcBorders>
            <w:vAlign w:val="center"/>
          </w:tcPr>
          <w:p>
            <w:pPr>
              <w:pStyle w:val="TableContents"/>
              <w:bidi w:val="0"/>
              <w:spacing w:before="0" w:after="283"/>
              <w:jc w:val="left"/>
              <w:rPr/>
            </w:pPr>
            <w:r>
              <w:rPr/>
              <w:t>​</w:t>
            </w:r>
          </w:p>
        </w:tc>
        <w:tc>
          <w:tcPr>
            <w:tcW w:w="265" w:type="dxa"/>
            <w:tcBorders>
              <w:bottom w:val="single" w:sz="2" w:space="0" w:color="CBCAC8"/>
            </w:tcBorders>
            <w:tcMar>
              <w:bottom w:w="50" w:type="dxa"/>
            </w:tcMar>
            <w:vAlign w:val="center"/>
          </w:tcPr>
          <w:p>
            <w:pPr>
              <w:pStyle w:val="TableContents"/>
              <w:bidi w:val="0"/>
              <w:spacing w:before="0" w:after="283"/>
              <w:jc w:val="right"/>
              <w:rPr/>
            </w:pPr>
            <w:r>
              <w:rPr/>
              <w:t>​</w:t>
            </w:r>
          </w:p>
        </w:tc>
        <w:tc>
          <w:tcPr>
            <w:tcW w:w="552" w:type="dxa"/>
            <w:tcBorders>
              <w:bottom w:val="single" w:sz="2" w:space="0" w:color="CBCAC8"/>
            </w:tcBorders>
            <w:tcMar>
              <w:bottom w:w="50" w:type="dxa"/>
            </w:tcMar>
            <w:vAlign w:val="center"/>
          </w:tcPr>
          <w:p>
            <w:pPr>
              <w:pStyle w:val="TableContents"/>
              <w:bidi w:val="0"/>
              <w:spacing w:before="0" w:after="283"/>
              <w:jc w:val="right"/>
              <w:rPr/>
            </w:pPr>
            <w:r>
              <w:rPr/>
              <w:t>–</w:t>
            </w:r>
          </w:p>
        </w:tc>
        <w:tc>
          <w:tcPr>
            <w:tcW w:w="267" w:type="dxa"/>
            <w:tcBorders>
              <w:bottom w:val="single" w:sz="2" w:space="0" w:color="CBCAC8"/>
            </w:tcBorders>
            <w:vAlign w:val="center"/>
          </w:tcPr>
          <w:p>
            <w:pPr>
              <w:pStyle w:val="TableContents"/>
              <w:bidi w:val="0"/>
              <w:spacing w:before="0" w:after="283"/>
              <w:jc w:val="left"/>
              <w:rPr/>
            </w:pPr>
            <w:r>
              <w:rPr/>
              <w:t>​</w:t>
            </w:r>
          </w:p>
        </w:tc>
        <w:tc>
          <w:tcPr>
            <w:tcW w:w="123" w:type="dxa"/>
            <w:tcBorders>
              <w:bottom w:val="single" w:sz="2" w:space="0" w:color="CBCAC8"/>
            </w:tcBorders>
            <w:vAlign w:val="center"/>
          </w:tcPr>
          <w:p>
            <w:pPr>
              <w:pStyle w:val="TableContents"/>
              <w:bidi w:val="0"/>
              <w:spacing w:before="0" w:after="283"/>
              <w:jc w:val="left"/>
              <w:rPr/>
            </w:pPr>
            <w:r>
              <w:rPr/>
              <w:t>​</w:t>
            </w:r>
          </w:p>
        </w:tc>
        <w:tc>
          <w:tcPr>
            <w:tcW w:w="123" w:type="dxa"/>
            <w:tcBorders>
              <w:bottom w:val="single" w:sz="2" w:space="0" w:color="CBCAC8"/>
            </w:tcBorders>
            <w:vAlign w:val="center"/>
          </w:tcPr>
          <w:p>
            <w:pPr>
              <w:pStyle w:val="TableContents"/>
              <w:bidi w:val="0"/>
              <w:spacing w:before="0" w:after="283"/>
              <w:jc w:val="left"/>
              <w:rPr/>
            </w:pPr>
            <w:r>
              <w:rPr/>
              <w:t>​</w:t>
            </w:r>
          </w:p>
        </w:tc>
        <w:tc>
          <w:tcPr>
            <w:tcW w:w="318" w:type="dxa"/>
            <w:tcBorders>
              <w:bottom w:val="single" w:sz="2" w:space="0" w:color="CBCAC8"/>
            </w:tcBorders>
            <w:vAlign w:val="center"/>
          </w:tcPr>
          <w:p>
            <w:pPr>
              <w:pStyle w:val="TableContents"/>
              <w:bidi w:val="0"/>
              <w:spacing w:before="0" w:after="283"/>
              <w:jc w:val="left"/>
              <w:rPr/>
            </w:pPr>
            <w:r>
              <w:rPr/>
              <w:t>​</w:t>
            </w:r>
          </w:p>
        </w:tc>
        <w:tc>
          <w:tcPr>
            <w:tcW w:w="318" w:type="dxa"/>
            <w:tcBorders>
              <w:bottom w:val="single" w:sz="2" w:space="0" w:color="CBCAC8"/>
            </w:tcBorders>
            <w:tcMar>
              <w:bottom w:w="50" w:type="dxa"/>
            </w:tcMar>
            <w:vAlign w:val="center"/>
          </w:tcPr>
          <w:p>
            <w:pPr>
              <w:pStyle w:val="TableContents"/>
              <w:bidi w:val="0"/>
              <w:spacing w:before="0" w:after="283"/>
              <w:jc w:val="right"/>
              <w:rPr/>
            </w:pPr>
            <w:r>
              <w:rPr/>
              <w:t>​</w:t>
            </w:r>
          </w:p>
        </w:tc>
        <w:tc>
          <w:tcPr>
            <w:tcW w:w="661" w:type="dxa"/>
            <w:tcBorders>
              <w:bottom w:val="single" w:sz="2" w:space="0" w:color="CBCAC8"/>
            </w:tcBorders>
            <w:tcMar>
              <w:bottom w:w="50" w:type="dxa"/>
            </w:tcMar>
            <w:vAlign w:val="center"/>
          </w:tcPr>
          <w:p>
            <w:pPr>
              <w:pStyle w:val="TableContents"/>
              <w:bidi w:val="0"/>
              <w:spacing w:before="0" w:after="283"/>
              <w:jc w:val="right"/>
              <w:rPr/>
            </w:pPr>
            <w:r>
              <w:rPr/>
              <w:t>–</w:t>
            </w:r>
          </w:p>
        </w:tc>
        <w:tc>
          <w:tcPr>
            <w:tcW w:w="322"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7" w:type="dxa"/>
            <w:tcBorders>
              <w:bottom w:val="single" w:sz="2" w:space="0" w:color="CBCAC8"/>
            </w:tcBorders>
            <w:vAlign w:val="center"/>
          </w:tcPr>
          <w:p>
            <w:pPr>
              <w:pStyle w:val="TableContents"/>
              <w:bidi w:val="0"/>
              <w:spacing w:before="0" w:after="283"/>
              <w:jc w:val="left"/>
              <w:rPr/>
            </w:pPr>
            <w:r>
              <w:rPr/>
              <w:t>​</w:t>
            </w:r>
          </w:p>
        </w:tc>
        <w:tc>
          <w:tcPr>
            <w:tcW w:w="127" w:type="dxa"/>
            <w:tcBorders>
              <w:bottom w:val="single" w:sz="2" w:space="0" w:color="CBCAC8"/>
            </w:tcBorders>
            <w:tcMar>
              <w:bottom w:w="50" w:type="dxa"/>
            </w:tcMar>
            <w:vAlign w:val="center"/>
          </w:tcPr>
          <w:p>
            <w:pPr>
              <w:pStyle w:val="TableContents"/>
              <w:bidi w:val="0"/>
              <w:spacing w:before="0" w:after="283"/>
              <w:jc w:val="right"/>
              <w:rPr/>
            </w:pPr>
            <w:r>
              <w:rPr/>
              <w:t>​</w:t>
            </w:r>
          </w:p>
        </w:tc>
        <w:tc>
          <w:tcPr>
            <w:tcW w:w="967" w:type="dxa"/>
            <w:tcBorders>
              <w:bottom w:val="single" w:sz="2" w:space="0" w:color="CBCAC8"/>
            </w:tcBorders>
            <w:tcMar>
              <w:bottom w:w="50" w:type="dxa"/>
            </w:tcMar>
            <w:vAlign w:val="center"/>
          </w:tcPr>
          <w:p>
            <w:pPr>
              <w:pStyle w:val="TableContents"/>
              <w:bidi w:val="0"/>
              <w:spacing w:before="0" w:after="283"/>
              <w:jc w:val="right"/>
              <w:rPr/>
            </w:pPr>
            <w:r>
              <w:rPr/>
              <w:t>21,744</w:t>
            </w:r>
          </w:p>
        </w:tc>
        <w:tc>
          <w:tcPr>
            <w:tcW w:w="127"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1" w:type="dxa"/>
            <w:tcBorders>
              <w:bottom w:val="single" w:sz="2" w:space="0" w:color="CBCAC8"/>
            </w:tcBorders>
            <w:vAlign w:val="center"/>
          </w:tcPr>
          <w:p>
            <w:pPr>
              <w:pStyle w:val="TableContents"/>
              <w:bidi w:val="0"/>
              <w:spacing w:before="0" w:after="283"/>
              <w:jc w:val="left"/>
              <w:rPr/>
            </w:pPr>
            <w:r>
              <w:rPr/>
              <w:t>​</w:t>
            </w:r>
          </w:p>
        </w:tc>
        <w:tc>
          <w:tcPr>
            <w:tcW w:w="121" w:type="dxa"/>
            <w:tcBorders>
              <w:bottom w:val="single" w:sz="2" w:space="0" w:color="CBCAC8"/>
            </w:tcBorders>
            <w:tcMar>
              <w:bottom w:w="50" w:type="dxa"/>
            </w:tcMar>
            <w:vAlign w:val="center"/>
          </w:tcPr>
          <w:p>
            <w:pPr>
              <w:pStyle w:val="TableContents"/>
              <w:bidi w:val="0"/>
              <w:spacing w:before="0" w:after="283"/>
              <w:jc w:val="right"/>
              <w:rPr/>
            </w:pPr>
            <w:r>
              <w:rPr/>
              <w:t>​</w:t>
            </w:r>
          </w:p>
        </w:tc>
        <w:tc>
          <w:tcPr>
            <w:tcW w:w="1256" w:type="dxa"/>
            <w:tcBorders>
              <w:bottom w:val="single" w:sz="2" w:space="0" w:color="CBCAC8"/>
            </w:tcBorders>
            <w:tcMar>
              <w:bottom w:w="50" w:type="dxa"/>
            </w:tcMar>
            <w:vAlign w:val="center"/>
          </w:tcPr>
          <w:p>
            <w:pPr>
              <w:pStyle w:val="TableContents"/>
              <w:bidi w:val="0"/>
              <w:spacing w:before="0" w:after="283"/>
              <w:jc w:val="right"/>
              <w:rPr/>
            </w:pPr>
            <w:r>
              <w:rPr/>
              <w:t xml:space="preserve">1,735,944 </w:t>
            </w:r>
          </w:p>
        </w:tc>
        <w:tc>
          <w:tcPr>
            <w:tcW w:w="121"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938" w:type="dxa"/>
            <w:tcBorders>
              <w:bottom w:val="single" w:sz="2" w:space="0" w:color="CBCAC8"/>
            </w:tcBorders>
            <w:tcMar>
              <w:bottom w:w="50" w:type="dxa"/>
            </w:tcMar>
            <w:vAlign w:val="center"/>
          </w:tcPr>
          <w:p>
            <w:pPr>
              <w:pStyle w:val="TableContents"/>
              <w:bidi w:val="0"/>
              <w:spacing w:before="0" w:after="283"/>
              <w:jc w:val="left"/>
              <w:rPr/>
            </w:pPr>
            <w:r>
              <w:rPr>
                <w:spacing w:val="-2"/>
              </w:rPr>
              <w:t>L. Jay Cross</w:t>
            </w:r>
            <w:r>
              <w:rPr/>
              <w:t xml:space="preserve">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65" w:type="dxa"/>
            <w:tcBorders>
              <w:bottom w:val="single" w:sz="2" w:space="0" w:color="CBCAC8"/>
            </w:tcBorders>
            <w:vAlign w:val="center"/>
          </w:tcPr>
          <w:p>
            <w:pPr>
              <w:pStyle w:val="TableContents"/>
              <w:bidi w:val="0"/>
              <w:spacing w:before="0" w:after="283"/>
              <w:jc w:val="left"/>
              <w:rPr/>
            </w:pPr>
            <w:r>
              <w:rPr/>
              <w:t>​</w:t>
            </w:r>
          </w:p>
        </w:tc>
        <w:tc>
          <w:tcPr>
            <w:tcW w:w="265" w:type="dxa"/>
            <w:tcBorders>
              <w:bottom w:val="single" w:sz="2" w:space="0" w:color="CBCAC8"/>
            </w:tcBorders>
            <w:tcMar>
              <w:bottom w:w="50" w:type="dxa"/>
            </w:tcMar>
            <w:vAlign w:val="center"/>
          </w:tcPr>
          <w:p>
            <w:pPr>
              <w:pStyle w:val="TableContents"/>
              <w:bidi w:val="0"/>
              <w:spacing w:before="0" w:after="283"/>
              <w:jc w:val="right"/>
              <w:rPr/>
            </w:pPr>
            <w:r>
              <w:rPr/>
              <w:t>​</w:t>
            </w:r>
          </w:p>
        </w:tc>
        <w:tc>
          <w:tcPr>
            <w:tcW w:w="552" w:type="dxa"/>
            <w:tcBorders>
              <w:bottom w:val="single" w:sz="2" w:space="0" w:color="CBCAC8"/>
            </w:tcBorders>
            <w:tcMar>
              <w:bottom w:w="50" w:type="dxa"/>
            </w:tcMar>
            <w:vAlign w:val="center"/>
          </w:tcPr>
          <w:p>
            <w:pPr>
              <w:pStyle w:val="TableContents"/>
              <w:bidi w:val="0"/>
              <w:spacing w:before="0" w:after="283"/>
              <w:jc w:val="right"/>
              <w:rPr/>
            </w:pPr>
            <w:r>
              <w:rPr/>
              <w:t xml:space="preserve">– </w:t>
            </w:r>
          </w:p>
        </w:tc>
        <w:tc>
          <w:tcPr>
            <w:tcW w:w="267" w:type="dxa"/>
            <w:tcBorders>
              <w:bottom w:val="single" w:sz="2" w:space="0" w:color="CBCAC8"/>
            </w:tcBorders>
            <w:vAlign w:val="center"/>
          </w:tcPr>
          <w:p>
            <w:pPr>
              <w:pStyle w:val="TableContents"/>
              <w:bidi w:val="0"/>
              <w:spacing w:before="0" w:after="283"/>
              <w:jc w:val="left"/>
              <w:rPr/>
            </w:pPr>
            <w:r>
              <w:rPr/>
              <w:t>​</w:t>
            </w:r>
          </w:p>
        </w:tc>
        <w:tc>
          <w:tcPr>
            <w:tcW w:w="123" w:type="dxa"/>
            <w:tcBorders>
              <w:bottom w:val="single" w:sz="2" w:space="0" w:color="CBCAC8"/>
            </w:tcBorders>
            <w:vAlign w:val="center"/>
          </w:tcPr>
          <w:p>
            <w:pPr>
              <w:pStyle w:val="TableContents"/>
              <w:bidi w:val="0"/>
              <w:spacing w:before="0" w:after="283"/>
              <w:jc w:val="left"/>
              <w:rPr/>
            </w:pPr>
            <w:r>
              <w:rPr/>
              <w:t>​</w:t>
            </w:r>
          </w:p>
        </w:tc>
        <w:tc>
          <w:tcPr>
            <w:tcW w:w="123" w:type="dxa"/>
            <w:tcBorders>
              <w:bottom w:val="single" w:sz="2" w:space="0" w:color="CBCAC8"/>
            </w:tcBorders>
            <w:vAlign w:val="center"/>
          </w:tcPr>
          <w:p>
            <w:pPr>
              <w:pStyle w:val="TableContents"/>
              <w:bidi w:val="0"/>
              <w:spacing w:before="0" w:after="283"/>
              <w:jc w:val="left"/>
              <w:rPr/>
            </w:pPr>
            <w:r>
              <w:rPr/>
              <w:t>​</w:t>
            </w:r>
          </w:p>
        </w:tc>
        <w:tc>
          <w:tcPr>
            <w:tcW w:w="318" w:type="dxa"/>
            <w:tcBorders>
              <w:bottom w:val="single" w:sz="2" w:space="0" w:color="CBCAC8"/>
            </w:tcBorders>
            <w:vAlign w:val="center"/>
          </w:tcPr>
          <w:p>
            <w:pPr>
              <w:pStyle w:val="TableContents"/>
              <w:bidi w:val="0"/>
              <w:spacing w:before="0" w:after="283"/>
              <w:jc w:val="left"/>
              <w:rPr/>
            </w:pPr>
            <w:r>
              <w:rPr/>
              <w:t>​</w:t>
            </w:r>
          </w:p>
        </w:tc>
        <w:tc>
          <w:tcPr>
            <w:tcW w:w="318" w:type="dxa"/>
            <w:tcBorders>
              <w:bottom w:val="single" w:sz="2" w:space="0" w:color="CBCAC8"/>
            </w:tcBorders>
            <w:tcMar>
              <w:bottom w:w="50" w:type="dxa"/>
            </w:tcMar>
            <w:vAlign w:val="center"/>
          </w:tcPr>
          <w:p>
            <w:pPr>
              <w:pStyle w:val="TableContents"/>
              <w:bidi w:val="0"/>
              <w:spacing w:before="0" w:after="283"/>
              <w:jc w:val="right"/>
              <w:rPr/>
            </w:pPr>
            <w:r>
              <w:rPr/>
              <w:t>​</w:t>
            </w:r>
          </w:p>
        </w:tc>
        <w:tc>
          <w:tcPr>
            <w:tcW w:w="661" w:type="dxa"/>
            <w:tcBorders>
              <w:bottom w:val="single" w:sz="2" w:space="0" w:color="CBCAC8"/>
            </w:tcBorders>
            <w:tcMar>
              <w:bottom w:w="50" w:type="dxa"/>
            </w:tcMar>
            <w:vAlign w:val="center"/>
          </w:tcPr>
          <w:p>
            <w:pPr>
              <w:pStyle w:val="TableContents"/>
              <w:bidi w:val="0"/>
              <w:spacing w:before="0" w:after="283"/>
              <w:jc w:val="right"/>
              <w:rPr/>
            </w:pPr>
            <w:r>
              <w:rPr/>
              <w:t xml:space="preserve">– </w:t>
            </w:r>
          </w:p>
        </w:tc>
        <w:tc>
          <w:tcPr>
            <w:tcW w:w="322"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7" w:type="dxa"/>
            <w:tcBorders>
              <w:bottom w:val="single" w:sz="2" w:space="0" w:color="CBCAC8"/>
            </w:tcBorders>
            <w:vAlign w:val="center"/>
          </w:tcPr>
          <w:p>
            <w:pPr>
              <w:pStyle w:val="TableContents"/>
              <w:bidi w:val="0"/>
              <w:spacing w:before="0" w:after="283"/>
              <w:jc w:val="left"/>
              <w:rPr/>
            </w:pPr>
            <w:r>
              <w:rPr/>
              <w:t>​</w:t>
            </w:r>
          </w:p>
        </w:tc>
        <w:tc>
          <w:tcPr>
            <w:tcW w:w="127" w:type="dxa"/>
            <w:tcBorders>
              <w:bottom w:val="single" w:sz="2" w:space="0" w:color="CBCAC8"/>
            </w:tcBorders>
            <w:tcMar>
              <w:bottom w:w="50" w:type="dxa"/>
            </w:tcMar>
            <w:vAlign w:val="center"/>
          </w:tcPr>
          <w:p>
            <w:pPr>
              <w:pStyle w:val="TableContents"/>
              <w:bidi w:val="0"/>
              <w:spacing w:before="0" w:after="283"/>
              <w:jc w:val="right"/>
              <w:rPr/>
            </w:pPr>
            <w:r>
              <w:rPr/>
              <w:t>​</w:t>
            </w:r>
          </w:p>
        </w:tc>
        <w:tc>
          <w:tcPr>
            <w:tcW w:w="967" w:type="dxa"/>
            <w:tcBorders>
              <w:bottom w:val="single" w:sz="2" w:space="0" w:color="CBCAC8"/>
            </w:tcBorders>
            <w:tcMar>
              <w:bottom w:w="50" w:type="dxa"/>
            </w:tcMar>
            <w:vAlign w:val="center"/>
          </w:tcPr>
          <w:p>
            <w:pPr>
              <w:pStyle w:val="TableContents"/>
              <w:bidi w:val="0"/>
              <w:spacing w:before="0" w:after="283"/>
              <w:jc w:val="right"/>
              <w:rPr/>
            </w:pPr>
            <w:r>
              <w:rPr/>
              <w:t xml:space="preserve">34,329 </w:t>
            </w:r>
          </w:p>
        </w:tc>
        <w:tc>
          <w:tcPr>
            <w:tcW w:w="127"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1" w:type="dxa"/>
            <w:tcBorders>
              <w:bottom w:val="single" w:sz="2" w:space="0" w:color="CBCAC8"/>
            </w:tcBorders>
            <w:vAlign w:val="center"/>
          </w:tcPr>
          <w:p>
            <w:pPr>
              <w:pStyle w:val="TableContents"/>
              <w:bidi w:val="0"/>
              <w:spacing w:before="0" w:after="283"/>
              <w:jc w:val="left"/>
              <w:rPr/>
            </w:pPr>
            <w:r>
              <w:rPr/>
              <w:t>​</w:t>
            </w:r>
          </w:p>
        </w:tc>
        <w:tc>
          <w:tcPr>
            <w:tcW w:w="121" w:type="dxa"/>
            <w:tcBorders>
              <w:bottom w:val="single" w:sz="2" w:space="0" w:color="CBCAC8"/>
            </w:tcBorders>
            <w:tcMar>
              <w:bottom w:w="50" w:type="dxa"/>
            </w:tcMar>
            <w:vAlign w:val="center"/>
          </w:tcPr>
          <w:p>
            <w:pPr>
              <w:pStyle w:val="TableContents"/>
              <w:bidi w:val="0"/>
              <w:spacing w:before="0" w:after="283"/>
              <w:jc w:val="right"/>
              <w:rPr/>
            </w:pPr>
            <w:r>
              <w:rPr/>
              <w:t>​</w:t>
            </w:r>
          </w:p>
        </w:tc>
        <w:tc>
          <w:tcPr>
            <w:tcW w:w="1256" w:type="dxa"/>
            <w:tcBorders>
              <w:bottom w:val="single" w:sz="2" w:space="0" w:color="CBCAC8"/>
            </w:tcBorders>
            <w:tcMar>
              <w:bottom w:w="50" w:type="dxa"/>
            </w:tcMar>
            <w:vAlign w:val="center"/>
          </w:tcPr>
          <w:p>
            <w:pPr>
              <w:pStyle w:val="TableContents"/>
              <w:bidi w:val="0"/>
              <w:spacing w:before="0" w:after="283"/>
              <w:jc w:val="right"/>
              <w:rPr/>
            </w:pPr>
            <w:r>
              <w:rPr/>
              <w:t xml:space="preserve">2,353,783 </w:t>
            </w:r>
          </w:p>
        </w:tc>
        <w:tc>
          <w:tcPr>
            <w:tcW w:w="121"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938"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Carlos Olea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65" w:type="dxa"/>
            <w:tcBorders>
              <w:bottom w:val="single" w:sz="2" w:space="0" w:color="CBCAC8"/>
            </w:tcBorders>
            <w:vAlign w:val="center"/>
          </w:tcPr>
          <w:p>
            <w:pPr>
              <w:pStyle w:val="TableContents"/>
              <w:bidi w:val="0"/>
              <w:spacing w:before="0" w:after="283"/>
              <w:jc w:val="left"/>
              <w:rPr/>
            </w:pPr>
            <w:r>
              <w:rPr/>
              <w:t>​</w:t>
            </w:r>
          </w:p>
        </w:tc>
        <w:tc>
          <w:tcPr>
            <w:tcW w:w="265" w:type="dxa"/>
            <w:tcBorders>
              <w:bottom w:val="single" w:sz="2" w:space="0" w:color="CBCAC8"/>
            </w:tcBorders>
            <w:tcMar>
              <w:bottom w:w="50" w:type="dxa"/>
            </w:tcMar>
            <w:vAlign w:val="center"/>
          </w:tcPr>
          <w:p>
            <w:pPr>
              <w:pStyle w:val="TableContents"/>
              <w:bidi w:val="0"/>
              <w:spacing w:before="0" w:after="283"/>
              <w:jc w:val="right"/>
              <w:rPr/>
            </w:pPr>
            <w:r>
              <w:rPr/>
              <w:t>​</w:t>
            </w:r>
          </w:p>
        </w:tc>
        <w:tc>
          <w:tcPr>
            <w:tcW w:w="552" w:type="dxa"/>
            <w:tcBorders>
              <w:bottom w:val="single" w:sz="2" w:space="0" w:color="CBCAC8"/>
            </w:tcBorders>
            <w:tcMar>
              <w:bottom w:w="50" w:type="dxa"/>
            </w:tcMar>
            <w:vAlign w:val="center"/>
          </w:tcPr>
          <w:p>
            <w:pPr>
              <w:pStyle w:val="TableContents"/>
              <w:bidi w:val="0"/>
              <w:spacing w:before="0" w:after="283"/>
              <w:jc w:val="right"/>
              <w:rPr/>
            </w:pPr>
            <w:r>
              <w:rPr/>
              <w:t>–</w:t>
            </w:r>
          </w:p>
        </w:tc>
        <w:tc>
          <w:tcPr>
            <w:tcW w:w="267" w:type="dxa"/>
            <w:tcBorders>
              <w:bottom w:val="single" w:sz="2" w:space="0" w:color="CBCAC8"/>
            </w:tcBorders>
            <w:vAlign w:val="center"/>
          </w:tcPr>
          <w:p>
            <w:pPr>
              <w:pStyle w:val="TableContents"/>
              <w:bidi w:val="0"/>
              <w:spacing w:before="0" w:after="283"/>
              <w:jc w:val="left"/>
              <w:rPr/>
            </w:pPr>
            <w:r>
              <w:rPr/>
              <w:t>​</w:t>
            </w:r>
          </w:p>
        </w:tc>
        <w:tc>
          <w:tcPr>
            <w:tcW w:w="123" w:type="dxa"/>
            <w:tcBorders>
              <w:bottom w:val="single" w:sz="2" w:space="0" w:color="CBCAC8"/>
            </w:tcBorders>
            <w:vAlign w:val="center"/>
          </w:tcPr>
          <w:p>
            <w:pPr>
              <w:pStyle w:val="TableContents"/>
              <w:bidi w:val="0"/>
              <w:spacing w:before="0" w:after="283"/>
              <w:jc w:val="left"/>
              <w:rPr/>
            </w:pPr>
            <w:r>
              <w:rPr/>
              <w:t>​</w:t>
            </w:r>
          </w:p>
        </w:tc>
        <w:tc>
          <w:tcPr>
            <w:tcW w:w="123" w:type="dxa"/>
            <w:tcBorders>
              <w:bottom w:val="single" w:sz="2" w:space="0" w:color="CBCAC8"/>
            </w:tcBorders>
            <w:vAlign w:val="center"/>
          </w:tcPr>
          <w:p>
            <w:pPr>
              <w:pStyle w:val="TableContents"/>
              <w:bidi w:val="0"/>
              <w:spacing w:before="0" w:after="283"/>
              <w:jc w:val="left"/>
              <w:rPr/>
            </w:pPr>
            <w:r>
              <w:rPr/>
              <w:t>​</w:t>
            </w:r>
          </w:p>
        </w:tc>
        <w:tc>
          <w:tcPr>
            <w:tcW w:w="318" w:type="dxa"/>
            <w:tcBorders>
              <w:bottom w:val="single" w:sz="2" w:space="0" w:color="CBCAC8"/>
            </w:tcBorders>
            <w:vAlign w:val="center"/>
          </w:tcPr>
          <w:p>
            <w:pPr>
              <w:pStyle w:val="TableContents"/>
              <w:bidi w:val="0"/>
              <w:spacing w:before="0" w:after="283"/>
              <w:jc w:val="left"/>
              <w:rPr/>
            </w:pPr>
            <w:r>
              <w:rPr/>
              <w:t>​</w:t>
            </w:r>
          </w:p>
        </w:tc>
        <w:tc>
          <w:tcPr>
            <w:tcW w:w="318" w:type="dxa"/>
            <w:tcBorders>
              <w:bottom w:val="single" w:sz="2" w:space="0" w:color="CBCAC8"/>
            </w:tcBorders>
            <w:tcMar>
              <w:bottom w:w="50" w:type="dxa"/>
            </w:tcMar>
            <w:vAlign w:val="center"/>
          </w:tcPr>
          <w:p>
            <w:pPr>
              <w:pStyle w:val="TableContents"/>
              <w:bidi w:val="0"/>
              <w:spacing w:before="0" w:after="283"/>
              <w:jc w:val="right"/>
              <w:rPr/>
            </w:pPr>
            <w:r>
              <w:rPr/>
              <w:t>​</w:t>
            </w:r>
          </w:p>
        </w:tc>
        <w:tc>
          <w:tcPr>
            <w:tcW w:w="661" w:type="dxa"/>
            <w:tcBorders>
              <w:bottom w:val="single" w:sz="2" w:space="0" w:color="CBCAC8"/>
            </w:tcBorders>
            <w:tcMar>
              <w:bottom w:w="50" w:type="dxa"/>
            </w:tcMar>
            <w:vAlign w:val="center"/>
          </w:tcPr>
          <w:p>
            <w:pPr>
              <w:pStyle w:val="TableContents"/>
              <w:bidi w:val="0"/>
              <w:spacing w:before="0" w:after="283"/>
              <w:jc w:val="right"/>
              <w:rPr/>
            </w:pPr>
            <w:r>
              <w:rPr/>
              <w:t>–</w:t>
            </w:r>
          </w:p>
        </w:tc>
        <w:tc>
          <w:tcPr>
            <w:tcW w:w="322"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7" w:type="dxa"/>
            <w:tcBorders>
              <w:bottom w:val="single" w:sz="2" w:space="0" w:color="CBCAC8"/>
            </w:tcBorders>
            <w:vAlign w:val="center"/>
          </w:tcPr>
          <w:p>
            <w:pPr>
              <w:pStyle w:val="TableContents"/>
              <w:bidi w:val="0"/>
              <w:spacing w:before="0" w:after="283"/>
              <w:jc w:val="left"/>
              <w:rPr/>
            </w:pPr>
            <w:r>
              <w:rPr/>
              <w:t>​</w:t>
            </w:r>
          </w:p>
        </w:tc>
        <w:tc>
          <w:tcPr>
            <w:tcW w:w="127" w:type="dxa"/>
            <w:tcBorders>
              <w:bottom w:val="single" w:sz="2" w:space="0" w:color="CBCAC8"/>
            </w:tcBorders>
            <w:tcMar>
              <w:bottom w:w="50" w:type="dxa"/>
            </w:tcMar>
            <w:vAlign w:val="center"/>
          </w:tcPr>
          <w:p>
            <w:pPr>
              <w:pStyle w:val="TableContents"/>
              <w:bidi w:val="0"/>
              <w:spacing w:before="0" w:after="283"/>
              <w:jc w:val="right"/>
              <w:rPr/>
            </w:pPr>
            <w:r>
              <w:rPr/>
              <w:t>​</w:t>
            </w:r>
          </w:p>
        </w:tc>
        <w:tc>
          <w:tcPr>
            <w:tcW w:w="967" w:type="dxa"/>
            <w:tcBorders>
              <w:bottom w:val="single" w:sz="2" w:space="0" w:color="CBCAC8"/>
            </w:tcBorders>
            <w:tcMar>
              <w:bottom w:w="50" w:type="dxa"/>
            </w:tcMar>
            <w:vAlign w:val="center"/>
          </w:tcPr>
          <w:p>
            <w:pPr>
              <w:pStyle w:val="TableContents"/>
              <w:bidi w:val="0"/>
              <w:spacing w:before="0" w:after="283"/>
              <w:jc w:val="right"/>
              <w:rPr/>
            </w:pPr>
            <w:r>
              <w:rPr/>
              <w:t>6,808</w:t>
            </w:r>
          </w:p>
        </w:tc>
        <w:tc>
          <w:tcPr>
            <w:tcW w:w="127"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1" w:type="dxa"/>
            <w:tcBorders>
              <w:bottom w:val="single" w:sz="2" w:space="0" w:color="CBCAC8"/>
            </w:tcBorders>
            <w:vAlign w:val="center"/>
          </w:tcPr>
          <w:p>
            <w:pPr>
              <w:pStyle w:val="TableContents"/>
              <w:bidi w:val="0"/>
              <w:spacing w:before="0" w:after="283"/>
              <w:jc w:val="left"/>
              <w:rPr/>
            </w:pPr>
            <w:r>
              <w:rPr/>
              <w:t>​</w:t>
            </w:r>
          </w:p>
        </w:tc>
        <w:tc>
          <w:tcPr>
            <w:tcW w:w="121" w:type="dxa"/>
            <w:tcBorders>
              <w:bottom w:val="single" w:sz="2" w:space="0" w:color="CBCAC8"/>
            </w:tcBorders>
            <w:tcMar>
              <w:bottom w:w="50" w:type="dxa"/>
            </w:tcMar>
            <w:vAlign w:val="center"/>
          </w:tcPr>
          <w:p>
            <w:pPr>
              <w:pStyle w:val="TableContents"/>
              <w:bidi w:val="0"/>
              <w:spacing w:before="0" w:after="283"/>
              <w:jc w:val="right"/>
              <w:rPr/>
            </w:pPr>
            <w:r>
              <w:rPr/>
              <w:t>​</w:t>
            </w:r>
          </w:p>
        </w:tc>
        <w:tc>
          <w:tcPr>
            <w:tcW w:w="1256" w:type="dxa"/>
            <w:tcBorders>
              <w:bottom w:val="single" w:sz="2" w:space="0" w:color="CBCAC8"/>
            </w:tcBorders>
            <w:tcMar>
              <w:bottom w:w="50" w:type="dxa"/>
            </w:tcMar>
            <w:vAlign w:val="center"/>
          </w:tcPr>
          <w:p>
            <w:pPr>
              <w:pStyle w:val="TableContents"/>
              <w:bidi w:val="0"/>
              <w:spacing w:before="0" w:after="283"/>
              <w:jc w:val="right"/>
              <w:rPr/>
            </w:pPr>
            <w:r>
              <w:rPr/>
              <w:t>534,215</w:t>
            </w:r>
          </w:p>
        </w:tc>
        <w:tc>
          <w:tcPr>
            <w:tcW w:w="121"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938"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Joseph Valane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65" w:type="dxa"/>
            <w:tcBorders>
              <w:bottom w:val="single" w:sz="2" w:space="0" w:color="CBCAC8"/>
            </w:tcBorders>
            <w:vAlign w:val="center"/>
          </w:tcPr>
          <w:p>
            <w:pPr>
              <w:pStyle w:val="TableContents"/>
              <w:bidi w:val="0"/>
              <w:spacing w:before="0" w:after="283"/>
              <w:jc w:val="left"/>
              <w:rPr/>
            </w:pPr>
            <w:r>
              <w:rPr/>
              <w:t>​</w:t>
            </w:r>
          </w:p>
        </w:tc>
        <w:tc>
          <w:tcPr>
            <w:tcW w:w="265" w:type="dxa"/>
            <w:tcBorders>
              <w:bottom w:val="single" w:sz="2" w:space="0" w:color="CBCAC8"/>
            </w:tcBorders>
            <w:tcMar>
              <w:bottom w:w="50" w:type="dxa"/>
            </w:tcMar>
            <w:vAlign w:val="center"/>
          </w:tcPr>
          <w:p>
            <w:pPr>
              <w:pStyle w:val="TableContents"/>
              <w:bidi w:val="0"/>
              <w:spacing w:before="0" w:after="283"/>
              <w:jc w:val="right"/>
              <w:rPr/>
            </w:pPr>
            <w:r>
              <w:rPr/>
              <w:t>​</w:t>
            </w:r>
          </w:p>
        </w:tc>
        <w:tc>
          <w:tcPr>
            <w:tcW w:w="552" w:type="dxa"/>
            <w:tcBorders>
              <w:bottom w:val="single" w:sz="2" w:space="0" w:color="CBCAC8"/>
            </w:tcBorders>
            <w:tcMar>
              <w:bottom w:w="50" w:type="dxa"/>
            </w:tcMar>
            <w:vAlign w:val="center"/>
          </w:tcPr>
          <w:p>
            <w:pPr>
              <w:pStyle w:val="TableContents"/>
              <w:bidi w:val="0"/>
              <w:spacing w:before="0" w:after="283"/>
              <w:jc w:val="right"/>
              <w:rPr/>
            </w:pPr>
            <w:r>
              <w:rPr/>
              <w:t>–</w:t>
            </w:r>
          </w:p>
        </w:tc>
        <w:tc>
          <w:tcPr>
            <w:tcW w:w="267" w:type="dxa"/>
            <w:tcBorders>
              <w:bottom w:val="single" w:sz="2" w:space="0" w:color="CBCAC8"/>
            </w:tcBorders>
            <w:vAlign w:val="center"/>
          </w:tcPr>
          <w:p>
            <w:pPr>
              <w:pStyle w:val="TableContents"/>
              <w:bidi w:val="0"/>
              <w:spacing w:before="0" w:after="283"/>
              <w:jc w:val="left"/>
              <w:rPr/>
            </w:pPr>
            <w:r>
              <w:rPr/>
              <w:t>​</w:t>
            </w:r>
          </w:p>
        </w:tc>
        <w:tc>
          <w:tcPr>
            <w:tcW w:w="123" w:type="dxa"/>
            <w:tcBorders>
              <w:bottom w:val="single" w:sz="2" w:space="0" w:color="CBCAC8"/>
            </w:tcBorders>
            <w:vAlign w:val="center"/>
          </w:tcPr>
          <w:p>
            <w:pPr>
              <w:pStyle w:val="TableContents"/>
              <w:bidi w:val="0"/>
              <w:spacing w:before="0" w:after="283"/>
              <w:jc w:val="left"/>
              <w:rPr/>
            </w:pPr>
            <w:r>
              <w:rPr/>
              <w:t>​</w:t>
            </w:r>
          </w:p>
        </w:tc>
        <w:tc>
          <w:tcPr>
            <w:tcW w:w="123" w:type="dxa"/>
            <w:tcBorders>
              <w:bottom w:val="single" w:sz="2" w:space="0" w:color="CBCAC8"/>
            </w:tcBorders>
            <w:vAlign w:val="center"/>
          </w:tcPr>
          <w:p>
            <w:pPr>
              <w:pStyle w:val="TableContents"/>
              <w:bidi w:val="0"/>
              <w:spacing w:before="0" w:after="283"/>
              <w:jc w:val="left"/>
              <w:rPr/>
            </w:pPr>
            <w:r>
              <w:rPr/>
              <w:t>​</w:t>
            </w:r>
          </w:p>
        </w:tc>
        <w:tc>
          <w:tcPr>
            <w:tcW w:w="318" w:type="dxa"/>
            <w:tcBorders>
              <w:bottom w:val="single" w:sz="2" w:space="0" w:color="CBCAC8"/>
            </w:tcBorders>
            <w:vAlign w:val="center"/>
          </w:tcPr>
          <w:p>
            <w:pPr>
              <w:pStyle w:val="TableContents"/>
              <w:bidi w:val="0"/>
              <w:spacing w:before="0" w:after="283"/>
              <w:jc w:val="left"/>
              <w:rPr/>
            </w:pPr>
            <w:r>
              <w:rPr/>
              <w:t>​</w:t>
            </w:r>
          </w:p>
        </w:tc>
        <w:tc>
          <w:tcPr>
            <w:tcW w:w="318" w:type="dxa"/>
            <w:tcBorders>
              <w:bottom w:val="single" w:sz="2" w:space="0" w:color="CBCAC8"/>
            </w:tcBorders>
            <w:tcMar>
              <w:bottom w:w="50" w:type="dxa"/>
            </w:tcMar>
            <w:vAlign w:val="center"/>
          </w:tcPr>
          <w:p>
            <w:pPr>
              <w:pStyle w:val="TableContents"/>
              <w:bidi w:val="0"/>
              <w:spacing w:before="0" w:after="283"/>
              <w:jc w:val="right"/>
              <w:rPr/>
            </w:pPr>
            <w:r>
              <w:rPr/>
              <w:t>​</w:t>
            </w:r>
          </w:p>
        </w:tc>
        <w:tc>
          <w:tcPr>
            <w:tcW w:w="661" w:type="dxa"/>
            <w:tcBorders>
              <w:bottom w:val="single" w:sz="2" w:space="0" w:color="CBCAC8"/>
            </w:tcBorders>
            <w:tcMar>
              <w:bottom w:w="50" w:type="dxa"/>
            </w:tcMar>
            <w:vAlign w:val="center"/>
          </w:tcPr>
          <w:p>
            <w:pPr>
              <w:pStyle w:val="TableContents"/>
              <w:bidi w:val="0"/>
              <w:spacing w:before="0" w:after="283"/>
              <w:jc w:val="right"/>
              <w:rPr/>
            </w:pPr>
            <w:r>
              <w:rPr/>
              <w:t>–</w:t>
            </w:r>
          </w:p>
        </w:tc>
        <w:tc>
          <w:tcPr>
            <w:tcW w:w="322"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7" w:type="dxa"/>
            <w:tcBorders>
              <w:bottom w:val="single" w:sz="2" w:space="0" w:color="CBCAC8"/>
            </w:tcBorders>
            <w:vAlign w:val="center"/>
          </w:tcPr>
          <w:p>
            <w:pPr>
              <w:pStyle w:val="TableContents"/>
              <w:bidi w:val="0"/>
              <w:spacing w:before="0" w:after="283"/>
              <w:jc w:val="left"/>
              <w:rPr/>
            </w:pPr>
            <w:r>
              <w:rPr/>
              <w:t>​</w:t>
            </w:r>
          </w:p>
        </w:tc>
        <w:tc>
          <w:tcPr>
            <w:tcW w:w="127" w:type="dxa"/>
            <w:tcBorders>
              <w:bottom w:val="single" w:sz="2" w:space="0" w:color="CBCAC8"/>
            </w:tcBorders>
            <w:tcMar>
              <w:bottom w:w="50" w:type="dxa"/>
            </w:tcMar>
            <w:vAlign w:val="center"/>
          </w:tcPr>
          <w:p>
            <w:pPr>
              <w:pStyle w:val="TableContents"/>
              <w:bidi w:val="0"/>
              <w:spacing w:before="0" w:after="283"/>
              <w:jc w:val="right"/>
              <w:rPr/>
            </w:pPr>
            <w:r>
              <w:rPr/>
              <w:t>​</w:t>
            </w:r>
          </w:p>
        </w:tc>
        <w:tc>
          <w:tcPr>
            <w:tcW w:w="967" w:type="dxa"/>
            <w:tcBorders>
              <w:bottom w:val="single" w:sz="2" w:space="0" w:color="CBCAC8"/>
            </w:tcBorders>
            <w:tcMar>
              <w:bottom w:w="50" w:type="dxa"/>
            </w:tcMar>
            <w:vAlign w:val="center"/>
          </w:tcPr>
          <w:p>
            <w:pPr>
              <w:pStyle w:val="TableContents"/>
              <w:bidi w:val="0"/>
              <w:spacing w:before="0" w:after="283"/>
              <w:jc w:val="right"/>
              <w:rPr/>
            </w:pPr>
            <w:r>
              <w:rPr/>
              <w:t>2,613</w:t>
            </w:r>
          </w:p>
        </w:tc>
        <w:tc>
          <w:tcPr>
            <w:tcW w:w="127"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1" w:type="dxa"/>
            <w:tcBorders>
              <w:bottom w:val="single" w:sz="2" w:space="0" w:color="CBCAC8"/>
            </w:tcBorders>
            <w:vAlign w:val="center"/>
          </w:tcPr>
          <w:p>
            <w:pPr>
              <w:pStyle w:val="TableContents"/>
              <w:bidi w:val="0"/>
              <w:spacing w:before="0" w:after="283"/>
              <w:jc w:val="left"/>
              <w:rPr/>
            </w:pPr>
            <w:r>
              <w:rPr/>
              <w:t>​</w:t>
            </w:r>
          </w:p>
        </w:tc>
        <w:tc>
          <w:tcPr>
            <w:tcW w:w="121" w:type="dxa"/>
            <w:tcBorders>
              <w:bottom w:val="single" w:sz="2" w:space="0" w:color="CBCAC8"/>
            </w:tcBorders>
            <w:tcMar>
              <w:bottom w:w="50" w:type="dxa"/>
            </w:tcMar>
            <w:vAlign w:val="center"/>
          </w:tcPr>
          <w:p>
            <w:pPr>
              <w:pStyle w:val="TableContents"/>
              <w:bidi w:val="0"/>
              <w:spacing w:before="0" w:after="283"/>
              <w:jc w:val="right"/>
              <w:rPr/>
            </w:pPr>
            <w:r>
              <w:rPr/>
              <w:t>​</w:t>
            </w:r>
          </w:p>
        </w:tc>
        <w:tc>
          <w:tcPr>
            <w:tcW w:w="1256" w:type="dxa"/>
            <w:tcBorders>
              <w:bottom w:val="single" w:sz="2" w:space="0" w:color="CBCAC8"/>
            </w:tcBorders>
            <w:tcMar>
              <w:bottom w:w="50" w:type="dxa"/>
            </w:tcMar>
            <w:vAlign w:val="center"/>
          </w:tcPr>
          <w:p>
            <w:pPr>
              <w:pStyle w:val="TableContents"/>
              <w:bidi w:val="0"/>
              <w:spacing w:before="0" w:after="283"/>
              <w:jc w:val="right"/>
              <w:rPr/>
            </w:pPr>
            <w:r>
              <w:rPr/>
              <w:t>193,048</w:t>
            </w:r>
          </w:p>
        </w:tc>
        <w:tc>
          <w:tcPr>
            <w:tcW w:w="121"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938"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Andrew Davis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65" w:type="dxa"/>
            <w:tcBorders>
              <w:bottom w:val="single" w:sz="2" w:space="0" w:color="CBCAC8"/>
            </w:tcBorders>
            <w:vAlign w:val="center"/>
          </w:tcPr>
          <w:p>
            <w:pPr>
              <w:pStyle w:val="TableContents"/>
              <w:bidi w:val="0"/>
              <w:spacing w:before="0" w:after="283"/>
              <w:jc w:val="left"/>
              <w:rPr/>
            </w:pPr>
            <w:r>
              <w:rPr/>
              <w:t>​</w:t>
            </w:r>
          </w:p>
        </w:tc>
        <w:tc>
          <w:tcPr>
            <w:tcW w:w="265" w:type="dxa"/>
            <w:tcBorders>
              <w:bottom w:val="single" w:sz="2" w:space="0" w:color="CBCAC8"/>
            </w:tcBorders>
            <w:tcMar>
              <w:bottom w:w="50" w:type="dxa"/>
            </w:tcMar>
            <w:vAlign w:val="center"/>
          </w:tcPr>
          <w:p>
            <w:pPr>
              <w:pStyle w:val="TableContents"/>
              <w:bidi w:val="0"/>
              <w:spacing w:before="0" w:after="283"/>
              <w:jc w:val="right"/>
              <w:rPr/>
            </w:pPr>
            <w:r>
              <w:rPr/>
              <w:t>​</w:t>
            </w:r>
          </w:p>
        </w:tc>
        <w:tc>
          <w:tcPr>
            <w:tcW w:w="552" w:type="dxa"/>
            <w:tcBorders>
              <w:bottom w:val="single" w:sz="2" w:space="0" w:color="CBCAC8"/>
            </w:tcBorders>
            <w:tcMar>
              <w:bottom w:w="50" w:type="dxa"/>
            </w:tcMar>
            <w:vAlign w:val="center"/>
          </w:tcPr>
          <w:p>
            <w:pPr>
              <w:pStyle w:val="TableContents"/>
              <w:bidi w:val="0"/>
              <w:spacing w:before="0" w:after="283"/>
              <w:jc w:val="right"/>
              <w:rPr/>
            </w:pPr>
            <w:r>
              <w:rPr/>
              <w:t>–</w:t>
            </w:r>
          </w:p>
        </w:tc>
        <w:tc>
          <w:tcPr>
            <w:tcW w:w="267" w:type="dxa"/>
            <w:tcBorders>
              <w:bottom w:val="single" w:sz="2" w:space="0" w:color="CBCAC8"/>
            </w:tcBorders>
            <w:vAlign w:val="center"/>
          </w:tcPr>
          <w:p>
            <w:pPr>
              <w:pStyle w:val="TableContents"/>
              <w:bidi w:val="0"/>
              <w:spacing w:before="0" w:after="283"/>
              <w:jc w:val="left"/>
              <w:rPr/>
            </w:pPr>
            <w:r>
              <w:rPr/>
              <w:t>​</w:t>
            </w:r>
          </w:p>
        </w:tc>
        <w:tc>
          <w:tcPr>
            <w:tcW w:w="123" w:type="dxa"/>
            <w:tcBorders>
              <w:bottom w:val="single" w:sz="2" w:space="0" w:color="CBCAC8"/>
            </w:tcBorders>
            <w:vAlign w:val="center"/>
          </w:tcPr>
          <w:p>
            <w:pPr>
              <w:pStyle w:val="TableContents"/>
              <w:bidi w:val="0"/>
              <w:spacing w:before="0" w:after="283"/>
              <w:jc w:val="left"/>
              <w:rPr/>
            </w:pPr>
            <w:r>
              <w:rPr/>
              <w:t>​</w:t>
            </w:r>
          </w:p>
        </w:tc>
        <w:tc>
          <w:tcPr>
            <w:tcW w:w="123" w:type="dxa"/>
            <w:tcBorders>
              <w:bottom w:val="single" w:sz="2" w:space="0" w:color="CBCAC8"/>
            </w:tcBorders>
            <w:vAlign w:val="center"/>
          </w:tcPr>
          <w:p>
            <w:pPr>
              <w:pStyle w:val="TableContents"/>
              <w:bidi w:val="0"/>
              <w:spacing w:before="0" w:after="283"/>
              <w:jc w:val="left"/>
              <w:rPr/>
            </w:pPr>
            <w:r>
              <w:rPr/>
              <w:t>​</w:t>
            </w:r>
          </w:p>
        </w:tc>
        <w:tc>
          <w:tcPr>
            <w:tcW w:w="318" w:type="dxa"/>
            <w:tcBorders>
              <w:bottom w:val="single" w:sz="2" w:space="0" w:color="CBCAC8"/>
            </w:tcBorders>
            <w:vAlign w:val="center"/>
          </w:tcPr>
          <w:p>
            <w:pPr>
              <w:pStyle w:val="TableContents"/>
              <w:bidi w:val="0"/>
              <w:spacing w:before="0" w:after="283"/>
              <w:jc w:val="left"/>
              <w:rPr/>
            </w:pPr>
            <w:r>
              <w:rPr/>
              <w:t>​</w:t>
            </w:r>
          </w:p>
        </w:tc>
        <w:tc>
          <w:tcPr>
            <w:tcW w:w="318" w:type="dxa"/>
            <w:tcBorders>
              <w:bottom w:val="single" w:sz="2" w:space="0" w:color="CBCAC8"/>
            </w:tcBorders>
            <w:tcMar>
              <w:bottom w:w="50" w:type="dxa"/>
            </w:tcMar>
            <w:vAlign w:val="center"/>
          </w:tcPr>
          <w:p>
            <w:pPr>
              <w:pStyle w:val="TableContents"/>
              <w:bidi w:val="0"/>
              <w:spacing w:before="0" w:after="283"/>
              <w:jc w:val="right"/>
              <w:rPr/>
            </w:pPr>
            <w:r>
              <w:rPr/>
              <w:t>​</w:t>
            </w:r>
          </w:p>
        </w:tc>
        <w:tc>
          <w:tcPr>
            <w:tcW w:w="661" w:type="dxa"/>
            <w:tcBorders>
              <w:bottom w:val="single" w:sz="2" w:space="0" w:color="CBCAC8"/>
            </w:tcBorders>
            <w:tcMar>
              <w:bottom w:w="50" w:type="dxa"/>
            </w:tcMar>
            <w:vAlign w:val="center"/>
          </w:tcPr>
          <w:p>
            <w:pPr>
              <w:pStyle w:val="TableContents"/>
              <w:bidi w:val="0"/>
              <w:spacing w:before="0" w:after="283"/>
              <w:jc w:val="right"/>
              <w:rPr/>
            </w:pPr>
            <w:r>
              <w:rPr/>
              <w:t>–</w:t>
            </w:r>
          </w:p>
        </w:tc>
        <w:tc>
          <w:tcPr>
            <w:tcW w:w="322"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7" w:type="dxa"/>
            <w:tcBorders>
              <w:bottom w:val="single" w:sz="2" w:space="0" w:color="CBCAC8"/>
            </w:tcBorders>
            <w:vAlign w:val="center"/>
          </w:tcPr>
          <w:p>
            <w:pPr>
              <w:pStyle w:val="TableContents"/>
              <w:bidi w:val="0"/>
              <w:spacing w:before="0" w:after="283"/>
              <w:jc w:val="left"/>
              <w:rPr/>
            </w:pPr>
            <w:r>
              <w:rPr/>
              <w:t>​</w:t>
            </w:r>
          </w:p>
        </w:tc>
        <w:tc>
          <w:tcPr>
            <w:tcW w:w="127" w:type="dxa"/>
            <w:tcBorders>
              <w:bottom w:val="single" w:sz="2" w:space="0" w:color="CBCAC8"/>
            </w:tcBorders>
            <w:tcMar>
              <w:bottom w:w="50" w:type="dxa"/>
            </w:tcMar>
            <w:vAlign w:val="center"/>
          </w:tcPr>
          <w:p>
            <w:pPr>
              <w:pStyle w:val="TableContents"/>
              <w:bidi w:val="0"/>
              <w:spacing w:before="0" w:after="283"/>
              <w:jc w:val="right"/>
              <w:rPr/>
            </w:pPr>
            <w:r>
              <w:rPr/>
              <w:t>​</w:t>
            </w:r>
          </w:p>
        </w:tc>
        <w:tc>
          <w:tcPr>
            <w:tcW w:w="967" w:type="dxa"/>
            <w:tcBorders>
              <w:bottom w:val="single" w:sz="2" w:space="0" w:color="CBCAC8"/>
            </w:tcBorders>
            <w:tcMar>
              <w:bottom w:w="50" w:type="dxa"/>
            </w:tcMar>
            <w:vAlign w:val="center"/>
          </w:tcPr>
          <w:p>
            <w:pPr>
              <w:pStyle w:val="TableContents"/>
              <w:bidi w:val="0"/>
              <w:spacing w:before="0" w:after="283"/>
              <w:jc w:val="right"/>
              <w:rPr/>
            </w:pPr>
            <w:r>
              <w:rPr/>
              <w:t>2,787</w:t>
            </w:r>
          </w:p>
        </w:tc>
        <w:tc>
          <w:tcPr>
            <w:tcW w:w="127"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1" w:type="dxa"/>
            <w:tcBorders>
              <w:bottom w:val="single" w:sz="2" w:space="0" w:color="CBCAC8"/>
            </w:tcBorders>
            <w:vAlign w:val="center"/>
          </w:tcPr>
          <w:p>
            <w:pPr>
              <w:pStyle w:val="TableContents"/>
              <w:bidi w:val="0"/>
              <w:spacing w:before="0" w:after="283"/>
              <w:jc w:val="left"/>
              <w:rPr/>
            </w:pPr>
            <w:r>
              <w:rPr/>
              <w:t>​</w:t>
            </w:r>
          </w:p>
        </w:tc>
        <w:tc>
          <w:tcPr>
            <w:tcW w:w="121" w:type="dxa"/>
            <w:tcBorders>
              <w:bottom w:val="single" w:sz="2" w:space="0" w:color="CBCAC8"/>
            </w:tcBorders>
            <w:tcMar>
              <w:bottom w:w="50" w:type="dxa"/>
            </w:tcMar>
            <w:vAlign w:val="center"/>
          </w:tcPr>
          <w:p>
            <w:pPr>
              <w:pStyle w:val="TableContents"/>
              <w:bidi w:val="0"/>
              <w:spacing w:before="0" w:after="283"/>
              <w:jc w:val="right"/>
              <w:rPr/>
            </w:pPr>
            <w:r>
              <w:rPr/>
              <w:t>​</w:t>
            </w:r>
          </w:p>
        </w:tc>
        <w:tc>
          <w:tcPr>
            <w:tcW w:w="1256" w:type="dxa"/>
            <w:tcBorders>
              <w:bottom w:val="single" w:sz="2" w:space="0" w:color="CBCAC8"/>
            </w:tcBorders>
            <w:tcMar>
              <w:bottom w:w="50" w:type="dxa"/>
            </w:tcMar>
            <w:vAlign w:val="center"/>
          </w:tcPr>
          <w:p>
            <w:pPr>
              <w:pStyle w:val="TableContents"/>
              <w:bidi w:val="0"/>
              <w:spacing w:before="0" w:after="283"/>
              <w:jc w:val="right"/>
              <w:rPr/>
            </w:pPr>
            <w:r>
              <w:rPr/>
              <w:t>219,706</w:t>
            </w:r>
          </w:p>
        </w:tc>
        <w:tc>
          <w:tcPr>
            <w:tcW w:w="121"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1938"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Douglas Johnstone </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265" w:type="dxa"/>
            <w:tcBorders>
              <w:bottom w:val="single" w:sz="2" w:space="0" w:color="CBCAC8"/>
            </w:tcBorders>
            <w:vAlign w:val="center"/>
          </w:tcPr>
          <w:p>
            <w:pPr>
              <w:pStyle w:val="TableContents"/>
              <w:bidi w:val="0"/>
              <w:spacing w:before="0" w:after="283"/>
              <w:jc w:val="left"/>
              <w:rPr/>
            </w:pPr>
            <w:r>
              <w:rPr/>
              <w:t>​</w:t>
            </w:r>
          </w:p>
        </w:tc>
        <w:tc>
          <w:tcPr>
            <w:tcW w:w="265" w:type="dxa"/>
            <w:tcBorders>
              <w:bottom w:val="single" w:sz="2" w:space="0" w:color="CBCAC8"/>
            </w:tcBorders>
            <w:tcMar>
              <w:bottom w:w="50" w:type="dxa"/>
            </w:tcMar>
            <w:vAlign w:val="center"/>
          </w:tcPr>
          <w:p>
            <w:pPr>
              <w:pStyle w:val="TableContents"/>
              <w:bidi w:val="0"/>
              <w:spacing w:before="0" w:after="283"/>
              <w:jc w:val="right"/>
              <w:rPr/>
            </w:pPr>
            <w:r>
              <w:rPr/>
              <w:t>​</w:t>
            </w:r>
          </w:p>
        </w:tc>
        <w:tc>
          <w:tcPr>
            <w:tcW w:w="552" w:type="dxa"/>
            <w:tcBorders>
              <w:bottom w:val="single" w:sz="2" w:space="0" w:color="CBCAC8"/>
            </w:tcBorders>
            <w:tcMar>
              <w:bottom w:w="50" w:type="dxa"/>
            </w:tcMar>
            <w:vAlign w:val="center"/>
          </w:tcPr>
          <w:p>
            <w:pPr>
              <w:pStyle w:val="TableContents"/>
              <w:bidi w:val="0"/>
              <w:spacing w:before="0" w:after="283"/>
              <w:jc w:val="right"/>
              <w:rPr/>
            </w:pPr>
            <w:r>
              <w:rPr/>
              <w:t>–</w:t>
            </w:r>
          </w:p>
        </w:tc>
        <w:tc>
          <w:tcPr>
            <w:tcW w:w="267" w:type="dxa"/>
            <w:tcBorders>
              <w:bottom w:val="single" w:sz="2" w:space="0" w:color="CBCAC8"/>
            </w:tcBorders>
            <w:vAlign w:val="center"/>
          </w:tcPr>
          <w:p>
            <w:pPr>
              <w:pStyle w:val="TableContents"/>
              <w:bidi w:val="0"/>
              <w:spacing w:before="0" w:after="283"/>
              <w:jc w:val="left"/>
              <w:rPr/>
            </w:pPr>
            <w:r>
              <w:rPr/>
              <w:t>​</w:t>
            </w:r>
          </w:p>
        </w:tc>
        <w:tc>
          <w:tcPr>
            <w:tcW w:w="123" w:type="dxa"/>
            <w:tcBorders>
              <w:bottom w:val="single" w:sz="2" w:space="0" w:color="CBCAC8"/>
            </w:tcBorders>
            <w:vAlign w:val="center"/>
          </w:tcPr>
          <w:p>
            <w:pPr>
              <w:pStyle w:val="TableContents"/>
              <w:bidi w:val="0"/>
              <w:spacing w:before="0" w:after="283"/>
              <w:jc w:val="left"/>
              <w:rPr/>
            </w:pPr>
            <w:r>
              <w:rPr/>
              <w:t>​</w:t>
            </w:r>
          </w:p>
        </w:tc>
        <w:tc>
          <w:tcPr>
            <w:tcW w:w="123" w:type="dxa"/>
            <w:tcBorders>
              <w:bottom w:val="single" w:sz="2" w:space="0" w:color="CBCAC8"/>
            </w:tcBorders>
            <w:vAlign w:val="center"/>
          </w:tcPr>
          <w:p>
            <w:pPr>
              <w:pStyle w:val="TableContents"/>
              <w:bidi w:val="0"/>
              <w:spacing w:before="0" w:after="283"/>
              <w:jc w:val="left"/>
              <w:rPr/>
            </w:pPr>
            <w:r>
              <w:rPr/>
              <w:t>​</w:t>
            </w:r>
          </w:p>
        </w:tc>
        <w:tc>
          <w:tcPr>
            <w:tcW w:w="318" w:type="dxa"/>
            <w:tcBorders>
              <w:bottom w:val="single" w:sz="2" w:space="0" w:color="CBCAC8"/>
            </w:tcBorders>
            <w:vAlign w:val="center"/>
          </w:tcPr>
          <w:p>
            <w:pPr>
              <w:pStyle w:val="TableContents"/>
              <w:bidi w:val="0"/>
              <w:spacing w:before="0" w:after="283"/>
              <w:jc w:val="left"/>
              <w:rPr/>
            </w:pPr>
            <w:r>
              <w:rPr/>
              <w:t>​</w:t>
            </w:r>
          </w:p>
        </w:tc>
        <w:tc>
          <w:tcPr>
            <w:tcW w:w="318" w:type="dxa"/>
            <w:tcBorders>
              <w:bottom w:val="single" w:sz="2" w:space="0" w:color="CBCAC8"/>
            </w:tcBorders>
            <w:tcMar>
              <w:bottom w:w="50" w:type="dxa"/>
            </w:tcMar>
            <w:vAlign w:val="center"/>
          </w:tcPr>
          <w:p>
            <w:pPr>
              <w:pStyle w:val="TableContents"/>
              <w:bidi w:val="0"/>
              <w:spacing w:before="0" w:after="283"/>
              <w:jc w:val="right"/>
              <w:rPr/>
            </w:pPr>
            <w:r>
              <w:rPr/>
              <w:t>​</w:t>
            </w:r>
          </w:p>
        </w:tc>
        <w:tc>
          <w:tcPr>
            <w:tcW w:w="661" w:type="dxa"/>
            <w:tcBorders>
              <w:bottom w:val="single" w:sz="2" w:space="0" w:color="CBCAC8"/>
            </w:tcBorders>
            <w:tcMar>
              <w:bottom w:w="50" w:type="dxa"/>
            </w:tcMar>
            <w:vAlign w:val="center"/>
          </w:tcPr>
          <w:p>
            <w:pPr>
              <w:pStyle w:val="TableContents"/>
              <w:bidi w:val="0"/>
              <w:spacing w:before="0" w:after="283"/>
              <w:jc w:val="right"/>
              <w:rPr/>
            </w:pPr>
            <w:r>
              <w:rPr/>
              <w:t>–</w:t>
            </w:r>
          </w:p>
        </w:tc>
        <w:tc>
          <w:tcPr>
            <w:tcW w:w="322"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7" w:type="dxa"/>
            <w:tcBorders>
              <w:bottom w:val="single" w:sz="2" w:space="0" w:color="CBCAC8"/>
            </w:tcBorders>
            <w:vAlign w:val="center"/>
          </w:tcPr>
          <w:p>
            <w:pPr>
              <w:pStyle w:val="TableContents"/>
              <w:bidi w:val="0"/>
              <w:spacing w:before="0" w:after="283"/>
              <w:jc w:val="left"/>
              <w:rPr/>
            </w:pPr>
            <w:r>
              <w:rPr/>
              <w:t>​</w:t>
            </w:r>
          </w:p>
        </w:tc>
        <w:tc>
          <w:tcPr>
            <w:tcW w:w="127" w:type="dxa"/>
            <w:tcBorders>
              <w:bottom w:val="single" w:sz="2" w:space="0" w:color="CBCAC8"/>
            </w:tcBorders>
            <w:tcMar>
              <w:bottom w:w="50" w:type="dxa"/>
            </w:tcMar>
            <w:vAlign w:val="center"/>
          </w:tcPr>
          <w:p>
            <w:pPr>
              <w:pStyle w:val="TableContents"/>
              <w:bidi w:val="0"/>
              <w:spacing w:before="0" w:after="283"/>
              <w:jc w:val="right"/>
              <w:rPr/>
            </w:pPr>
            <w:r>
              <w:rPr/>
              <w:t>​</w:t>
            </w:r>
          </w:p>
        </w:tc>
        <w:tc>
          <w:tcPr>
            <w:tcW w:w="967" w:type="dxa"/>
            <w:tcBorders>
              <w:bottom w:val="single" w:sz="2" w:space="0" w:color="CBCAC8"/>
            </w:tcBorders>
            <w:tcMar>
              <w:bottom w:w="50" w:type="dxa"/>
            </w:tcMar>
            <w:vAlign w:val="center"/>
          </w:tcPr>
          <w:p>
            <w:pPr>
              <w:pStyle w:val="TableContents"/>
              <w:bidi w:val="0"/>
              <w:spacing w:before="0" w:after="283"/>
              <w:jc w:val="right"/>
              <w:rPr/>
            </w:pPr>
            <w:r>
              <w:rPr/>
              <w:t>2,989</w:t>
            </w:r>
          </w:p>
        </w:tc>
        <w:tc>
          <w:tcPr>
            <w:tcW w:w="127"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09" w:type="dxa"/>
            <w:tcBorders>
              <w:bottom w:val="single" w:sz="2" w:space="0" w:color="CBCAC8"/>
            </w:tcBorders>
            <w:vAlign w:val="center"/>
          </w:tcPr>
          <w:p>
            <w:pPr>
              <w:pStyle w:val="TableContents"/>
              <w:bidi w:val="0"/>
              <w:spacing w:before="0" w:after="283"/>
              <w:jc w:val="left"/>
              <w:rPr/>
            </w:pPr>
            <w:r>
              <w:rPr/>
              <w:t>​</w:t>
            </w:r>
          </w:p>
        </w:tc>
        <w:tc>
          <w:tcPr>
            <w:tcW w:w="121" w:type="dxa"/>
            <w:tcBorders>
              <w:bottom w:val="single" w:sz="2" w:space="0" w:color="CBCAC8"/>
            </w:tcBorders>
            <w:vAlign w:val="center"/>
          </w:tcPr>
          <w:p>
            <w:pPr>
              <w:pStyle w:val="TableContents"/>
              <w:bidi w:val="0"/>
              <w:spacing w:before="0" w:after="283"/>
              <w:jc w:val="left"/>
              <w:rPr/>
            </w:pPr>
            <w:r>
              <w:rPr/>
              <w:t>​</w:t>
            </w:r>
          </w:p>
        </w:tc>
        <w:tc>
          <w:tcPr>
            <w:tcW w:w="121" w:type="dxa"/>
            <w:tcBorders>
              <w:bottom w:val="single" w:sz="2" w:space="0" w:color="CBCAC8"/>
            </w:tcBorders>
            <w:tcMar>
              <w:bottom w:w="50" w:type="dxa"/>
            </w:tcMar>
            <w:vAlign w:val="center"/>
          </w:tcPr>
          <w:p>
            <w:pPr>
              <w:pStyle w:val="TableContents"/>
              <w:bidi w:val="0"/>
              <w:spacing w:before="0" w:after="283"/>
              <w:jc w:val="right"/>
              <w:rPr/>
            </w:pPr>
            <w:r>
              <w:rPr/>
              <w:t>​</w:t>
            </w:r>
          </w:p>
        </w:tc>
        <w:tc>
          <w:tcPr>
            <w:tcW w:w="1256" w:type="dxa"/>
            <w:tcBorders>
              <w:bottom w:val="single" w:sz="2" w:space="0" w:color="CBCAC8"/>
            </w:tcBorders>
            <w:tcMar>
              <w:bottom w:w="50" w:type="dxa"/>
            </w:tcMar>
            <w:vAlign w:val="center"/>
          </w:tcPr>
          <w:p>
            <w:pPr>
              <w:pStyle w:val="TableContents"/>
              <w:bidi w:val="0"/>
              <w:spacing w:before="0" w:after="283"/>
              <w:jc w:val="right"/>
              <w:rPr/>
            </w:pPr>
            <w:r>
              <w:rPr/>
              <w:t>235,329</w:t>
            </w:r>
          </w:p>
        </w:tc>
        <w:tc>
          <w:tcPr>
            <w:tcW w:w="121" w:type="dxa"/>
            <w:tcBorders>
              <w:bottom w:val="single" w:sz="2" w:space="0" w:color="CBCAC8"/>
            </w:tcBorders>
            <w:vAlign w:val="center"/>
          </w:tcPr>
          <w:p>
            <w:pPr>
              <w:pStyle w:val="TableContents"/>
              <w:bidi w:val="0"/>
              <w:spacing w:before="0" w:after="283"/>
              <w:jc w:val="left"/>
              <w:rPr/>
            </w:pPr>
            <w:r>
              <w:rPr/>
              <w:t>​</w:t>
            </w:r>
          </w:p>
        </w:tc>
        <w:tc>
          <w:tcPr>
            <w:tcW w:w="154" w:type="dxa"/>
            <w:tcBorders>
              <w:bottom w:val="single" w:sz="2" w:space="0" w:color="CBCAC8"/>
            </w:tcBorders>
            <w:vAlign w:val="center"/>
          </w:tcPr>
          <w:p>
            <w:pPr>
              <w:pStyle w:val="TableContents"/>
              <w:bidi w:val="0"/>
              <w:spacing w:before="0" w:after="283"/>
              <w:jc w:val="left"/>
              <w:rPr/>
            </w:pPr>
            <w:r>
              <w:rPr/>
              <w:t>​</w:t>
            </w:r>
          </w:p>
        </w:tc>
      </w:tr>
    </w:tbl>
    <w:p>
      <w:pPr>
        <w:pStyle w:val="TextBody"/>
        <w:bidi w:val="0"/>
        <w:spacing w:lineRule="atLeast" w:line="340" w:before="296" w:after="283"/>
        <w:ind w:left="901"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NONQUALIFIED DEFERRED COMPENSATION</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information regarding the contributions and earnings credited to the accounts of the NEOs under the nonqualified deferred compensation plan in 2025 and plan balances as of December 31, 2025. The nonqualified deferred compensation plan was established in 2015. Although the Company has the flexibility to make discretionary contributions to the nonqualified deferred compensation plan, it has not made any such contributions. Each participant’s deferral account in the plan is credited or debited for gains and losses associated with his or her account’s notional (not actual) investment in investment options selected by the participant from a menu established from time to time by the Board (or a committee thereof). Participants are not provided with above-market or preferential earnings on their deferral accounts and are only entitled to receive distributions of their account balances in accordance with their deferral elections in effect from time to time and the terms of the plan.</w:t>
      </w:r>
      <w:r>
        <w:rPr>
          <w:rFonts w:ascii="Arial;Helvetica;sans-serif" w:hAnsi="Arial;Helvetica;sans-serif"/>
          <w:b w:val="false"/>
          <w:i w:val="false"/>
          <w:caps w:val="false"/>
          <w:smallCaps w:val="false"/>
          <w:color w:val="000000"/>
          <w:spacing w:val="4"/>
          <w:sz w:val="20"/>
        </w:rPr>
        <w:t xml:space="preserve"> </w:t>
      </w:r>
    </w:p>
    <w:tbl>
      <w:tblPr>
        <w:tblW w:w="9304" w:type="dxa"/>
        <w:jc w:val="left"/>
        <w:tblInd w:w="901" w:type="dxa"/>
        <w:tblLayout w:type="fixed"/>
        <w:tblCellMar>
          <w:top w:w="0" w:type="dxa"/>
          <w:left w:w="0" w:type="dxa"/>
          <w:bottom w:w="0" w:type="dxa"/>
          <w:right w:w="0" w:type="dxa"/>
        </w:tblCellMar>
      </w:tblPr>
      <w:tblGrid>
        <w:gridCol w:w="124"/>
        <w:gridCol w:w="1382"/>
        <w:gridCol w:w="109"/>
        <w:gridCol w:w="109"/>
        <w:gridCol w:w="279"/>
        <w:gridCol w:w="279"/>
        <w:gridCol w:w="579"/>
        <w:gridCol w:w="280"/>
        <w:gridCol w:w="109"/>
        <w:gridCol w:w="109"/>
        <w:gridCol w:w="279"/>
        <w:gridCol w:w="279"/>
        <w:gridCol w:w="579"/>
        <w:gridCol w:w="280"/>
        <w:gridCol w:w="109"/>
        <w:gridCol w:w="109"/>
        <w:gridCol w:w="223"/>
        <w:gridCol w:w="223"/>
        <w:gridCol w:w="463"/>
        <w:gridCol w:w="224"/>
        <w:gridCol w:w="109"/>
        <w:gridCol w:w="109"/>
        <w:gridCol w:w="269"/>
        <w:gridCol w:w="269"/>
        <w:gridCol w:w="558"/>
        <w:gridCol w:w="270"/>
        <w:gridCol w:w="109"/>
        <w:gridCol w:w="109"/>
        <w:gridCol w:w="239"/>
        <w:gridCol w:w="239"/>
        <w:gridCol w:w="496"/>
        <w:gridCol w:w="240"/>
        <w:gridCol w:w="161"/>
      </w:tblGrid>
      <w:tr>
        <w:trPr/>
        <w:tc>
          <w:tcPr>
            <w:tcW w:w="124" w:type="dxa"/>
            <w:tcBorders/>
            <w:shd w:fill="BAD8EA" w:val="clear"/>
            <w:vAlign w:val="center"/>
          </w:tcPr>
          <w:p>
            <w:pPr>
              <w:pStyle w:val="TableContents"/>
              <w:bidi w:val="0"/>
              <w:spacing w:before="0" w:after="283"/>
              <w:jc w:val="left"/>
              <w:rPr/>
            </w:pPr>
            <w:r>
              <w:rPr/>
              <w:t>​</w:t>
            </w:r>
          </w:p>
        </w:tc>
        <w:tc>
          <w:tcPr>
            <w:tcW w:w="1382" w:type="dxa"/>
            <w:tcBorders/>
            <w:shd w:fill="BAD8EA" w:val="clear"/>
            <w:vAlign w:val="center"/>
          </w:tcPr>
          <w:p>
            <w:pPr>
              <w:pStyle w:val="TableContents"/>
              <w:bidi w:val="0"/>
              <w:spacing w:before="0" w:after="0"/>
              <w:jc w:val="left"/>
              <w:rPr>
                <w:spacing w:val="0"/>
              </w:rPr>
            </w:pPr>
            <w:r>
              <w:rPr>
                <w:spacing w:val="0"/>
              </w:rPr>
              <w:t xml:space="preserve">Name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417" w:type="dxa"/>
            <w:gridSpan w:val="4"/>
            <w:tcBorders/>
            <w:shd w:fill="BAD8EA" w:val="clear"/>
            <w:vAlign w:val="center"/>
          </w:tcPr>
          <w:p>
            <w:pPr>
              <w:pStyle w:val="TableContents"/>
              <w:bidi w:val="0"/>
              <w:spacing w:lineRule="atLeast" w:line="202" w:before="0" w:after="0"/>
              <w:jc w:val="center"/>
              <w:rPr/>
            </w:pPr>
            <w:r>
              <w:rPr>
                <w:spacing w:val="0"/>
              </w:rPr>
              <w:t xml:space="preserve">Executive </w:t>
              <w:br/>
              <w:t xml:space="preserve">Contributions </w:t>
              <w:br/>
              <w:t>in FY2025</w:t>
            </w:r>
            <w:r>
              <w:rPr/>
              <w:t xml:space="preserve"> </w:t>
              <w:br/>
            </w:r>
            <w:r>
              <w:rPr>
                <w:spacing w:val="-2"/>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417" w:type="dxa"/>
            <w:gridSpan w:val="4"/>
            <w:tcBorders/>
            <w:shd w:fill="BAD8EA" w:val="clear"/>
            <w:vAlign w:val="center"/>
          </w:tcPr>
          <w:p>
            <w:pPr>
              <w:pStyle w:val="TableContents"/>
              <w:bidi w:val="0"/>
              <w:spacing w:lineRule="atLeast" w:line="202" w:before="0" w:after="0"/>
              <w:jc w:val="center"/>
              <w:rPr/>
            </w:pPr>
            <w:r>
              <w:rPr>
                <w:spacing w:val="0"/>
              </w:rPr>
              <w:t xml:space="preserve">Registrant </w:t>
              <w:br/>
              <w:t xml:space="preserve">Contributions </w:t>
              <w:br/>
              <w:t>in FY2025</w:t>
            </w:r>
            <w:r>
              <w:rPr/>
              <w:t xml:space="preserve"> </w:t>
              <w:br/>
            </w:r>
            <w:r>
              <w:rPr>
                <w:spacing w:val="-2"/>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133" w:type="dxa"/>
            <w:gridSpan w:val="4"/>
            <w:tcBorders/>
            <w:shd w:fill="BAD8EA" w:val="clear"/>
            <w:vAlign w:val="center"/>
          </w:tcPr>
          <w:p>
            <w:pPr>
              <w:pStyle w:val="TableContents"/>
              <w:bidi w:val="0"/>
              <w:spacing w:lineRule="atLeast" w:line="202" w:before="0" w:after="0"/>
              <w:jc w:val="center"/>
              <w:rPr/>
            </w:pPr>
            <w:r>
              <w:rPr>
                <w:spacing w:val="0"/>
              </w:rPr>
              <w:t xml:space="preserve">Aggregate </w:t>
              <w:br/>
              <w:t xml:space="preserve">Earnings </w:t>
              <w:br/>
              <w:t>in FY2025</w:t>
            </w:r>
            <w:r>
              <w:rPr/>
              <w:t xml:space="preserve"> </w:t>
              <w:br/>
            </w:r>
            <w:r>
              <w:rPr>
                <w:spacing w:val="-2"/>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366" w:type="dxa"/>
            <w:gridSpan w:val="4"/>
            <w:tcBorders/>
            <w:shd w:fill="BAD8EA" w:val="clear"/>
            <w:vAlign w:val="center"/>
          </w:tcPr>
          <w:p>
            <w:pPr>
              <w:pStyle w:val="TableContents"/>
              <w:bidi w:val="0"/>
              <w:spacing w:lineRule="atLeast" w:line="202" w:before="0" w:after="0"/>
              <w:jc w:val="center"/>
              <w:rPr/>
            </w:pPr>
            <w:r>
              <w:rPr>
                <w:spacing w:val="0"/>
              </w:rPr>
              <w:t xml:space="preserve">Aggregate </w:t>
              <w:br/>
              <w:t>Withdrawals/</w:t>
            </w:r>
            <w:r>
              <w:rPr/>
              <w:t>​</w:t>
              <w:br/>
            </w:r>
            <w:r>
              <w:rPr>
                <w:spacing w:val="0"/>
              </w:rPr>
              <w:t>Distributions</w:t>
            </w:r>
            <w:r>
              <w:rPr/>
              <w:br/>
            </w:r>
            <w:r>
              <w:rPr>
                <w:spacing w:val="-2"/>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214" w:type="dxa"/>
            <w:gridSpan w:val="4"/>
            <w:tcBorders/>
            <w:shd w:fill="BAD8EA" w:val="clear"/>
            <w:vAlign w:val="center"/>
          </w:tcPr>
          <w:p>
            <w:pPr>
              <w:pStyle w:val="TableContents"/>
              <w:bidi w:val="0"/>
              <w:spacing w:lineRule="atLeast" w:line="202" w:before="0" w:after="0"/>
              <w:jc w:val="center"/>
              <w:rPr/>
            </w:pPr>
            <w:r>
              <w:rPr>
                <w:spacing w:val="0"/>
              </w:rPr>
              <w:t xml:space="preserve">Aggregate </w:t>
              <w:br/>
              <w:t xml:space="preserve">Balance at </w:t>
              <w:br/>
              <w:t>FY2025 End</w:t>
            </w:r>
            <w:r>
              <w:rPr/>
              <w:t xml:space="preserve"> </w:t>
              <w:br/>
            </w:r>
            <w:r>
              <w:rPr>
                <w:spacing w:val="-2"/>
              </w:rPr>
              <w:t xml:space="preserve">($) </w:t>
            </w:r>
          </w:p>
        </w:tc>
        <w:tc>
          <w:tcPr>
            <w:tcW w:w="161"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1382"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David O’Reilly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50" w:type="dxa"/>
            </w:tcMar>
            <w:vAlign w:val="center"/>
          </w:tcPr>
          <w:p>
            <w:pPr>
              <w:pStyle w:val="TableContents"/>
              <w:bidi w:val="0"/>
              <w:spacing w:before="0" w:after="283"/>
              <w:jc w:val="right"/>
              <w:rPr/>
            </w:pPr>
            <w:r>
              <w:rPr/>
              <w:t>​</w:t>
            </w:r>
          </w:p>
        </w:tc>
        <w:tc>
          <w:tcPr>
            <w:tcW w:w="579" w:type="dxa"/>
            <w:tcBorders>
              <w:bottom w:val="single" w:sz="2" w:space="0" w:color="CBCAC8"/>
            </w:tcBorders>
            <w:tcMar>
              <w:bottom w:w="50" w:type="dxa"/>
            </w:tcMar>
            <w:vAlign w:val="center"/>
          </w:tcPr>
          <w:p>
            <w:pPr>
              <w:pStyle w:val="TableContents"/>
              <w:bidi w:val="0"/>
              <w:spacing w:before="0" w:after="283"/>
              <w:jc w:val="right"/>
              <w:rPr/>
            </w:pPr>
            <w:r>
              <w:rPr/>
              <w:t>–</w:t>
            </w:r>
          </w:p>
        </w:tc>
        <w:tc>
          <w:tcPr>
            <w:tcW w:w="280"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50" w:type="dxa"/>
            </w:tcMar>
            <w:vAlign w:val="center"/>
          </w:tcPr>
          <w:p>
            <w:pPr>
              <w:pStyle w:val="TableContents"/>
              <w:bidi w:val="0"/>
              <w:spacing w:before="0" w:after="283"/>
              <w:jc w:val="right"/>
              <w:rPr/>
            </w:pPr>
            <w:r>
              <w:rPr/>
              <w:t>​</w:t>
            </w:r>
          </w:p>
        </w:tc>
        <w:tc>
          <w:tcPr>
            <w:tcW w:w="579" w:type="dxa"/>
            <w:tcBorders>
              <w:bottom w:val="single" w:sz="2" w:space="0" w:color="CBCAC8"/>
            </w:tcBorders>
            <w:tcMar>
              <w:bottom w:w="50" w:type="dxa"/>
            </w:tcMar>
            <w:vAlign w:val="center"/>
          </w:tcPr>
          <w:p>
            <w:pPr>
              <w:pStyle w:val="TableContents"/>
              <w:bidi w:val="0"/>
              <w:spacing w:before="0" w:after="283"/>
              <w:jc w:val="right"/>
              <w:rPr/>
            </w:pPr>
            <w:r>
              <w:rPr/>
              <w:t>–</w:t>
            </w:r>
          </w:p>
        </w:tc>
        <w:tc>
          <w:tcPr>
            <w:tcW w:w="280"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3" w:type="dxa"/>
            <w:tcBorders>
              <w:bottom w:val="single" w:sz="2" w:space="0" w:color="CBCAC8"/>
            </w:tcBorders>
            <w:tcMar>
              <w:bottom w:w="28" w:type="dxa"/>
            </w:tcMar>
            <w:vAlign w:val="center"/>
          </w:tcPr>
          <w:p>
            <w:pPr>
              <w:pStyle w:val="TableContents"/>
              <w:bidi w:val="0"/>
              <w:spacing w:before="0" w:after="283"/>
              <w:jc w:val="left"/>
              <w:rPr/>
            </w:pPr>
            <w:r>
              <w:rPr/>
              <w:t>​</w:t>
            </w:r>
          </w:p>
        </w:tc>
        <w:tc>
          <w:tcPr>
            <w:tcW w:w="223" w:type="dxa"/>
            <w:tcBorders>
              <w:bottom w:val="single" w:sz="2" w:space="0" w:color="CBCAC8"/>
            </w:tcBorders>
            <w:tcMar>
              <w:bottom w:w="50" w:type="dxa"/>
            </w:tcMar>
            <w:vAlign w:val="center"/>
          </w:tcPr>
          <w:p>
            <w:pPr>
              <w:pStyle w:val="TableContents"/>
              <w:bidi w:val="0"/>
              <w:spacing w:before="0" w:after="283"/>
              <w:jc w:val="right"/>
              <w:rPr/>
            </w:pPr>
            <w:r>
              <w:rPr/>
              <w:t>​</w:t>
            </w:r>
          </w:p>
        </w:tc>
        <w:tc>
          <w:tcPr>
            <w:tcW w:w="463" w:type="dxa"/>
            <w:tcBorders>
              <w:bottom w:val="single" w:sz="2" w:space="0" w:color="CBCAC8"/>
            </w:tcBorders>
            <w:tcMar>
              <w:bottom w:w="50" w:type="dxa"/>
            </w:tcMar>
            <w:vAlign w:val="center"/>
          </w:tcPr>
          <w:p>
            <w:pPr>
              <w:pStyle w:val="TableContents"/>
              <w:bidi w:val="0"/>
              <w:spacing w:before="0" w:after="283"/>
              <w:jc w:val="right"/>
              <w:rPr/>
            </w:pPr>
            <w:r>
              <w:rPr/>
              <w:t>–</w:t>
            </w:r>
          </w:p>
        </w:tc>
        <w:tc>
          <w:tcPr>
            <w:tcW w:w="22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69" w:type="dxa"/>
            <w:tcBorders>
              <w:bottom w:val="single" w:sz="2" w:space="0" w:color="CBCAC8"/>
            </w:tcBorders>
            <w:tcMar>
              <w:bottom w:w="28" w:type="dxa"/>
            </w:tcMar>
            <w:vAlign w:val="center"/>
          </w:tcPr>
          <w:p>
            <w:pPr>
              <w:pStyle w:val="TableContents"/>
              <w:bidi w:val="0"/>
              <w:spacing w:before="0" w:after="283"/>
              <w:jc w:val="left"/>
              <w:rPr/>
            </w:pPr>
            <w:r>
              <w:rPr/>
              <w:t>​</w:t>
            </w:r>
          </w:p>
        </w:tc>
        <w:tc>
          <w:tcPr>
            <w:tcW w:w="269" w:type="dxa"/>
            <w:tcBorders>
              <w:bottom w:val="single" w:sz="2" w:space="0" w:color="CBCAC8"/>
            </w:tcBorders>
            <w:tcMar>
              <w:bottom w:w="50" w:type="dxa"/>
            </w:tcMar>
            <w:vAlign w:val="center"/>
          </w:tcPr>
          <w:p>
            <w:pPr>
              <w:pStyle w:val="TableContents"/>
              <w:bidi w:val="0"/>
              <w:spacing w:before="0" w:after="283"/>
              <w:jc w:val="right"/>
              <w:rPr/>
            </w:pPr>
            <w:r>
              <w:rPr/>
              <w:t>​</w:t>
            </w:r>
          </w:p>
        </w:tc>
        <w:tc>
          <w:tcPr>
            <w:tcW w:w="558" w:type="dxa"/>
            <w:tcBorders>
              <w:bottom w:val="single" w:sz="2" w:space="0" w:color="CBCAC8"/>
            </w:tcBorders>
            <w:tcMar>
              <w:bottom w:w="50" w:type="dxa"/>
            </w:tcMar>
            <w:vAlign w:val="center"/>
          </w:tcPr>
          <w:p>
            <w:pPr>
              <w:pStyle w:val="TableContents"/>
              <w:bidi w:val="0"/>
              <w:spacing w:before="0" w:after="283"/>
              <w:jc w:val="right"/>
              <w:rPr/>
            </w:pPr>
            <w:r>
              <w:rPr/>
              <w:t>–</w:t>
            </w:r>
          </w:p>
        </w:tc>
        <w:tc>
          <w:tcPr>
            <w:tcW w:w="270"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39" w:type="dxa"/>
            <w:tcBorders>
              <w:bottom w:val="single" w:sz="2" w:space="0" w:color="CBCAC8"/>
            </w:tcBorders>
            <w:tcMar>
              <w:bottom w:w="28" w:type="dxa"/>
            </w:tcMar>
            <w:vAlign w:val="center"/>
          </w:tcPr>
          <w:p>
            <w:pPr>
              <w:pStyle w:val="TableContents"/>
              <w:bidi w:val="0"/>
              <w:spacing w:before="0" w:after="283"/>
              <w:jc w:val="left"/>
              <w:rPr/>
            </w:pPr>
            <w:r>
              <w:rPr/>
              <w:t>​</w:t>
            </w:r>
          </w:p>
        </w:tc>
        <w:tc>
          <w:tcPr>
            <w:tcW w:w="239" w:type="dxa"/>
            <w:tcBorders>
              <w:bottom w:val="single" w:sz="2" w:space="0" w:color="CBCAC8"/>
            </w:tcBorders>
            <w:tcMar>
              <w:bottom w:w="50" w:type="dxa"/>
            </w:tcMar>
            <w:vAlign w:val="center"/>
          </w:tcPr>
          <w:p>
            <w:pPr>
              <w:pStyle w:val="TableContents"/>
              <w:bidi w:val="0"/>
              <w:spacing w:before="0" w:after="283"/>
              <w:jc w:val="right"/>
              <w:rPr/>
            </w:pPr>
            <w:r>
              <w:rPr/>
              <w:t>​</w:t>
            </w:r>
          </w:p>
        </w:tc>
        <w:tc>
          <w:tcPr>
            <w:tcW w:w="496" w:type="dxa"/>
            <w:tcBorders>
              <w:bottom w:val="single" w:sz="2" w:space="0" w:color="CBCAC8"/>
            </w:tcBorders>
            <w:tcMar>
              <w:bottom w:w="50" w:type="dxa"/>
            </w:tcMar>
            <w:vAlign w:val="center"/>
          </w:tcPr>
          <w:p>
            <w:pPr>
              <w:pStyle w:val="TableContents"/>
              <w:bidi w:val="0"/>
              <w:spacing w:before="0" w:after="283"/>
              <w:jc w:val="right"/>
              <w:rPr/>
            </w:pPr>
            <w:r>
              <w:rPr/>
              <w:t xml:space="preserve">– </w:t>
            </w:r>
          </w:p>
        </w:tc>
        <w:tc>
          <w:tcPr>
            <w:tcW w:w="240" w:type="dxa"/>
            <w:tcBorders>
              <w:bottom w:val="single" w:sz="2" w:space="0" w:color="CBCAC8"/>
            </w:tcBorders>
            <w:tcMar>
              <w:bottom w:w="28" w:type="dxa"/>
            </w:tcMar>
            <w:vAlign w:val="center"/>
          </w:tcPr>
          <w:p>
            <w:pPr>
              <w:pStyle w:val="TableContents"/>
              <w:bidi w:val="0"/>
              <w:spacing w:before="0" w:after="283"/>
              <w:jc w:val="left"/>
              <w:rPr/>
            </w:pPr>
            <w:r>
              <w:rPr/>
              <w:t>​</w:t>
            </w:r>
          </w:p>
        </w:tc>
        <w:tc>
          <w:tcPr>
            <w:tcW w:w="161"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1382" w:type="dxa"/>
            <w:tcBorders>
              <w:bottom w:val="single" w:sz="2" w:space="0" w:color="CBCAC8"/>
            </w:tcBorders>
            <w:tcMar>
              <w:bottom w:w="50" w:type="dxa"/>
            </w:tcMar>
            <w:vAlign w:val="center"/>
          </w:tcPr>
          <w:p>
            <w:pPr>
              <w:pStyle w:val="TableContents"/>
              <w:bidi w:val="0"/>
              <w:spacing w:before="0" w:after="283"/>
              <w:jc w:val="left"/>
              <w:rPr/>
            </w:pPr>
            <w:r>
              <w:rPr>
                <w:spacing w:val="-2"/>
              </w:rPr>
              <w:t>L. Jay Cross</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50" w:type="dxa"/>
            </w:tcMar>
            <w:vAlign w:val="center"/>
          </w:tcPr>
          <w:p>
            <w:pPr>
              <w:pStyle w:val="TableContents"/>
              <w:bidi w:val="0"/>
              <w:spacing w:before="0" w:after="283"/>
              <w:jc w:val="right"/>
              <w:rPr/>
            </w:pPr>
            <w:r>
              <w:rPr/>
              <w:t>​</w:t>
            </w:r>
          </w:p>
        </w:tc>
        <w:tc>
          <w:tcPr>
            <w:tcW w:w="579" w:type="dxa"/>
            <w:tcBorders>
              <w:bottom w:val="single" w:sz="2" w:space="0" w:color="CBCAC8"/>
            </w:tcBorders>
            <w:tcMar>
              <w:bottom w:w="50" w:type="dxa"/>
            </w:tcMar>
            <w:vAlign w:val="center"/>
          </w:tcPr>
          <w:p>
            <w:pPr>
              <w:pStyle w:val="TableContents"/>
              <w:bidi w:val="0"/>
              <w:spacing w:before="0" w:after="283"/>
              <w:jc w:val="right"/>
              <w:rPr/>
            </w:pPr>
            <w:r>
              <w:rPr/>
              <w:t xml:space="preserve">– </w:t>
            </w:r>
          </w:p>
        </w:tc>
        <w:tc>
          <w:tcPr>
            <w:tcW w:w="280"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50" w:type="dxa"/>
            </w:tcMar>
            <w:vAlign w:val="center"/>
          </w:tcPr>
          <w:p>
            <w:pPr>
              <w:pStyle w:val="TableContents"/>
              <w:bidi w:val="0"/>
              <w:spacing w:before="0" w:after="283"/>
              <w:jc w:val="right"/>
              <w:rPr/>
            </w:pPr>
            <w:r>
              <w:rPr/>
              <w:t>​</w:t>
            </w:r>
          </w:p>
        </w:tc>
        <w:tc>
          <w:tcPr>
            <w:tcW w:w="579" w:type="dxa"/>
            <w:tcBorders>
              <w:bottom w:val="single" w:sz="2" w:space="0" w:color="CBCAC8"/>
            </w:tcBorders>
            <w:tcMar>
              <w:bottom w:w="50" w:type="dxa"/>
            </w:tcMar>
            <w:vAlign w:val="center"/>
          </w:tcPr>
          <w:p>
            <w:pPr>
              <w:pStyle w:val="TableContents"/>
              <w:bidi w:val="0"/>
              <w:spacing w:before="0" w:after="283"/>
              <w:jc w:val="right"/>
              <w:rPr/>
            </w:pPr>
            <w:r>
              <w:rPr/>
              <w:t xml:space="preserve">– </w:t>
            </w:r>
          </w:p>
        </w:tc>
        <w:tc>
          <w:tcPr>
            <w:tcW w:w="280"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3" w:type="dxa"/>
            <w:tcBorders>
              <w:bottom w:val="single" w:sz="2" w:space="0" w:color="CBCAC8"/>
            </w:tcBorders>
            <w:tcMar>
              <w:bottom w:w="28" w:type="dxa"/>
            </w:tcMar>
            <w:vAlign w:val="center"/>
          </w:tcPr>
          <w:p>
            <w:pPr>
              <w:pStyle w:val="TableContents"/>
              <w:bidi w:val="0"/>
              <w:spacing w:before="0" w:after="283"/>
              <w:jc w:val="left"/>
              <w:rPr/>
            </w:pPr>
            <w:r>
              <w:rPr/>
              <w:t>​</w:t>
            </w:r>
          </w:p>
        </w:tc>
        <w:tc>
          <w:tcPr>
            <w:tcW w:w="223" w:type="dxa"/>
            <w:tcBorders>
              <w:bottom w:val="single" w:sz="2" w:space="0" w:color="CBCAC8"/>
            </w:tcBorders>
            <w:tcMar>
              <w:bottom w:w="50" w:type="dxa"/>
            </w:tcMar>
            <w:vAlign w:val="center"/>
          </w:tcPr>
          <w:p>
            <w:pPr>
              <w:pStyle w:val="TableContents"/>
              <w:bidi w:val="0"/>
              <w:spacing w:before="0" w:after="283"/>
              <w:jc w:val="right"/>
              <w:rPr/>
            </w:pPr>
            <w:r>
              <w:rPr/>
              <w:t>​</w:t>
            </w:r>
          </w:p>
        </w:tc>
        <w:tc>
          <w:tcPr>
            <w:tcW w:w="463" w:type="dxa"/>
            <w:tcBorders>
              <w:bottom w:val="single" w:sz="2" w:space="0" w:color="CBCAC8"/>
            </w:tcBorders>
            <w:tcMar>
              <w:bottom w:w="50" w:type="dxa"/>
            </w:tcMar>
            <w:vAlign w:val="center"/>
          </w:tcPr>
          <w:p>
            <w:pPr>
              <w:pStyle w:val="TableContents"/>
              <w:bidi w:val="0"/>
              <w:spacing w:before="0" w:after="283"/>
              <w:jc w:val="right"/>
              <w:rPr/>
            </w:pPr>
            <w:r>
              <w:rPr/>
              <w:t xml:space="preserve">– </w:t>
            </w:r>
          </w:p>
        </w:tc>
        <w:tc>
          <w:tcPr>
            <w:tcW w:w="22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69" w:type="dxa"/>
            <w:tcBorders>
              <w:bottom w:val="single" w:sz="2" w:space="0" w:color="CBCAC8"/>
            </w:tcBorders>
            <w:tcMar>
              <w:bottom w:w="28" w:type="dxa"/>
            </w:tcMar>
            <w:vAlign w:val="center"/>
          </w:tcPr>
          <w:p>
            <w:pPr>
              <w:pStyle w:val="TableContents"/>
              <w:bidi w:val="0"/>
              <w:spacing w:before="0" w:after="283"/>
              <w:jc w:val="left"/>
              <w:rPr/>
            </w:pPr>
            <w:r>
              <w:rPr/>
              <w:t>​</w:t>
            </w:r>
          </w:p>
        </w:tc>
        <w:tc>
          <w:tcPr>
            <w:tcW w:w="269" w:type="dxa"/>
            <w:tcBorders>
              <w:bottom w:val="single" w:sz="2" w:space="0" w:color="CBCAC8"/>
            </w:tcBorders>
            <w:tcMar>
              <w:bottom w:w="50" w:type="dxa"/>
            </w:tcMar>
            <w:vAlign w:val="center"/>
          </w:tcPr>
          <w:p>
            <w:pPr>
              <w:pStyle w:val="TableContents"/>
              <w:bidi w:val="0"/>
              <w:spacing w:before="0" w:after="283"/>
              <w:jc w:val="right"/>
              <w:rPr/>
            </w:pPr>
            <w:r>
              <w:rPr/>
              <w:t>​</w:t>
            </w:r>
          </w:p>
        </w:tc>
        <w:tc>
          <w:tcPr>
            <w:tcW w:w="558" w:type="dxa"/>
            <w:tcBorders>
              <w:bottom w:val="single" w:sz="2" w:space="0" w:color="CBCAC8"/>
            </w:tcBorders>
            <w:tcMar>
              <w:bottom w:w="50" w:type="dxa"/>
            </w:tcMar>
            <w:vAlign w:val="center"/>
          </w:tcPr>
          <w:p>
            <w:pPr>
              <w:pStyle w:val="TableContents"/>
              <w:bidi w:val="0"/>
              <w:spacing w:before="0" w:after="283"/>
              <w:jc w:val="right"/>
              <w:rPr/>
            </w:pPr>
            <w:r>
              <w:rPr/>
              <w:t xml:space="preserve">– </w:t>
            </w:r>
          </w:p>
        </w:tc>
        <w:tc>
          <w:tcPr>
            <w:tcW w:w="270"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39" w:type="dxa"/>
            <w:tcBorders>
              <w:bottom w:val="single" w:sz="2" w:space="0" w:color="CBCAC8"/>
            </w:tcBorders>
            <w:tcMar>
              <w:bottom w:w="28" w:type="dxa"/>
            </w:tcMar>
            <w:vAlign w:val="center"/>
          </w:tcPr>
          <w:p>
            <w:pPr>
              <w:pStyle w:val="TableContents"/>
              <w:bidi w:val="0"/>
              <w:spacing w:before="0" w:after="283"/>
              <w:jc w:val="left"/>
              <w:rPr/>
            </w:pPr>
            <w:r>
              <w:rPr/>
              <w:t>​</w:t>
            </w:r>
          </w:p>
        </w:tc>
        <w:tc>
          <w:tcPr>
            <w:tcW w:w="239" w:type="dxa"/>
            <w:tcBorders>
              <w:bottom w:val="single" w:sz="2" w:space="0" w:color="CBCAC8"/>
            </w:tcBorders>
            <w:tcMar>
              <w:bottom w:w="50" w:type="dxa"/>
            </w:tcMar>
            <w:vAlign w:val="center"/>
          </w:tcPr>
          <w:p>
            <w:pPr>
              <w:pStyle w:val="TableContents"/>
              <w:bidi w:val="0"/>
              <w:spacing w:before="0" w:after="283"/>
              <w:jc w:val="right"/>
              <w:rPr/>
            </w:pPr>
            <w:r>
              <w:rPr/>
              <w:t>​</w:t>
            </w:r>
          </w:p>
        </w:tc>
        <w:tc>
          <w:tcPr>
            <w:tcW w:w="496" w:type="dxa"/>
            <w:tcBorders>
              <w:bottom w:val="single" w:sz="2" w:space="0" w:color="CBCAC8"/>
            </w:tcBorders>
            <w:tcMar>
              <w:bottom w:w="50" w:type="dxa"/>
            </w:tcMar>
            <w:vAlign w:val="center"/>
          </w:tcPr>
          <w:p>
            <w:pPr>
              <w:pStyle w:val="TableContents"/>
              <w:bidi w:val="0"/>
              <w:spacing w:before="0" w:after="283"/>
              <w:jc w:val="right"/>
              <w:rPr/>
            </w:pPr>
            <w:r>
              <w:rPr/>
              <w:t xml:space="preserve">– </w:t>
            </w:r>
          </w:p>
        </w:tc>
        <w:tc>
          <w:tcPr>
            <w:tcW w:w="240" w:type="dxa"/>
            <w:tcBorders>
              <w:bottom w:val="single" w:sz="2" w:space="0" w:color="CBCAC8"/>
            </w:tcBorders>
            <w:tcMar>
              <w:bottom w:w="28" w:type="dxa"/>
            </w:tcMar>
            <w:vAlign w:val="center"/>
          </w:tcPr>
          <w:p>
            <w:pPr>
              <w:pStyle w:val="TableContents"/>
              <w:bidi w:val="0"/>
              <w:spacing w:before="0" w:after="283"/>
              <w:jc w:val="left"/>
              <w:rPr/>
            </w:pPr>
            <w:r>
              <w:rPr/>
              <w:t>​</w:t>
            </w:r>
          </w:p>
        </w:tc>
        <w:tc>
          <w:tcPr>
            <w:tcW w:w="161"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1382"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Carlos Olea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50" w:type="dxa"/>
            </w:tcMar>
            <w:vAlign w:val="center"/>
          </w:tcPr>
          <w:p>
            <w:pPr>
              <w:pStyle w:val="TableContents"/>
              <w:bidi w:val="0"/>
              <w:spacing w:before="0" w:after="283"/>
              <w:jc w:val="right"/>
              <w:rPr/>
            </w:pPr>
            <w:r>
              <w:rPr/>
              <w:t>​</w:t>
            </w:r>
          </w:p>
        </w:tc>
        <w:tc>
          <w:tcPr>
            <w:tcW w:w="579" w:type="dxa"/>
            <w:tcBorders>
              <w:bottom w:val="single" w:sz="2" w:space="0" w:color="CBCAC8"/>
            </w:tcBorders>
            <w:tcMar>
              <w:bottom w:w="50" w:type="dxa"/>
            </w:tcMar>
            <w:vAlign w:val="center"/>
          </w:tcPr>
          <w:p>
            <w:pPr>
              <w:pStyle w:val="TableContents"/>
              <w:bidi w:val="0"/>
              <w:spacing w:before="0" w:after="283"/>
              <w:jc w:val="right"/>
              <w:rPr/>
            </w:pPr>
            <w:r>
              <w:rPr/>
              <w:t>–</w:t>
            </w:r>
          </w:p>
        </w:tc>
        <w:tc>
          <w:tcPr>
            <w:tcW w:w="280"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50" w:type="dxa"/>
            </w:tcMar>
            <w:vAlign w:val="center"/>
          </w:tcPr>
          <w:p>
            <w:pPr>
              <w:pStyle w:val="TableContents"/>
              <w:bidi w:val="0"/>
              <w:spacing w:before="0" w:after="283"/>
              <w:jc w:val="right"/>
              <w:rPr/>
            </w:pPr>
            <w:r>
              <w:rPr/>
              <w:t>​</w:t>
            </w:r>
          </w:p>
        </w:tc>
        <w:tc>
          <w:tcPr>
            <w:tcW w:w="579" w:type="dxa"/>
            <w:tcBorders>
              <w:bottom w:val="single" w:sz="2" w:space="0" w:color="CBCAC8"/>
            </w:tcBorders>
            <w:tcMar>
              <w:bottom w:w="50" w:type="dxa"/>
            </w:tcMar>
            <w:vAlign w:val="center"/>
          </w:tcPr>
          <w:p>
            <w:pPr>
              <w:pStyle w:val="TableContents"/>
              <w:bidi w:val="0"/>
              <w:spacing w:before="0" w:after="283"/>
              <w:jc w:val="right"/>
              <w:rPr/>
            </w:pPr>
            <w:r>
              <w:rPr/>
              <w:t>–</w:t>
            </w:r>
          </w:p>
        </w:tc>
        <w:tc>
          <w:tcPr>
            <w:tcW w:w="280"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3" w:type="dxa"/>
            <w:tcBorders>
              <w:bottom w:val="single" w:sz="2" w:space="0" w:color="CBCAC8"/>
            </w:tcBorders>
            <w:tcMar>
              <w:bottom w:w="28" w:type="dxa"/>
            </w:tcMar>
            <w:vAlign w:val="center"/>
          </w:tcPr>
          <w:p>
            <w:pPr>
              <w:pStyle w:val="TableContents"/>
              <w:bidi w:val="0"/>
              <w:spacing w:before="0" w:after="283"/>
              <w:jc w:val="left"/>
              <w:rPr/>
            </w:pPr>
            <w:r>
              <w:rPr/>
              <w:t>​</w:t>
            </w:r>
          </w:p>
        </w:tc>
        <w:tc>
          <w:tcPr>
            <w:tcW w:w="223" w:type="dxa"/>
            <w:tcBorders>
              <w:bottom w:val="single" w:sz="2" w:space="0" w:color="CBCAC8"/>
            </w:tcBorders>
            <w:tcMar>
              <w:bottom w:w="50" w:type="dxa"/>
            </w:tcMar>
            <w:vAlign w:val="center"/>
          </w:tcPr>
          <w:p>
            <w:pPr>
              <w:pStyle w:val="TableContents"/>
              <w:bidi w:val="0"/>
              <w:spacing w:before="0" w:after="283"/>
              <w:jc w:val="right"/>
              <w:rPr/>
            </w:pPr>
            <w:r>
              <w:rPr/>
              <w:t>​</w:t>
            </w:r>
          </w:p>
        </w:tc>
        <w:tc>
          <w:tcPr>
            <w:tcW w:w="463" w:type="dxa"/>
            <w:tcBorders>
              <w:bottom w:val="single" w:sz="2" w:space="0" w:color="CBCAC8"/>
            </w:tcBorders>
            <w:tcMar>
              <w:bottom w:w="50" w:type="dxa"/>
            </w:tcMar>
            <w:vAlign w:val="center"/>
          </w:tcPr>
          <w:p>
            <w:pPr>
              <w:pStyle w:val="TableContents"/>
              <w:bidi w:val="0"/>
              <w:spacing w:before="0" w:after="283"/>
              <w:jc w:val="right"/>
              <w:rPr/>
            </w:pPr>
            <w:r>
              <w:rPr/>
              <w:t>–</w:t>
            </w:r>
          </w:p>
        </w:tc>
        <w:tc>
          <w:tcPr>
            <w:tcW w:w="22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69" w:type="dxa"/>
            <w:tcBorders>
              <w:bottom w:val="single" w:sz="2" w:space="0" w:color="CBCAC8"/>
            </w:tcBorders>
            <w:tcMar>
              <w:bottom w:w="28" w:type="dxa"/>
            </w:tcMar>
            <w:vAlign w:val="center"/>
          </w:tcPr>
          <w:p>
            <w:pPr>
              <w:pStyle w:val="TableContents"/>
              <w:bidi w:val="0"/>
              <w:spacing w:before="0" w:after="283"/>
              <w:jc w:val="left"/>
              <w:rPr/>
            </w:pPr>
            <w:r>
              <w:rPr/>
              <w:t>​</w:t>
            </w:r>
          </w:p>
        </w:tc>
        <w:tc>
          <w:tcPr>
            <w:tcW w:w="269" w:type="dxa"/>
            <w:tcBorders>
              <w:bottom w:val="single" w:sz="2" w:space="0" w:color="CBCAC8"/>
            </w:tcBorders>
            <w:tcMar>
              <w:bottom w:w="50" w:type="dxa"/>
            </w:tcMar>
            <w:vAlign w:val="center"/>
          </w:tcPr>
          <w:p>
            <w:pPr>
              <w:pStyle w:val="TableContents"/>
              <w:bidi w:val="0"/>
              <w:spacing w:before="0" w:after="283"/>
              <w:jc w:val="right"/>
              <w:rPr/>
            </w:pPr>
            <w:r>
              <w:rPr/>
              <w:t>​</w:t>
            </w:r>
          </w:p>
        </w:tc>
        <w:tc>
          <w:tcPr>
            <w:tcW w:w="558" w:type="dxa"/>
            <w:tcBorders>
              <w:bottom w:val="single" w:sz="2" w:space="0" w:color="CBCAC8"/>
            </w:tcBorders>
            <w:tcMar>
              <w:bottom w:w="50" w:type="dxa"/>
            </w:tcMar>
            <w:vAlign w:val="center"/>
          </w:tcPr>
          <w:p>
            <w:pPr>
              <w:pStyle w:val="TableContents"/>
              <w:bidi w:val="0"/>
              <w:spacing w:before="0" w:after="283"/>
              <w:jc w:val="right"/>
              <w:rPr/>
            </w:pPr>
            <w:r>
              <w:rPr/>
              <w:t>–</w:t>
            </w:r>
          </w:p>
        </w:tc>
        <w:tc>
          <w:tcPr>
            <w:tcW w:w="270"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39" w:type="dxa"/>
            <w:tcBorders>
              <w:bottom w:val="single" w:sz="2" w:space="0" w:color="CBCAC8"/>
            </w:tcBorders>
            <w:tcMar>
              <w:bottom w:w="28" w:type="dxa"/>
            </w:tcMar>
            <w:vAlign w:val="center"/>
          </w:tcPr>
          <w:p>
            <w:pPr>
              <w:pStyle w:val="TableContents"/>
              <w:bidi w:val="0"/>
              <w:spacing w:before="0" w:after="283"/>
              <w:jc w:val="left"/>
              <w:rPr/>
            </w:pPr>
            <w:r>
              <w:rPr/>
              <w:t>​</w:t>
            </w:r>
          </w:p>
        </w:tc>
        <w:tc>
          <w:tcPr>
            <w:tcW w:w="239" w:type="dxa"/>
            <w:tcBorders>
              <w:bottom w:val="single" w:sz="2" w:space="0" w:color="CBCAC8"/>
            </w:tcBorders>
            <w:tcMar>
              <w:bottom w:w="50" w:type="dxa"/>
            </w:tcMar>
            <w:vAlign w:val="center"/>
          </w:tcPr>
          <w:p>
            <w:pPr>
              <w:pStyle w:val="TableContents"/>
              <w:bidi w:val="0"/>
              <w:spacing w:before="0" w:after="283"/>
              <w:jc w:val="right"/>
              <w:rPr/>
            </w:pPr>
            <w:r>
              <w:rPr/>
              <w:t>​</w:t>
            </w:r>
          </w:p>
        </w:tc>
        <w:tc>
          <w:tcPr>
            <w:tcW w:w="496" w:type="dxa"/>
            <w:tcBorders>
              <w:bottom w:val="single" w:sz="2" w:space="0" w:color="CBCAC8"/>
            </w:tcBorders>
            <w:tcMar>
              <w:bottom w:w="50" w:type="dxa"/>
            </w:tcMar>
            <w:vAlign w:val="center"/>
          </w:tcPr>
          <w:p>
            <w:pPr>
              <w:pStyle w:val="TableContents"/>
              <w:bidi w:val="0"/>
              <w:spacing w:before="0" w:after="283"/>
              <w:jc w:val="right"/>
              <w:rPr/>
            </w:pPr>
            <w:r>
              <w:rPr/>
              <w:t>–</w:t>
            </w:r>
          </w:p>
        </w:tc>
        <w:tc>
          <w:tcPr>
            <w:tcW w:w="240" w:type="dxa"/>
            <w:tcBorders>
              <w:bottom w:val="single" w:sz="2" w:space="0" w:color="CBCAC8"/>
            </w:tcBorders>
            <w:tcMar>
              <w:bottom w:w="28" w:type="dxa"/>
            </w:tcMar>
            <w:vAlign w:val="center"/>
          </w:tcPr>
          <w:p>
            <w:pPr>
              <w:pStyle w:val="TableContents"/>
              <w:bidi w:val="0"/>
              <w:spacing w:before="0" w:after="283"/>
              <w:jc w:val="left"/>
              <w:rPr/>
            </w:pPr>
            <w:r>
              <w:rPr/>
              <w:t>​</w:t>
            </w:r>
          </w:p>
        </w:tc>
        <w:tc>
          <w:tcPr>
            <w:tcW w:w="161"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1382"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Joseph Valane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50" w:type="dxa"/>
            </w:tcMar>
            <w:vAlign w:val="center"/>
          </w:tcPr>
          <w:p>
            <w:pPr>
              <w:pStyle w:val="TableContents"/>
              <w:bidi w:val="0"/>
              <w:spacing w:before="0" w:after="283"/>
              <w:jc w:val="right"/>
              <w:rPr/>
            </w:pPr>
            <w:r>
              <w:rPr/>
              <w:t>​</w:t>
            </w:r>
          </w:p>
        </w:tc>
        <w:tc>
          <w:tcPr>
            <w:tcW w:w="579" w:type="dxa"/>
            <w:tcBorders>
              <w:bottom w:val="single" w:sz="2" w:space="0" w:color="CBCAC8"/>
            </w:tcBorders>
            <w:tcMar>
              <w:bottom w:w="50" w:type="dxa"/>
            </w:tcMar>
            <w:vAlign w:val="center"/>
          </w:tcPr>
          <w:p>
            <w:pPr>
              <w:pStyle w:val="TableContents"/>
              <w:bidi w:val="0"/>
              <w:spacing w:before="0" w:after="283"/>
              <w:jc w:val="right"/>
              <w:rPr/>
            </w:pPr>
            <w:r>
              <w:rPr/>
              <w:t>–</w:t>
            </w:r>
          </w:p>
        </w:tc>
        <w:tc>
          <w:tcPr>
            <w:tcW w:w="280"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50" w:type="dxa"/>
            </w:tcMar>
            <w:vAlign w:val="center"/>
          </w:tcPr>
          <w:p>
            <w:pPr>
              <w:pStyle w:val="TableContents"/>
              <w:bidi w:val="0"/>
              <w:spacing w:before="0" w:after="283"/>
              <w:jc w:val="right"/>
              <w:rPr/>
            </w:pPr>
            <w:r>
              <w:rPr/>
              <w:t>​</w:t>
            </w:r>
          </w:p>
        </w:tc>
        <w:tc>
          <w:tcPr>
            <w:tcW w:w="579" w:type="dxa"/>
            <w:tcBorders>
              <w:bottom w:val="single" w:sz="2" w:space="0" w:color="CBCAC8"/>
            </w:tcBorders>
            <w:tcMar>
              <w:bottom w:w="50" w:type="dxa"/>
            </w:tcMar>
            <w:vAlign w:val="center"/>
          </w:tcPr>
          <w:p>
            <w:pPr>
              <w:pStyle w:val="TableContents"/>
              <w:bidi w:val="0"/>
              <w:spacing w:before="0" w:after="283"/>
              <w:jc w:val="right"/>
              <w:rPr/>
            </w:pPr>
            <w:r>
              <w:rPr/>
              <w:t>–</w:t>
            </w:r>
          </w:p>
        </w:tc>
        <w:tc>
          <w:tcPr>
            <w:tcW w:w="280"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3" w:type="dxa"/>
            <w:tcBorders>
              <w:bottom w:val="single" w:sz="2" w:space="0" w:color="CBCAC8"/>
            </w:tcBorders>
            <w:tcMar>
              <w:bottom w:w="28" w:type="dxa"/>
            </w:tcMar>
            <w:vAlign w:val="center"/>
          </w:tcPr>
          <w:p>
            <w:pPr>
              <w:pStyle w:val="TableContents"/>
              <w:bidi w:val="0"/>
              <w:spacing w:before="0" w:after="283"/>
              <w:jc w:val="left"/>
              <w:rPr/>
            </w:pPr>
            <w:r>
              <w:rPr/>
              <w:t>​</w:t>
            </w:r>
          </w:p>
        </w:tc>
        <w:tc>
          <w:tcPr>
            <w:tcW w:w="223" w:type="dxa"/>
            <w:tcBorders>
              <w:bottom w:val="single" w:sz="2" w:space="0" w:color="CBCAC8"/>
            </w:tcBorders>
            <w:tcMar>
              <w:bottom w:w="50" w:type="dxa"/>
            </w:tcMar>
            <w:vAlign w:val="center"/>
          </w:tcPr>
          <w:p>
            <w:pPr>
              <w:pStyle w:val="TableContents"/>
              <w:bidi w:val="0"/>
              <w:spacing w:before="0" w:after="283"/>
              <w:jc w:val="right"/>
              <w:rPr/>
            </w:pPr>
            <w:r>
              <w:rPr/>
              <w:t>​</w:t>
            </w:r>
          </w:p>
        </w:tc>
        <w:tc>
          <w:tcPr>
            <w:tcW w:w="463" w:type="dxa"/>
            <w:tcBorders>
              <w:bottom w:val="single" w:sz="2" w:space="0" w:color="CBCAC8"/>
            </w:tcBorders>
            <w:tcMar>
              <w:bottom w:w="50" w:type="dxa"/>
            </w:tcMar>
            <w:vAlign w:val="center"/>
          </w:tcPr>
          <w:p>
            <w:pPr>
              <w:pStyle w:val="TableContents"/>
              <w:bidi w:val="0"/>
              <w:spacing w:before="0" w:after="283"/>
              <w:jc w:val="right"/>
              <w:rPr/>
            </w:pPr>
            <w:r>
              <w:rPr/>
              <w:t>–</w:t>
            </w:r>
          </w:p>
        </w:tc>
        <w:tc>
          <w:tcPr>
            <w:tcW w:w="22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69" w:type="dxa"/>
            <w:tcBorders>
              <w:bottom w:val="single" w:sz="2" w:space="0" w:color="CBCAC8"/>
            </w:tcBorders>
            <w:tcMar>
              <w:bottom w:w="28" w:type="dxa"/>
            </w:tcMar>
            <w:vAlign w:val="center"/>
          </w:tcPr>
          <w:p>
            <w:pPr>
              <w:pStyle w:val="TableContents"/>
              <w:bidi w:val="0"/>
              <w:spacing w:before="0" w:after="283"/>
              <w:jc w:val="left"/>
              <w:rPr/>
            </w:pPr>
            <w:r>
              <w:rPr/>
              <w:t>​</w:t>
            </w:r>
          </w:p>
        </w:tc>
        <w:tc>
          <w:tcPr>
            <w:tcW w:w="269" w:type="dxa"/>
            <w:tcBorders>
              <w:bottom w:val="single" w:sz="2" w:space="0" w:color="CBCAC8"/>
            </w:tcBorders>
            <w:tcMar>
              <w:bottom w:w="50" w:type="dxa"/>
            </w:tcMar>
            <w:vAlign w:val="center"/>
          </w:tcPr>
          <w:p>
            <w:pPr>
              <w:pStyle w:val="TableContents"/>
              <w:bidi w:val="0"/>
              <w:spacing w:before="0" w:after="283"/>
              <w:jc w:val="right"/>
              <w:rPr/>
            </w:pPr>
            <w:r>
              <w:rPr/>
              <w:t>​</w:t>
            </w:r>
          </w:p>
        </w:tc>
        <w:tc>
          <w:tcPr>
            <w:tcW w:w="558" w:type="dxa"/>
            <w:tcBorders>
              <w:bottom w:val="single" w:sz="2" w:space="0" w:color="CBCAC8"/>
            </w:tcBorders>
            <w:tcMar>
              <w:bottom w:w="50" w:type="dxa"/>
            </w:tcMar>
            <w:vAlign w:val="center"/>
          </w:tcPr>
          <w:p>
            <w:pPr>
              <w:pStyle w:val="TableContents"/>
              <w:bidi w:val="0"/>
              <w:spacing w:before="0" w:after="283"/>
              <w:jc w:val="right"/>
              <w:rPr/>
            </w:pPr>
            <w:r>
              <w:rPr/>
              <w:t>–</w:t>
            </w:r>
          </w:p>
        </w:tc>
        <w:tc>
          <w:tcPr>
            <w:tcW w:w="270"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39" w:type="dxa"/>
            <w:tcBorders>
              <w:bottom w:val="single" w:sz="2" w:space="0" w:color="CBCAC8"/>
            </w:tcBorders>
            <w:tcMar>
              <w:bottom w:w="28" w:type="dxa"/>
            </w:tcMar>
            <w:vAlign w:val="center"/>
          </w:tcPr>
          <w:p>
            <w:pPr>
              <w:pStyle w:val="TableContents"/>
              <w:bidi w:val="0"/>
              <w:spacing w:before="0" w:after="283"/>
              <w:jc w:val="left"/>
              <w:rPr/>
            </w:pPr>
            <w:r>
              <w:rPr/>
              <w:t>​</w:t>
            </w:r>
          </w:p>
        </w:tc>
        <w:tc>
          <w:tcPr>
            <w:tcW w:w="239" w:type="dxa"/>
            <w:tcBorders>
              <w:bottom w:val="single" w:sz="2" w:space="0" w:color="CBCAC8"/>
            </w:tcBorders>
            <w:tcMar>
              <w:bottom w:w="50" w:type="dxa"/>
            </w:tcMar>
            <w:vAlign w:val="center"/>
          </w:tcPr>
          <w:p>
            <w:pPr>
              <w:pStyle w:val="TableContents"/>
              <w:bidi w:val="0"/>
              <w:spacing w:before="0" w:after="283"/>
              <w:jc w:val="right"/>
              <w:rPr/>
            </w:pPr>
            <w:r>
              <w:rPr/>
              <w:t>​</w:t>
            </w:r>
          </w:p>
        </w:tc>
        <w:tc>
          <w:tcPr>
            <w:tcW w:w="496" w:type="dxa"/>
            <w:tcBorders>
              <w:bottom w:val="single" w:sz="2" w:space="0" w:color="CBCAC8"/>
            </w:tcBorders>
            <w:tcMar>
              <w:bottom w:w="50" w:type="dxa"/>
            </w:tcMar>
            <w:vAlign w:val="center"/>
          </w:tcPr>
          <w:p>
            <w:pPr>
              <w:pStyle w:val="TableContents"/>
              <w:bidi w:val="0"/>
              <w:spacing w:before="0" w:after="283"/>
              <w:jc w:val="right"/>
              <w:rPr/>
            </w:pPr>
            <w:r>
              <w:rPr/>
              <w:t>–</w:t>
            </w:r>
          </w:p>
        </w:tc>
        <w:tc>
          <w:tcPr>
            <w:tcW w:w="240" w:type="dxa"/>
            <w:tcBorders>
              <w:bottom w:val="single" w:sz="2" w:space="0" w:color="CBCAC8"/>
            </w:tcBorders>
            <w:tcMar>
              <w:bottom w:w="28" w:type="dxa"/>
            </w:tcMar>
            <w:vAlign w:val="center"/>
          </w:tcPr>
          <w:p>
            <w:pPr>
              <w:pStyle w:val="TableContents"/>
              <w:bidi w:val="0"/>
              <w:spacing w:before="0" w:after="283"/>
              <w:jc w:val="left"/>
              <w:rPr/>
            </w:pPr>
            <w:r>
              <w:rPr/>
              <w:t>​</w:t>
            </w:r>
          </w:p>
        </w:tc>
        <w:tc>
          <w:tcPr>
            <w:tcW w:w="161"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1382"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Andrew Davis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50" w:type="dxa"/>
            </w:tcMar>
            <w:vAlign w:val="center"/>
          </w:tcPr>
          <w:p>
            <w:pPr>
              <w:pStyle w:val="TableContents"/>
              <w:bidi w:val="0"/>
              <w:spacing w:before="0" w:after="283"/>
              <w:jc w:val="right"/>
              <w:rPr/>
            </w:pPr>
            <w:r>
              <w:rPr/>
              <w:t>​</w:t>
            </w:r>
          </w:p>
        </w:tc>
        <w:tc>
          <w:tcPr>
            <w:tcW w:w="579" w:type="dxa"/>
            <w:tcBorders>
              <w:bottom w:val="single" w:sz="2" w:space="0" w:color="CBCAC8"/>
            </w:tcBorders>
            <w:tcMar>
              <w:bottom w:w="50" w:type="dxa"/>
            </w:tcMar>
            <w:vAlign w:val="center"/>
          </w:tcPr>
          <w:p>
            <w:pPr>
              <w:pStyle w:val="TableContents"/>
              <w:bidi w:val="0"/>
              <w:spacing w:before="0" w:after="283"/>
              <w:jc w:val="right"/>
              <w:rPr/>
            </w:pPr>
            <w:r>
              <w:rPr/>
              <w:t>–</w:t>
            </w:r>
          </w:p>
        </w:tc>
        <w:tc>
          <w:tcPr>
            <w:tcW w:w="280"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50" w:type="dxa"/>
            </w:tcMar>
            <w:vAlign w:val="center"/>
          </w:tcPr>
          <w:p>
            <w:pPr>
              <w:pStyle w:val="TableContents"/>
              <w:bidi w:val="0"/>
              <w:spacing w:before="0" w:after="283"/>
              <w:jc w:val="right"/>
              <w:rPr/>
            </w:pPr>
            <w:r>
              <w:rPr/>
              <w:t>​</w:t>
            </w:r>
          </w:p>
        </w:tc>
        <w:tc>
          <w:tcPr>
            <w:tcW w:w="579" w:type="dxa"/>
            <w:tcBorders>
              <w:bottom w:val="single" w:sz="2" w:space="0" w:color="CBCAC8"/>
            </w:tcBorders>
            <w:tcMar>
              <w:bottom w:w="50" w:type="dxa"/>
            </w:tcMar>
            <w:vAlign w:val="center"/>
          </w:tcPr>
          <w:p>
            <w:pPr>
              <w:pStyle w:val="TableContents"/>
              <w:bidi w:val="0"/>
              <w:spacing w:before="0" w:after="283"/>
              <w:jc w:val="right"/>
              <w:rPr/>
            </w:pPr>
            <w:r>
              <w:rPr/>
              <w:t>–</w:t>
            </w:r>
          </w:p>
        </w:tc>
        <w:tc>
          <w:tcPr>
            <w:tcW w:w="280"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3" w:type="dxa"/>
            <w:tcBorders>
              <w:bottom w:val="single" w:sz="2" w:space="0" w:color="CBCAC8"/>
            </w:tcBorders>
            <w:tcMar>
              <w:bottom w:w="28" w:type="dxa"/>
            </w:tcMar>
            <w:vAlign w:val="center"/>
          </w:tcPr>
          <w:p>
            <w:pPr>
              <w:pStyle w:val="TableContents"/>
              <w:bidi w:val="0"/>
              <w:spacing w:before="0" w:after="283"/>
              <w:jc w:val="left"/>
              <w:rPr/>
            </w:pPr>
            <w:r>
              <w:rPr/>
              <w:t>​</w:t>
            </w:r>
          </w:p>
        </w:tc>
        <w:tc>
          <w:tcPr>
            <w:tcW w:w="223" w:type="dxa"/>
            <w:tcBorders>
              <w:bottom w:val="single" w:sz="2" w:space="0" w:color="CBCAC8"/>
            </w:tcBorders>
            <w:tcMar>
              <w:bottom w:w="50" w:type="dxa"/>
            </w:tcMar>
            <w:vAlign w:val="center"/>
          </w:tcPr>
          <w:p>
            <w:pPr>
              <w:pStyle w:val="TableContents"/>
              <w:bidi w:val="0"/>
              <w:spacing w:before="0" w:after="283"/>
              <w:jc w:val="right"/>
              <w:rPr/>
            </w:pPr>
            <w:r>
              <w:rPr/>
              <w:t>​</w:t>
            </w:r>
          </w:p>
        </w:tc>
        <w:tc>
          <w:tcPr>
            <w:tcW w:w="463" w:type="dxa"/>
            <w:tcBorders>
              <w:bottom w:val="single" w:sz="2" w:space="0" w:color="CBCAC8"/>
            </w:tcBorders>
            <w:tcMar>
              <w:bottom w:w="50" w:type="dxa"/>
            </w:tcMar>
            <w:vAlign w:val="center"/>
          </w:tcPr>
          <w:p>
            <w:pPr>
              <w:pStyle w:val="TableContents"/>
              <w:bidi w:val="0"/>
              <w:spacing w:before="0" w:after="283"/>
              <w:jc w:val="right"/>
              <w:rPr/>
            </w:pPr>
            <w:r>
              <w:rPr/>
              <w:t>–</w:t>
            </w:r>
          </w:p>
        </w:tc>
        <w:tc>
          <w:tcPr>
            <w:tcW w:w="22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69" w:type="dxa"/>
            <w:tcBorders>
              <w:bottom w:val="single" w:sz="2" w:space="0" w:color="CBCAC8"/>
            </w:tcBorders>
            <w:tcMar>
              <w:bottom w:w="28" w:type="dxa"/>
            </w:tcMar>
            <w:vAlign w:val="center"/>
          </w:tcPr>
          <w:p>
            <w:pPr>
              <w:pStyle w:val="TableContents"/>
              <w:bidi w:val="0"/>
              <w:spacing w:before="0" w:after="283"/>
              <w:jc w:val="left"/>
              <w:rPr/>
            </w:pPr>
            <w:r>
              <w:rPr/>
              <w:t>​</w:t>
            </w:r>
          </w:p>
        </w:tc>
        <w:tc>
          <w:tcPr>
            <w:tcW w:w="269" w:type="dxa"/>
            <w:tcBorders>
              <w:bottom w:val="single" w:sz="2" w:space="0" w:color="CBCAC8"/>
            </w:tcBorders>
            <w:tcMar>
              <w:bottom w:w="50" w:type="dxa"/>
            </w:tcMar>
            <w:vAlign w:val="center"/>
          </w:tcPr>
          <w:p>
            <w:pPr>
              <w:pStyle w:val="TableContents"/>
              <w:bidi w:val="0"/>
              <w:spacing w:before="0" w:after="283"/>
              <w:jc w:val="right"/>
              <w:rPr/>
            </w:pPr>
            <w:r>
              <w:rPr/>
              <w:t>​</w:t>
            </w:r>
          </w:p>
        </w:tc>
        <w:tc>
          <w:tcPr>
            <w:tcW w:w="558" w:type="dxa"/>
            <w:tcBorders>
              <w:bottom w:val="single" w:sz="2" w:space="0" w:color="CBCAC8"/>
            </w:tcBorders>
            <w:tcMar>
              <w:bottom w:w="50" w:type="dxa"/>
            </w:tcMar>
            <w:vAlign w:val="center"/>
          </w:tcPr>
          <w:p>
            <w:pPr>
              <w:pStyle w:val="TableContents"/>
              <w:bidi w:val="0"/>
              <w:spacing w:before="0" w:after="283"/>
              <w:jc w:val="right"/>
              <w:rPr/>
            </w:pPr>
            <w:r>
              <w:rPr/>
              <w:t>–</w:t>
            </w:r>
          </w:p>
        </w:tc>
        <w:tc>
          <w:tcPr>
            <w:tcW w:w="270"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39" w:type="dxa"/>
            <w:tcBorders>
              <w:bottom w:val="single" w:sz="2" w:space="0" w:color="CBCAC8"/>
            </w:tcBorders>
            <w:tcMar>
              <w:bottom w:w="28" w:type="dxa"/>
            </w:tcMar>
            <w:vAlign w:val="center"/>
          </w:tcPr>
          <w:p>
            <w:pPr>
              <w:pStyle w:val="TableContents"/>
              <w:bidi w:val="0"/>
              <w:spacing w:before="0" w:after="283"/>
              <w:jc w:val="left"/>
              <w:rPr/>
            </w:pPr>
            <w:r>
              <w:rPr/>
              <w:t>​</w:t>
            </w:r>
          </w:p>
        </w:tc>
        <w:tc>
          <w:tcPr>
            <w:tcW w:w="239" w:type="dxa"/>
            <w:tcBorders>
              <w:bottom w:val="single" w:sz="2" w:space="0" w:color="CBCAC8"/>
            </w:tcBorders>
            <w:tcMar>
              <w:bottom w:w="50" w:type="dxa"/>
            </w:tcMar>
            <w:vAlign w:val="center"/>
          </w:tcPr>
          <w:p>
            <w:pPr>
              <w:pStyle w:val="TableContents"/>
              <w:bidi w:val="0"/>
              <w:spacing w:before="0" w:after="283"/>
              <w:jc w:val="right"/>
              <w:rPr/>
            </w:pPr>
            <w:r>
              <w:rPr/>
              <w:t>​</w:t>
            </w:r>
          </w:p>
        </w:tc>
        <w:tc>
          <w:tcPr>
            <w:tcW w:w="496" w:type="dxa"/>
            <w:tcBorders>
              <w:bottom w:val="single" w:sz="2" w:space="0" w:color="CBCAC8"/>
            </w:tcBorders>
            <w:tcMar>
              <w:bottom w:w="50" w:type="dxa"/>
            </w:tcMar>
            <w:vAlign w:val="center"/>
          </w:tcPr>
          <w:p>
            <w:pPr>
              <w:pStyle w:val="TableContents"/>
              <w:bidi w:val="0"/>
              <w:spacing w:before="0" w:after="283"/>
              <w:jc w:val="right"/>
              <w:rPr/>
            </w:pPr>
            <w:r>
              <w:rPr/>
              <w:t>–</w:t>
            </w:r>
          </w:p>
        </w:tc>
        <w:tc>
          <w:tcPr>
            <w:tcW w:w="240" w:type="dxa"/>
            <w:tcBorders>
              <w:bottom w:val="single" w:sz="2" w:space="0" w:color="CBCAC8"/>
            </w:tcBorders>
            <w:tcMar>
              <w:bottom w:w="28" w:type="dxa"/>
            </w:tcMar>
            <w:vAlign w:val="center"/>
          </w:tcPr>
          <w:p>
            <w:pPr>
              <w:pStyle w:val="TableContents"/>
              <w:bidi w:val="0"/>
              <w:spacing w:before="0" w:after="283"/>
              <w:jc w:val="left"/>
              <w:rPr/>
            </w:pPr>
            <w:r>
              <w:rPr/>
              <w:t>​</w:t>
            </w:r>
          </w:p>
        </w:tc>
        <w:tc>
          <w:tcPr>
            <w:tcW w:w="161"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1382" w:type="dxa"/>
            <w:tcBorders>
              <w:bottom w:val="single" w:sz="2" w:space="0" w:color="CBCAC8"/>
            </w:tcBorders>
            <w:tcMar>
              <w:bottom w:w="50" w:type="dxa"/>
            </w:tcMar>
            <w:vAlign w:val="center"/>
          </w:tcPr>
          <w:p>
            <w:pPr>
              <w:pStyle w:val="TableContents"/>
              <w:bidi w:val="0"/>
              <w:spacing w:before="0" w:after="283"/>
              <w:jc w:val="left"/>
              <w:rPr>
                <w:spacing w:val="-2"/>
              </w:rPr>
            </w:pPr>
            <w:r>
              <w:rPr>
                <w:spacing w:val="-2"/>
              </w:rPr>
              <w:t xml:space="preserve">Douglas Johnstone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50" w:type="dxa"/>
            </w:tcMar>
            <w:vAlign w:val="center"/>
          </w:tcPr>
          <w:p>
            <w:pPr>
              <w:pStyle w:val="TableContents"/>
              <w:bidi w:val="0"/>
              <w:spacing w:before="0" w:after="283"/>
              <w:jc w:val="right"/>
              <w:rPr/>
            </w:pPr>
            <w:r>
              <w:rPr/>
              <w:t>​</w:t>
            </w:r>
          </w:p>
        </w:tc>
        <w:tc>
          <w:tcPr>
            <w:tcW w:w="579" w:type="dxa"/>
            <w:tcBorders>
              <w:bottom w:val="single" w:sz="2" w:space="0" w:color="CBCAC8"/>
            </w:tcBorders>
            <w:tcMar>
              <w:bottom w:w="50" w:type="dxa"/>
            </w:tcMar>
            <w:vAlign w:val="center"/>
          </w:tcPr>
          <w:p>
            <w:pPr>
              <w:pStyle w:val="TableContents"/>
              <w:bidi w:val="0"/>
              <w:spacing w:before="0" w:after="283"/>
              <w:jc w:val="right"/>
              <w:rPr/>
            </w:pPr>
            <w:r>
              <w:rPr/>
              <w:t>–</w:t>
            </w:r>
          </w:p>
        </w:tc>
        <w:tc>
          <w:tcPr>
            <w:tcW w:w="280"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28" w:type="dxa"/>
            </w:tcMar>
            <w:vAlign w:val="center"/>
          </w:tcPr>
          <w:p>
            <w:pPr>
              <w:pStyle w:val="TableContents"/>
              <w:bidi w:val="0"/>
              <w:spacing w:before="0" w:after="283"/>
              <w:jc w:val="left"/>
              <w:rPr/>
            </w:pPr>
            <w:r>
              <w:rPr/>
              <w:t>​</w:t>
            </w:r>
          </w:p>
        </w:tc>
        <w:tc>
          <w:tcPr>
            <w:tcW w:w="279" w:type="dxa"/>
            <w:tcBorders>
              <w:bottom w:val="single" w:sz="2" w:space="0" w:color="CBCAC8"/>
            </w:tcBorders>
            <w:tcMar>
              <w:bottom w:w="50" w:type="dxa"/>
            </w:tcMar>
            <w:vAlign w:val="center"/>
          </w:tcPr>
          <w:p>
            <w:pPr>
              <w:pStyle w:val="TableContents"/>
              <w:bidi w:val="0"/>
              <w:spacing w:before="0" w:after="283"/>
              <w:jc w:val="right"/>
              <w:rPr/>
            </w:pPr>
            <w:r>
              <w:rPr/>
              <w:t>​</w:t>
            </w:r>
          </w:p>
        </w:tc>
        <w:tc>
          <w:tcPr>
            <w:tcW w:w="579" w:type="dxa"/>
            <w:tcBorders>
              <w:bottom w:val="single" w:sz="2" w:space="0" w:color="CBCAC8"/>
            </w:tcBorders>
            <w:tcMar>
              <w:bottom w:w="50" w:type="dxa"/>
            </w:tcMar>
            <w:vAlign w:val="center"/>
          </w:tcPr>
          <w:p>
            <w:pPr>
              <w:pStyle w:val="TableContents"/>
              <w:bidi w:val="0"/>
              <w:spacing w:before="0" w:after="283"/>
              <w:jc w:val="right"/>
              <w:rPr/>
            </w:pPr>
            <w:r>
              <w:rPr/>
              <w:t>–</w:t>
            </w:r>
          </w:p>
        </w:tc>
        <w:tc>
          <w:tcPr>
            <w:tcW w:w="280"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3" w:type="dxa"/>
            <w:tcBorders>
              <w:bottom w:val="single" w:sz="2" w:space="0" w:color="CBCAC8"/>
            </w:tcBorders>
            <w:tcMar>
              <w:bottom w:w="28" w:type="dxa"/>
            </w:tcMar>
            <w:vAlign w:val="center"/>
          </w:tcPr>
          <w:p>
            <w:pPr>
              <w:pStyle w:val="TableContents"/>
              <w:bidi w:val="0"/>
              <w:spacing w:before="0" w:after="283"/>
              <w:jc w:val="left"/>
              <w:rPr/>
            </w:pPr>
            <w:r>
              <w:rPr/>
              <w:t>​</w:t>
            </w:r>
          </w:p>
        </w:tc>
        <w:tc>
          <w:tcPr>
            <w:tcW w:w="223" w:type="dxa"/>
            <w:tcBorders>
              <w:bottom w:val="single" w:sz="2" w:space="0" w:color="CBCAC8"/>
            </w:tcBorders>
            <w:tcMar>
              <w:bottom w:w="50" w:type="dxa"/>
            </w:tcMar>
            <w:vAlign w:val="center"/>
          </w:tcPr>
          <w:p>
            <w:pPr>
              <w:pStyle w:val="TableContents"/>
              <w:bidi w:val="0"/>
              <w:spacing w:before="0" w:after="283"/>
              <w:jc w:val="right"/>
              <w:rPr/>
            </w:pPr>
            <w:r>
              <w:rPr/>
              <w:t>​</w:t>
            </w:r>
          </w:p>
        </w:tc>
        <w:tc>
          <w:tcPr>
            <w:tcW w:w="463" w:type="dxa"/>
            <w:tcBorders>
              <w:bottom w:val="single" w:sz="2" w:space="0" w:color="CBCAC8"/>
            </w:tcBorders>
            <w:tcMar>
              <w:bottom w:w="50" w:type="dxa"/>
            </w:tcMar>
            <w:vAlign w:val="center"/>
          </w:tcPr>
          <w:p>
            <w:pPr>
              <w:pStyle w:val="TableContents"/>
              <w:bidi w:val="0"/>
              <w:spacing w:before="0" w:after="283"/>
              <w:jc w:val="right"/>
              <w:rPr/>
            </w:pPr>
            <w:r>
              <w:rPr/>
              <w:t>–</w:t>
            </w:r>
          </w:p>
        </w:tc>
        <w:tc>
          <w:tcPr>
            <w:tcW w:w="22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69" w:type="dxa"/>
            <w:tcBorders>
              <w:bottom w:val="single" w:sz="2" w:space="0" w:color="CBCAC8"/>
            </w:tcBorders>
            <w:tcMar>
              <w:bottom w:w="28" w:type="dxa"/>
            </w:tcMar>
            <w:vAlign w:val="center"/>
          </w:tcPr>
          <w:p>
            <w:pPr>
              <w:pStyle w:val="TableContents"/>
              <w:bidi w:val="0"/>
              <w:spacing w:before="0" w:after="283"/>
              <w:jc w:val="left"/>
              <w:rPr/>
            </w:pPr>
            <w:r>
              <w:rPr/>
              <w:t>​</w:t>
            </w:r>
          </w:p>
        </w:tc>
        <w:tc>
          <w:tcPr>
            <w:tcW w:w="269" w:type="dxa"/>
            <w:tcBorders>
              <w:bottom w:val="single" w:sz="2" w:space="0" w:color="CBCAC8"/>
            </w:tcBorders>
            <w:tcMar>
              <w:bottom w:w="50" w:type="dxa"/>
            </w:tcMar>
            <w:vAlign w:val="center"/>
          </w:tcPr>
          <w:p>
            <w:pPr>
              <w:pStyle w:val="TableContents"/>
              <w:bidi w:val="0"/>
              <w:spacing w:before="0" w:after="283"/>
              <w:jc w:val="right"/>
              <w:rPr/>
            </w:pPr>
            <w:r>
              <w:rPr/>
              <w:t>​</w:t>
            </w:r>
          </w:p>
        </w:tc>
        <w:tc>
          <w:tcPr>
            <w:tcW w:w="558" w:type="dxa"/>
            <w:tcBorders>
              <w:bottom w:val="single" w:sz="2" w:space="0" w:color="CBCAC8"/>
            </w:tcBorders>
            <w:tcMar>
              <w:bottom w:w="50" w:type="dxa"/>
            </w:tcMar>
            <w:vAlign w:val="center"/>
          </w:tcPr>
          <w:p>
            <w:pPr>
              <w:pStyle w:val="TableContents"/>
              <w:bidi w:val="0"/>
              <w:spacing w:before="0" w:after="283"/>
              <w:jc w:val="right"/>
              <w:rPr/>
            </w:pPr>
            <w:r>
              <w:rPr/>
              <w:t>–</w:t>
            </w:r>
          </w:p>
        </w:tc>
        <w:tc>
          <w:tcPr>
            <w:tcW w:w="270"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39" w:type="dxa"/>
            <w:tcBorders>
              <w:bottom w:val="single" w:sz="2" w:space="0" w:color="CBCAC8"/>
            </w:tcBorders>
            <w:tcMar>
              <w:bottom w:w="28" w:type="dxa"/>
            </w:tcMar>
            <w:vAlign w:val="center"/>
          </w:tcPr>
          <w:p>
            <w:pPr>
              <w:pStyle w:val="TableContents"/>
              <w:bidi w:val="0"/>
              <w:spacing w:before="0" w:after="283"/>
              <w:jc w:val="left"/>
              <w:rPr/>
            </w:pPr>
            <w:r>
              <w:rPr/>
              <w:t>​</w:t>
            </w:r>
          </w:p>
        </w:tc>
        <w:tc>
          <w:tcPr>
            <w:tcW w:w="239" w:type="dxa"/>
            <w:tcBorders>
              <w:bottom w:val="single" w:sz="2" w:space="0" w:color="CBCAC8"/>
            </w:tcBorders>
            <w:tcMar>
              <w:bottom w:w="50" w:type="dxa"/>
            </w:tcMar>
            <w:vAlign w:val="center"/>
          </w:tcPr>
          <w:p>
            <w:pPr>
              <w:pStyle w:val="TableContents"/>
              <w:bidi w:val="0"/>
              <w:spacing w:before="0" w:after="283"/>
              <w:jc w:val="right"/>
              <w:rPr/>
            </w:pPr>
            <w:r>
              <w:rPr/>
              <w:t>​</w:t>
            </w:r>
          </w:p>
        </w:tc>
        <w:tc>
          <w:tcPr>
            <w:tcW w:w="496" w:type="dxa"/>
            <w:tcBorders>
              <w:bottom w:val="single" w:sz="2" w:space="0" w:color="CBCAC8"/>
            </w:tcBorders>
            <w:tcMar>
              <w:bottom w:w="50" w:type="dxa"/>
            </w:tcMar>
            <w:vAlign w:val="center"/>
          </w:tcPr>
          <w:p>
            <w:pPr>
              <w:pStyle w:val="TableContents"/>
              <w:bidi w:val="0"/>
              <w:spacing w:before="0" w:after="283"/>
              <w:jc w:val="right"/>
              <w:rPr/>
            </w:pPr>
            <w:r>
              <w:rPr/>
              <w:t>–</w:t>
            </w:r>
          </w:p>
        </w:tc>
        <w:tc>
          <w:tcPr>
            <w:tcW w:w="240" w:type="dxa"/>
            <w:tcBorders>
              <w:bottom w:val="single" w:sz="2" w:space="0" w:color="CBCAC8"/>
            </w:tcBorders>
            <w:tcMar>
              <w:bottom w:w="28" w:type="dxa"/>
            </w:tcMar>
            <w:vAlign w:val="center"/>
          </w:tcPr>
          <w:p>
            <w:pPr>
              <w:pStyle w:val="TableContents"/>
              <w:bidi w:val="0"/>
              <w:spacing w:before="0" w:after="283"/>
              <w:jc w:val="left"/>
              <w:rPr/>
            </w:pPr>
            <w:r>
              <w:rPr/>
              <w:t>​</w:t>
            </w:r>
          </w:p>
        </w:tc>
        <w:tc>
          <w:tcPr>
            <w:tcW w:w="161" w:type="dxa"/>
            <w:tcBorders>
              <w:bottom w:val="single" w:sz="2" w:space="0" w:color="CBCAC8"/>
            </w:tcBorders>
            <w:tcMar>
              <w:bottom w:w="28" w:type="dxa"/>
            </w:tcMar>
            <w:vAlign w:val="center"/>
          </w:tcPr>
          <w:p>
            <w:pPr>
              <w:pStyle w:val="TableContents"/>
              <w:bidi w:val="0"/>
              <w:spacing w:before="0" w:after="283"/>
              <w:jc w:val="left"/>
              <w:rPr/>
            </w:pPr>
            <w:r>
              <w:rPr/>
              <w:t>​</w:t>
            </w:r>
          </w:p>
        </w:tc>
      </w:tr>
    </w:tbl>
    <w:p>
      <w:pPr>
        <w:pStyle w:val="TextBody"/>
        <w:bidi w:val="0"/>
        <w:spacing w:lineRule="atLeast" w:line="330" w:before="296" w:after="283"/>
        <w:ind w:left="901" w:right="0" w:hanging="0"/>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POTENTIAL PAYMENTS UPON TERMINATION OR CHANGE IN CONTROL</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3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reflects the estimated compensation and other benefits payable to each NEO (other than Mr. Cross) upon termination of employment, including in connection with a “change in control”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amounts shown in the table assume that the triggering event was effective as of December 31, 2025, and that the price of our common stock on which certain of the calculations are based was the closing price of $79.77 per share on December 31, 2025, the last trading day of the year. These amounts are estimates of the incremental amounts and benefits that would be payable to each NEO upon each triggering event. The actual amounts to be paid </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86 \ 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Executive Compensation</w:t>
      </w:r>
      <w:r>
        <w:rPr>
          <w:rFonts w:ascii="Arial;Helvetica;sans-serif" w:hAnsi="Arial;Helvetica;sans-serif"/>
          <w:b/>
          <w:i w:val="false"/>
          <w:caps w:val="false"/>
          <w:smallCaps w:val="false"/>
          <w:color w:val="7F7F7F"/>
          <w:sz w:val="22"/>
        </w:rPr>
        <w:t>​</w:t>
      </w:r>
    </w:p>
    <w:p>
      <w:pPr>
        <w:pStyle w:val="TextBody"/>
        <w:bidi w:val="0"/>
        <w:spacing w:lineRule="atLeast" w:line="230" w:before="120" w:after="283"/>
        <w:ind w:left="901"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out can only be determined at the time of the triggering event, if any. The table does not include amounts that would be payable to Messrs. Olea and Valane under each of their employment agreements in the event of termination due to the Company’s non-renewal of such employment agreements after the expiration of the initial term because (i) in the case of Mr. O’Reilly, his term was extended to December 31, 2028 in connection with the April 2025 Employment Agreement Amendments, and (ii) in the case of Messrs. Olea and Valane, none of the employment agreements had expired as of December 31, 2025. Neither Mr. Davis nor Mr. Johnstone has entered into an employment agreement with the Company. Mr. Cross ceased to be an executive officer of, and retired from, the Company effective September 16, 2025. For additional information, see “</w:t>
      </w:r>
      <w:r>
        <w:rPr>
          <w:rFonts w:ascii="Arial;Helvetica;sans-serif" w:hAnsi="Arial;Helvetica;sans-serif"/>
          <w:b w:val="false"/>
          <w:i/>
          <w:caps w:val="false"/>
          <w:smallCaps w:val="false"/>
          <w:color w:val="000000"/>
          <w:sz w:val="20"/>
        </w:rPr>
        <w:t>Employment Agreements and Arrangements with the NEOs</w:t>
      </w:r>
      <w:r>
        <w:rPr>
          <w:rFonts w:ascii="Arial;Helvetica;sans-serif" w:hAnsi="Arial;Helvetica;sans-serif"/>
          <w:b w:val="false"/>
          <w:i w:val="false"/>
          <w:caps w:val="false"/>
          <w:smallCaps w:val="false"/>
          <w:color w:val="000000"/>
          <w:spacing w:val="-2"/>
          <w:sz w:val="20"/>
        </w:rPr>
        <w:t xml:space="preserve">.” </w:t>
      </w:r>
    </w:p>
    <w:tbl>
      <w:tblPr>
        <w:tblW w:w="8982" w:type="dxa"/>
        <w:jc w:val="left"/>
        <w:tblInd w:w="901" w:type="dxa"/>
        <w:tblLayout w:type="fixed"/>
        <w:tblCellMar>
          <w:top w:w="0" w:type="dxa"/>
          <w:left w:w="0" w:type="dxa"/>
          <w:bottom w:w="0" w:type="dxa"/>
          <w:right w:w="0" w:type="dxa"/>
        </w:tblCellMar>
      </w:tblPr>
      <w:tblGrid>
        <w:gridCol w:w="124"/>
        <w:gridCol w:w="2144"/>
        <w:gridCol w:w="109"/>
        <w:gridCol w:w="109"/>
        <w:gridCol w:w="144"/>
        <w:gridCol w:w="144"/>
        <w:gridCol w:w="1712"/>
        <w:gridCol w:w="144"/>
        <w:gridCol w:w="109"/>
        <w:gridCol w:w="109"/>
        <w:gridCol w:w="109"/>
        <w:gridCol w:w="109"/>
        <w:gridCol w:w="1291"/>
        <w:gridCol w:w="109"/>
        <w:gridCol w:w="109"/>
        <w:gridCol w:w="109"/>
        <w:gridCol w:w="144"/>
        <w:gridCol w:w="144"/>
        <w:gridCol w:w="1712"/>
        <w:gridCol w:w="144"/>
        <w:gridCol w:w="154"/>
      </w:tblGrid>
      <w:tr>
        <w:trPr/>
        <w:tc>
          <w:tcPr>
            <w:tcW w:w="124" w:type="dxa"/>
            <w:tcBorders/>
            <w:shd w:fill="BAD8EA" w:val="clear"/>
            <w:vAlign w:val="center"/>
          </w:tcPr>
          <w:p>
            <w:pPr>
              <w:pStyle w:val="TableContents"/>
              <w:bidi w:val="0"/>
              <w:spacing w:before="0" w:after="283"/>
              <w:jc w:val="left"/>
              <w:rPr/>
            </w:pPr>
            <w:r>
              <w:rPr/>
              <w:t>​</w:t>
            </w:r>
          </w:p>
        </w:tc>
        <w:tc>
          <w:tcPr>
            <w:tcW w:w="2144" w:type="dxa"/>
            <w:tcBorders/>
            <w:shd w:fill="BAD8EA" w:val="clear"/>
            <w:vAlign w:val="center"/>
          </w:tcPr>
          <w:p>
            <w:pPr>
              <w:pStyle w:val="TableContents"/>
              <w:bidi w:val="0"/>
              <w:spacing w:before="0" w:after="0"/>
              <w:jc w:val="left"/>
              <w:rPr>
                <w:spacing w:val="0"/>
              </w:rPr>
            </w:pPr>
            <w:r>
              <w:rPr>
                <w:spacing w:val="0"/>
              </w:rPr>
              <w:t xml:space="preserve">Name and Benefit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2144" w:type="dxa"/>
            <w:gridSpan w:val="4"/>
            <w:tcBorders/>
            <w:shd w:fill="BAD8EA" w:val="clear"/>
            <w:vAlign w:val="center"/>
          </w:tcPr>
          <w:p>
            <w:pPr>
              <w:pStyle w:val="TableContents"/>
              <w:bidi w:val="0"/>
              <w:spacing w:before="0" w:after="0"/>
              <w:jc w:val="center"/>
              <w:rPr/>
            </w:pPr>
            <w:r>
              <w:rPr>
                <w:spacing w:val="0"/>
              </w:rPr>
              <w:t xml:space="preserve">Termination Without </w:t>
              <w:br/>
              <w:t xml:space="preserve">Cause or for </w:t>
              <w:br/>
              <w:t>Good Reason</w:t>
            </w:r>
            <w:r>
              <w:rPr/>
              <w:t xml:space="preserve"> </w:t>
              <w:br/>
            </w:r>
            <w:r>
              <w:rPr>
                <w:spacing w:val="-2"/>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618" w:type="dxa"/>
            <w:gridSpan w:val="4"/>
            <w:tcBorders/>
            <w:shd w:fill="BAD8EA" w:val="clear"/>
            <w:vAlign w:val="center"/>
          </w:tcPr>
          <w:p>
            <w:pPr>
              <w:pStyle w:val="TableContents"/>
              <w:bidi w:val="0"/>
              <w:spacing w:before="0" w:after="0"/>
              <w:jc w:val="center"/>
              <w:rPr/>
            </w:pPr>
            <w:r>
              <w:rPr>
                <w:spacing w:val="0"/>
              </w:rPr>
              <w:t xml:space="preserve">Death or </w:t>
              <w:br/>
              <w:t>Disability</w:t>
            </w:r>
            <w:r>
              <w:rPr/>
              <w:t xml:space="preserve"> </w:t>
              <w:br/>
            </w:r>
            <w:r>
              <w:rPr>
                <w:spacing w:val="-2"/>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2144" w:type="dxa"/>
            <w:gridSpan w:val="4"/>
            <w:tcBorders/>
            <w:shd w:fill="BAD8EA" w:val="clear"/>
            <w:vAlign w:val="center"/>
          </w:tcPr>
          <w:p>
            <w:pPr>
              <w:pStyle w:val="TableContents"/>
              <w:bidi w:val="0"/>
              <w:spacing w:lineRule="atLeast" w:line="142" w:before="0" w:after="0"/>
              <w:jc w:val="center"/>
              <w:rPr/>
            </w:pPr>
            <w:r>
              <w:rPr>
                <w:spacing w:val="0"/>
              </w:rPr>
              <w:t xml:space="preserve">Termination Without </w:t>
              <w:br/>
              <w:t xml:space="preserve">Cause or for </w:t>
              <w:br/>
              <w:t xml:space="preserve">Good Reason in </w:t>
              <w:br/>
              <w:t xml:space="preserve">connection with </w:t>
              <w:br/>
              <w:t>Change in Control</w:t>
            </w:r>
            <w:r>
              <w:rPr>
                <w:spacing w:val="-2"/>
                <w:sz w:val="11"/>
              </w:rPr>
              <w:t>(6)</w:t>
            </w:r>
            <w:r>
              <w:rPr/>
              <w:t xml:space="preserve"> </w:t>
              <w:br/>
            </w:r>
            <w:r>
              <w:rPr>
                <w:spacing w:val="-2"/>
              </w:rPr>
              <w:t xml:space="preserve">($) </w:t>
            </w:r>
          </w:p>
        </w:tc>
        <w:tc>
          <w:tcPr>
            <w:tcW w:w="154"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144" w:type="dxa"/>
            <w:tcBorders>
              <w:bottom w:val="single" w:sz="2" w:space="0" w:color="CBCAC8"/>
            </w:tcBorders>
            <w:tcMar>
              <w:bottom w:w="40" w:type="dxa"/>
            </w:tcMar>
            <w:vAlign w:val="center"/>
          </w:tcPr>
          <w:p>
            <w:pPr>
              <w:pStyle w:val="TableContents"/>
              <w:bidi w:val="0"/>
              <w:spacing w:before="0" w:after="283"/>
              <w:jc w:val="left"/>
              <w:rPr/>
            </w:pPr>
            <w:r>
              <w:rPr>
                <w:spacing w:val="0"/>
              </w:rPr>
              <w:t>David O’Reilly</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40" w:type="dxa"/>
            </w:tcMar>
            <w:vAlign w:val="center"/>
          </w:tcPr>
          <w:p>
            <w:pPr>
              <w:pStyle w:val="TableContents"/>
              <w:bidi w:val="0"/>
              <w:spacing w:before="0" w:after="283"/>
              <w:jc w:val="right"/>
              <w:rPr/>
            </w:pPr>
            <w:r>
              <w:rPr/>
              <w:t>​</w:t>
            </w:r>
          </w:p>
        </w:tc>
        <w:tc>
          <w:tcPr>
            <w:tcW w:w="1291" w:type="dxa"/>
            <w:tcBorders>
              <w:bottom w:val="single" w:sz="2" w:space="0" w:color="CBCAC8"/>
            </w:tcBorders>
            <w:tcMar>
              <w:bottom w:w="40" w:type="dxa"/>
            </w:tcMar>
            <w:vAlign w:val="center"/>
          </w:tcPr>
          <w:p>
            <w:pPr>
              <w:pStyle w:val="TableContents"/>
              <w:bidi w:val="0"/>
              <w:spacing w:before="0" w:after="283"/>
              <w:jc w:val="righ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144" w:type="dxa"/>
            <w:tcBorders>
              <w:bottom w:val="single" w:sz="2" w:space="0" w:color="CBCAC8"/>
            </w:tcBorders>
            <w:tcMar>
              <w:bottom w:w="40" w:type="dxa"/>
            </w:tcMar>
            <w:vAlign w:val="center"/>
          </w:tcPr>
          <w:p>
            <w:pPr>
              <w:pStyle w:val="TableContents"/>
              <w:bidi w:val="0"/>
              <w:spacing w:before="0" w:after="283"/>
              <w:jc w:val="left"/>
              <w:rPr>
                <w:spacing w:val="-2"/>
              </w:rPr>
            </w:pPr>
            <w:r>
              <w:rPr>
                <w:spacing w:val="-2"/>
              </w:rPr>
              <w:t xml:space="preserve">Cash Severance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4,500,000</w:t>
            </w:r>
            <w:r>
              <w:rPr>
                <w:sz w:val="13"/>
              </w:rPr>
              <w:t>(1</w:t>
            </w:r>
            <w:r>
              <w:rPr>
                <w:sz w:val="13"/>
              </w:rPr>
              <w:t>)</w:t>
            </w:r>
            <w:r>
              <w:rPr/>
              <w:t xml:space="preserve"> </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40" w:type="dxa"/>
            </w:tcMar>
            <w:vAlign w:val="center"/>
          </w:tcPr>
          <w:p>
            <w:pPr>
              <w:pStyle w:val="TableContents"/>
              <w:bidi w:val="0"/>
              <w:spacing w:before="0" w:after="283"/>
              <w:jc w:val="right"/>
              <w:rPr/>
            </w:pPr>
            <w:r>
              <w:rPr/>
              <w:t>​</w:t>
            </w:r>
          </w:p>
        </w:tc>
        <w:tc>
          <w:tcPr>
            <w:tcW w:w="1291" w:type="dxa"/>
            <w:tcBorders>
              <w:bottom w:val="single" w:sz="2" w:space="0" w:color="CBCAC8"/>
            </w:tcBorders>
            <w:tcMar>
              <w:bottom w:w="40" w:type="dxa"/>
            </w:tcMar>
            <w:vAlign w:val="center"/>
          </w:tcPr>
          <w:p>
            <w:pPr>
              <w:pStyle w:val="TableContents"/>
              <w:bidi w:val="0"/>
              <w:spacing w:before="0" w:after="283"/>
              <w:jc w:val="right"/>
              <w:rPr/>
            </w:pPr>
            <w:r>
              <w:rPr/>
              <w:t>1,750,000</w:t>
            </w:r>
            <w:r>
              <w:rPr>
                <w:sz w:val="13"/>
              </w:rPr>
              <w:t>(2</w:t>
            </w:r>
            <w:r>
              <w:rPr>
                <w:sz w:val="13"/>
              </w:rPr>
              <w: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7,250,000</w:t>
            </w:r>
            <w:r>
              <w:rPr>
                <w:sz w:val="13"/>
              </w:rPr>
              <w:t>(3</w:t>
            </w:r>
            <w:r>
              <w:rPr>
                <w:sz w:val="13"/>
              </w:rPr>
              <w:t>)</w:t>
            </w:r>
            <w:r>
              <w:rPr/>
              <w:t xml:space="preserve"> </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144" w:type="dxa"/>
            <w:tcBorders>
              <w:bottom w:val="single" w:sz="2" w:space="0" w:color="CBCAC8"/>
            </w:tcBorders>
            <w:tcMar>
              <w:bottom w:w="40" w:type="dxa"/>
            </w:tcMar>
            <w:vAlign w:val="center"/>
          </w:tcPr>
          <w:p>
            <w:pPr>
              <w:pStyle w:val="TableContents"/>
              <w:bidi w:val="0"/>
              <w:spacing w:before="0" w:after="283"/>
              <w:jc w:val="left"/>
              <w:rPr>
                <w:spacing w:val="-2"/>
              </w:rPr>
            </w:pPr>
            <w:r>
              <w:rPr>
                <w:spacing w:val="-2"/>
              </w:rPr>
              <w:t xml:space="preserve">Equity Awards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8,115,401</w:t>
            </w:r>
            <w:r>
              <w:rPr>
                <w:sz w:val="13"/>
              </w:rPr>
              <w:t>(4</w:t>
            </w:r>
            <w:r>
              <w:rPr>
                <w:sz w:val="13"/>
              </w:rPr>
              <w:t>)</w:t>
            </w:r>
            <w:r>
              <w:rPr/>
              <w:t xml:space="preserve"> </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40" w:type="dxa"/>
            </w:tcMar>
            <w:vAlign w:val="center"/>
          </w:tcPr>
          <w:p>
            <w:pPr>
              <w:pStyle w:val="TableContents"/>
              <w:bidi w:val="0"/>
              <w:spacing w:before="0" w:after="283"/>
              <w:jc w:val="right"/>
              <w:rPr/>
            </w:pPr>
            <w:r>
              <w:rPr/>
              <w:t>​</w:t>
            </w:r>
          </w:p>
        </w:tc>
        <w:tc>
          <w:tcPr>
            <w:tcW w:w="1291" w:type="dxa"/>
            <w:tcBorders>
              <w:bottom w:val="single" w:sz="2" w:space="0" w:color="CBCAC8"/>
            </w:tcBorders>
            <w:tcMar>
              <w:bottom w:w="40" w:type="dxa"/>
            </w:tcMar>
            <w:vAlign w:val="center"/>
          </w:tcPr>
          <w:p>
            <w:pPr>
              <w:pStyle w:val="TableContents"/>
              <w:bidi w:val="0"/>
              <w:spacing w:before="0" w:after="283"/>
              <w:jc w:val="right"/>
              <w:rPr/>
            </w:pPr>
            <w:r>
              <w:rPr/>
              <w:t>8,115,401</w:t>
            </w:r>
            <w:r>
              <w:rPr>
                <w:sz w:val="13"/>
              </w:rPr>
              <w:t>(4</w:t>
            </w:r>
            <w:r>
              <w:rPr>
                <w:sz w:val="13"/>
              </w:rPr>
              <w: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8,115,401</w:t>
            </w:r>
            <w:r>
              <w:rPr>
                <w:sz w:val="13"/>
              </w:rPr>
              <w:t>(4</w:t>
            </w:r>
            <w:r>
              <w:rPr>
                <w:sz w:val="13"/>
              </w:rPr>
              <w:t>)</w:t>
            </w:r>
            <w:r>
              <w:rPr/>
              <w:t xml:space="preserve"> </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144" w:type="dxa"/>
            <w:tcBorders>
              <w:bottom w:val="single" w:sz="2" w:space="0" w:color="CBCAC8"/>
            </w:tcBorders>
            <w:tcMar>
              <w:bottom w:w="40" w:type="dxa"/>
            </w:tcMar>
            <w:vAlign w:val="center"/>
          </w:tcPr>
          <w:p>
            <w:pPr>
              <w:pStyle w:val="TableContents"/>
              <w:bidi w:val="0"/>
              <w:spacing w:before="0" w:after="283"/>
              <w:jc w:val="left"/>
              <w:rPr>
                <w:spacing w:val="-2"/>
              </w:rPr>
            </w:pPr>
            <w:r>
              <w:rPr>
                <w:spacing w:val="-2"/>
              </w:rPr>
              <w:t xml:space="preserve">Total estimated value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12,615,401</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40" w:type="dxa"/>
            </w:tcMar>
            <w:vAlign w:val="center"/>
          </w:tcPr>
          <w:p>
            <w:pPr>
              <w:pStyle w:val="TableContents"/>
              <w:bidi w:val="0"/>
              <w:spacing w:before="0" w:after="283"/>
              <w:jc w:val="right"/>
              <w:rPr/>
            </w:pPr>
            <w:r>
              <w:rPr/>
              <w:t>​</w:t>
            </w:r>
          </w:p>
        </w:tc>
        <w:tc>
          <w:tcPr>
            <w:tcW w:w="1291" w:type="dxa"/>
            <w:tcBorders>
              <w:bottom w:val="single" w:sz="2" w:space="0" w:color="CBCAC8"/>
            </w:tcBorders>
            <w:tcMar>
              <w:bottom w:w="40" w:type="dxa"/>
            </w:tcMar>
            <w:vAlign w:val="center"/>
          </w:tcPr>
          <w:p>
            <w:pPr>
              <w:pStyle w:val="TableContents"/>
              <w:bidi w:val="0"/>
              <w:spacing w:before="0" w:after="283"/>
              <w:jc w:val="right"/>
              <w:rPr/>
            </w:pPr>
            <w:r>
              <w:rPr/>
              <w:t>9,865,401</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15,365,401</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144" w:type="dxa"/>
            <w:tcBorders>
              <w:bottom w:val="single" w:sz="2" w:space="0" w:color="CBCAC8"/>
            </w:tcBorders>
            <w:tcMar>
              <w:bottom w:w="40" w:type="dxa"/>
            </w:tcMar>
            <w:vAlign w:val="center"/>
          </w:tcPr>
          <w:p>
            <w:pPr>
              <w:pStyle w:val="TableContents"/>
              <w:bidi w:val="0"/>
              <w:spacing w:before="0" w:after="283"/>
              <w:jc w:val="left"/>
              <w:rPr/>
            </w:pPr>
            <w:r>
              <w:rPr>
                <w:spacing w:val="0"/>
              </w:rPr>
              <w:t>Carlos Olea</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40" w:type="dxa"/>
            </w:tcMar>
            <w:vAlign w:val="center"/>
          </w:tcPr>
          <w:p>
            <w:pPr>
              <w:pStyle w:val="TableContents"/>
              <w:bidi w:val="0"/>
              <w:spacing w:before="0" w:after="283"/>
              <w:jc w:val="right"/>
              <w:rPr/>
            </w:pPr>
            <w:r>
              <w:rPr/>
              <w:t>​</w:t>
            </w:r>
          </w:p>
        </w:tc>
        <w:tc>
          <w:tcPr>
            <w:tcW w:w="1291" w:type="dxa"/>
            <w:tcBorders>
              <w:bottom w:val="single" w:sz="2" w:space="0" w:color="CBCAC8"/>
            </w:tcBorders>
            <w:tcMar>
              <w:bottom w:w="40" w:type="dxa"/>
            </w:tcMar>
            <w:vAlign w:val="center"/>
          </w:tcPr>
          <w:p>
            <w:pPr>
              <w:pStyle w:val="TableContents"/>
              <w:bidi w:val="0"/>
              <w:spacing w:before="0" w:after="283"/>
              <w:jc w:val="righ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144" w:type="dxa"/>
            <w:tcBorders>
              <w:bottom w:val="single" w:sz="2" w:space="0" w:color="CBCAC8"/>
            </w:tcBorders>
            <w:tcMar>
              <w:bottom w:w="40" w:type="dxa"/>
            </w:tcMar>
            <w:vAlign w:val="center"/>
          </w:tcPr>
          <w:p>
            <w:pPr>
              <w:pStyle w:val="TableContents"/>
              <w:bidi w:val="0"/>
              <w:spacing w:before="0" w:after="283"/>
              <w:jc w:val="left"/>
              <w:rPr>
                <w:spacing w:val="-2"/>
              </w:rPr>
            </w:pPr>
            <w:r>
              <w:rPr>
                <w:spacing w:val="-2"/>
              </w:rPr>
              <w:t xml:space="preserve">Cash Severance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2,200,000</w:t>
            </w:r>
            <w:r>
              <w:rPr>
                <w:sz w:val="13"/>
              </w:rPr>
              <w:t>(1</w:t>
            </w:r>
            <w:r>
              <w:rPr>
                <w:sz w:val="13"/>
              </w:rPr>
              <w:t>)</w:t>
            </w:r>
            <w:r>
              <w:rPr/>
              <w:t xml:space="preserve"> </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40" w:type="dxa"/>
            </w:tcMar>
            <w:vAlign w:val="center"/>
          </w:tcPr>
          <w:p>
            <w:pPr>
              <w:pStyle w:val="TableContents"/>
              <w:bidi w:val="0"/>
              <w:spacing w:before="0" w:after="283"/>
              <w:jc w:val="right"/>
              <w:rPr/>
            </w:pPr>
            <w:r>
              <w:rPr/>
              <w:t>​</w:t>
            </w:r>
          </w:p>
        </w:tc>
        <w:tc>
          <w:tcPr>
            <w:tcW w:w="1291" w:type="dxa"/>
            <w:tcBorders>
              <w:bottom w:val="single" w:sz="2" w:space="0" w:color="CBCAC8"/>
            </w:tcBorders>
            <w:tcMar>
              <w:bottom w:w="40" w:type="dxa"/>
            </w:tcMar>
            <w:vAlign w:val="center"/>
          </w:tcPr>
          <w:p>
            <w:pPr>
              <w:pStyle w:val="TableContents"/>
              <w:bidi w:val="0"/>
              <w:spacing w:before="0" w:after="283"/>
              <w:jc w:val="right"/>
              <w:rPr/>
            </w:pPr>
            <w:r>
              <w:rPr/>
              <w:t>825,000</w:t>
            </w:r>
            <w:r>
              <w:rPr>
                <w:sz w:val="13"/>
              </w:rPr>
              <w:t>(2</w:t>
            </w:r>
            <w:r>
              <w:rPr>
                <w:sz w:val="13"/>
              </w:rPr>
              <w: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3,575,000</w:t>
            </w:r>
            <w:r>
              <w:rPr>
                <w:sz w:val="13"/>
              </w:rPr>
              <w:t>(3</w:t>
            </w:r>
            <w:r>
              <w:rPr>
                <w:sz w:val="13"/>
              </w:rPr>
              <w:t>)</w:t>
            </w:r>
            <w:r>
              <w:rPr/>
              <w:t xml:space="preserve"> </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144" w:type="dxa"/>
            <w:tcBorders>
              <w:bottom w:val="single" w:sz="2" w:space="0" w:color="CBCAC8"/>
            </w:tcBorders>
            <w:tcMar>
              <w:bottom w:w="40" w:type="dxa"/>
            </w:tcMar>
            <w:vAlign w:val="center"/>
          </w:tcPr>
          <w:p>
            <w:pPr>
              <w:pStyle w:val="TableContents"/>
              <w:bidi w:val="0"/>
              <w:spacing w:before="0" w:after="283"/>
              <w:jc w:val="left"/>
              <w:rPr>
                <w:spacing w:val="-2"/>
              </w:rPr>
            </w:pPr>
            <w:r>
              <w:rPr>
                <w:spacing w:val="-2"/>
              </w:rPr>
              <w:t xml:space="preserve">Equity Awards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2,736,430</w:t>
            </w:r>
            <w:r>
              <w:rPr>
                <w:sz w:val="13"/>
              </w:rPr>
              <w:t>(4</w:t>
            </w:r>
            <w:r>
              <w:rPr>
                <w:sz w:val="13"/>
              </w:rPr>
              <w:t>)</w:t>
            </w:r>
            <w:r>
              <w:rPr/>
              <w:t xml:space="preserve"> </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40" w:type="dxa"/>
            </w:tcMar>
            <w:vAlign w:val="center"/>
          </w:tcPr>
          <w:p>
            <w:pPr>
              <w:pStyle w:val="TableContents"/>
              <w:bidi w:val="0"/>
              <w:spacing w:before="0" w:after="283"/>
              <w:jc w:val="right"/>
              <w:rPr/>
            </w:pPr>
            <w:r>
              <w:rPr/>
              <w:t>​</w:t>
            </w:r>
          </w:p>
        </w:tc>
        <w:tc>
          <w:tcPr>
            <w:tcW w:w="1291" w:type="dxa"/>
            <w:tcBorders>
              <w:bottom w:val="single" w:sz="2" w:space="0" w:color="CBCAC8"/>
            </w:tcBorders>
            <w:tcMar>
              <w:bottom w:w="40" w:type="dxa"/>
            </w:tcMar>
            <w:vAlign w:val="center"/>
          </w:tcPr>
          <w:p>
            <w:pPr>
              <w:pStyle w:val="TableContents"/>
              <w:bidi w:val="0"/>
              <w:spacing w:before="0" w:after="283"/>
              <w:jc w:val="right"/>
              <w:rPr/>
            </w:pPr>
            <w:r>
              <w:rPr/>
              <w:t>2,736,430</w:t>
            </w:r>
            <w:r>
              <w:rPr>
                <w:sz w:val="13"/>
              </w:rPr>
              <w:t>(4</w:t>
            </w:r>
            <w:r>
              <w:rPr>
                <w:sz w:val="13"/>
              </w:rPr>
              <w: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2,736,430</w:t>
            </w:r>
            <w:r>
              <w:rPr>
                <w:sz w:val="13"/>
              </w:rPr>
              <w:t>(4</w:t>
            </w:r>
            <w:r>
              <w:rPr>
                <w:sz w:val="13"/>
              </w:rPr>
              <w:t>)</w:t>
            </w:r>
            <w:r>
              <w:rPr/>
              <w:t xml:space="preserve"> </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144" w:type="dxa"/>
            <w:tcBorders>
              <w:bottom w:val="single" w:sz="2" w:space="0" w:color="CBCAC8"/>
            </w:tcBorders>
            <w:tcMar>
              <w:bottom w:w="40" w:type="dxa"/>
            </w:tcMar>
            <w:vAlign w:val="center"/>
          </w:tcPr>
          <w:p>
            <w:pPr>
              <w:pStyle w:val="TableContents"/>
              <w:bidi w:val="0"/>
              <w:spacing w:before="0" w:after="283"/>
              <w:jc w:val="left"/>
              <w:rPr>
                <w:spacing w:val="-2"/>
              </w:rPr>
            </w:pPr>
            <w:r>
              <w:rPr>
                <w:spacing w:val="-2"/>
              </w:rPr>
              <w:t xml:space="preserve">Total estimated value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4,936,430</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40" w:type="dxa"/>
            </w:tcMar>
            <w:vAlign w:val="center"/>
          </w:tcPr>
          <w:p>
            <w:pPr>
              <w:pStyle w:val="TableContents"/>
              <w:bidi w:val="0"/>
              <w:spacing w:before="0" w:after="283"/>
              <w:jc w:val="right"/>
              <w:rPr/>
            </w:pPr>
            <w:r>
              <w:rPr/>
              <w:t>​</w:t>
            </w:r>
          </w:p>
        </w:tc>
        <w:tc>
          <w:tcPr>
            <w:tcW w:w="1291" w:type="dxa"/>
            <w:tcBorders>
              <w:bottom w:val="single" w:sz="2" w:space="0" w:color="CBCAC8"/>
            </w:tcBorders>
            <w:tcMar>
              <w:bottom w:w="40" w:type="dxa"/>
            </w:tcMar>
            <w:vAlign w:val="center"/>
          </w:tcPr>
          <w:p>
            <w:pPr>
              <w:pStyle w:val="TableContents"/>
              <w:bidi w:val="0"/>
              <w:spacing w:before="0" w:after="283"/>
              <w:jc w:val="right"/>
              <w:rPr/>
            </w:pPr>
            <w:r>
              <w:rPr/>
              <w:t>3,561,430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6,311,430</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144" w:type="dxa"/>
            <w:tcBorders>
              <w:bottom w:val="single" w:sz="2" w:space="0" w:color="CBCAC8"/>
            </w:tcBorders>
            <w:tcMar>
              <w:bottom w:w="40" w:type="dxa"/>
            </w:tcMar>
            <w:vAlign w:val="center"/>
          </w:tcPr>
          <w:p>
            <w:pPr>
              <w:pStyle w:val="TableContents"/>
              <w:bidi w:val="0"/>
              <w:spacing w:before="0" w:after="283"/>
              <w:jc w:val="left"/>
              <w:rPr/>
            </w:pPr>
            <w:r>
              <w:rPr>
                <w:spacing w:val="0"/>
              </w:rPr>
              <w:t>Joseph Valane</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40" w:type="dxa"/>
            </w:tcMar>
            <w:vAlign w:val="center"/>
          </w:tcPr>
          <w:p>
            <w:pPr>
              <w:pStyle w:val="TableContents"/>
              <w:bidi w:val="0"/>
              <w:spacing w:before="0" w:after="283"/>
              <w:jc w:val="right"/>
              <w:rPr/>
            </w:pPr>
            <w:r>
              <w:rPr/>
              <w:t>​</w:t>
            </w:r>
          </w:p>
        </w:tc>
        <w:tc>
          <w:tcPr>
            <w:tcW w:w="1291" w:type="dxa"/>
            <w:tcBorders>
              <w:bottom w:val="single" w:sz="2" w:space="0" w:color="CBCAC8"/>
            </w:tcBorders>
            <w:tcMar>
              <w:bottom w:w="40" w:type="dxa"/>
            </w:tcMar>
            <w:vAlign w:val="center"/>
          </w:tcPr>
          <w:p>
            <w:pPr>
              <w:pStyle w:val="TableContents"/>
              <w:bidi w:val="0"/>
              <w:spacing w:before="0" w:after="283"/>
              <w:jc w:val="righ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144" w:type="dxa"/>
            <w:tcBorders>
              <w:bottom w:val="single" w:sz="2" w:space="0" w:color="CBCAC8"/>
            </w:tcBorders>
            <w:tcMar>
              <w:bottom w:w="40" w:type="dxa"/>
            </w:tcMar>
            <w:vAlign w:val="center"/>
          </w:tcPr>
          <w:p>
            <w:pPr>
              <w:pStyle w:val="TableContents"/>
              <w:bidi w:val="0"/>
              <w:spacing w:before="0" w:after="283"/>
              <w:jc w:val="left"/>
              <w:rPr>
                <w:spacing w:val="-2"/>
              </w:rPr>
            </w:pPr>
            <w:r>
              <w:rPr>
                <w:spacing w:val="-2"/>
              </w:rPr>
              <w:t xml:space="preserve">Cash Severance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1,500,000</w:t>
            </w:r>
            <w:r>
              <w:rPr>
                <w:sz w:val="13"/>
              </w:rPr>
              <w:t>(1</w:t>
            </w:r>
            <w:r>
              <w:rPr>
                <w:sz w:val="13"/>
              </w:rPr>
              <w:t>)</w:t>
            </w:r>
            <w:r>
              <w:rPr/>
              <w:t xml:space="preserve"> </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40" w:type="dxa"/>
            </w:tcMar>
            <w:vAlign w:val="center"/>
          </w:tcPr>
          <w:p>
            <w:pPr>
              <w:pStyle w:val="TableContents"/>
              <w:bidi w:val="0"/>
              <w:spacing w:before="0" w:after="283"/>
              <w:jc w:val="right"/>
              <w:rPr/>
            </w:pPr>
            <w:r>
              <w:rPr/>
              <w:t>​</w:t>
            </w:r>
          </w:p>
        </w:tc>
        <w:tc>
          <w:tcPr>
            <w:tcW w:w="1291" w:type="dxa"/>
            <w:tcBorders>
              <w:bottom w:val="single" w:sz="2" w:space="0" w:color="CBCAC8"/>
            </w:tcBorders>
            <w:tcMar>
              <w:bottom w:w="40" w:type="dxa"/>
            </w:tcMar>
            <w:vAlign w:val="center"/>
          </w:tcPr>
          <w:p>
            <w:pPr>
              <w:pStyle w:val="TableContents"/>
              <w:bidi w:val="0"/>
              <w:spacing w:before="0" w:after="283"/>
              <w:jc w:val="right"/>
              <w:rPr/>
            </w:pPr>
            <w:r>
              <w:rPr/>
              <w:t>500,000</w:t>
            </w:r>
            <w:r>
              <w:rPr>
                <w:sz w:val="13"/>
              </w:rPr>
              <w:t>(2</w:t>
            </w:r>
            <w:r>
              <w:rPr>
                <w:sz w:val="13"/>
              </w:rPr>
              <w: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2,500,000</w:t>
            </w:r>
            <w:r>
              <w:rPr>
                <w:sz w:val="13"/>
              </w:rPr>
              <w:t>(3</w:t>
            </w:r>
            <w:r>
              <w:rPr>
                <w:sz w:val="13"/>
              </w:rPr>
              <w:t>)</w:t>
            </w:r>
            <w:r>
              <w:rPr/>
              <w:t xml:space="preserve"> </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144" w:type="dxa"/>
            <w:tcBorders>
              <w:bottom w:val="single" w:sz="2" w:space="0" w:color="CBCAC8"/>
            </w:tcBorders>
            <w:tcMar>
              <w:bottom w:w="40" w:type="dxa"/>
            </w:tcMar>
            <w:vAlign w:val="center"/>
          </w:tcPr>
          <w:p>
            <w:pPr>
              <w:pStyle w:val="TableContents"/>
              <w:bidi w:val="0"/>
              <w:spacing w:before="0" w:after="283"/>
              <w:jc w:val="left"/>
              <w:rPr>
                <w:spacing w:val="-2"/>
              </w:rPr>
            </w:pPr>
            <w:r>
              <w:rPr>
                <w:spacing w:val="-2"/>
              </w:rPr>
              <w:t xml:space="preserve">Equity Awards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1,213,461</w:t>
            </w:r>
            <w:r>
              <w:rPr>
                <w:sz w:val="13"/>
              </w:rPr>
              <w:t>(4</w:t>
            </w:r>
            <w:r>
              <w:rPr>
                <w:sz w:val="13"/>
              </w:rPr>
              <w:t>)</w:t>
            </w:r>
            <w:r>
              <w:rPr/>
              <w:t xml:space="preserve"> </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40" w:type="dxa"/>
            </w:tcMar>
            <w:vAlign w:val="center"/>
          </w:tcPr>
          <w:p>
            <w:pPr>
              <w:pStyle w:val="TableContents"/>
              <w:bidi w:val="0"/>
              <w:spacing w:before="0" w:after="283"/>
              <w:jc w:val="right"/>
              <w:rPr/>
            </w:pPr>
            <w:r>
              <w:rPr/>
              <w:t>​</w:t>
            </w:r>
          </w:p>
        </w:tc>
        <w:tc>
          <w:tcPr>
            <w:tcW w:w="1291" w:type="dxa"/>
            <w:tcBorders>
              <w:bottom w:val="single" w:sz="2" w:space="0" w:color="CBCAC8"/>
            </w:tcBorders>
            <w:tcMar>
              <w:bottom w:w="40" w:type="dxa"/>
            </w:tcMar>
            <w:vAlign w:val="center"/>
          </w:tcPr>
          <w:p>
            <w:pPr>
              <w:pStyle w:val="TableContents"/>
              <w:bidi w:val="0"/>
              <w:spacing w:before="0" w:after="283"/>
              <w:jc w:val="right"/>
              <w:rPr/>
            </w:pPr>
            <w:r>
              <w:rPr/>
              <w:t>1,213,461</w:t>
            </w:r>
            <w:r>
              <w:rPr>
                <w:sz w:val="13"/>
              </w:rPr>
              <w:t>(4</w:t>
            </w:r>
            <w:r>
              <w:rPr>
                <w:sz w:val="13"/>
              </w:rPr>
              <w: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1,213,461</w:t>
            </w:r>
            <w:r>
              <w:rPr>
                <w:sz w:val="13"/>
              </w:rPr>
              <w:t>(4</w:t>
            </w:r>
            <w:r>
              <w:rPr>
                <w:sz w:val="13"/>
              </w:rPr>
              <w:t>)</w:t>
            </w:r>
            <w:r>
              <w:rPr/>
              <w:t xml:space="preserve"> </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144" w:type="dxa"/>
            <w:tcBorders>
              <w:bottom w:val="single" w:sz="2" w:space="0" w:color="CBCAC8"/>
            </w:tcBorders>
            <w:tcMar>
              <w:bottom w:w="40" w:type="dxa"/>
            </w:tcMar>
            <w:vAlign w:val="center"/>
          </w:tcPr>
          <w:p>
            <w:pPr>
              <w:pStyle w:val="TableContents"/>
              <w:bidi w:val="0"/>
              <w:spacing w:before="0" w:after="283"/>
              <w:jc w:val="left"/>
              <w:rPr>
                <w:spacing w:val="-2"/>
              </w:rPr>
            </w:pPr>
            <w:r>
              <w:rPr>
                <w:spacing w:val="-2"/>
              </w:rPr>
              <w:t xml:space="preserve">Total estimated value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2,713,461</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40" w:type="dxa"/>
            </w:tcMar>
            <w:vAlign w:val="center"/>
          </w:tcPr>
          <w:p>
            <w:pPr>
              <w:pStyle w:val="TableContents"/>
              <w:bidi w:val="0"/>
              <w:spacing w:before="0" w:after="283"/>
              <w:jc w:val="right"/>
              <w:rPr/>
            </w:pPr>
            <w:r>
              <w:rPr/>
              <w:t>​</w:t>
            </w:r>
          </w:p>
        </w:tc>
        <w:tc>
          <w:tcPr>
            <w:tcW w:w="1291" w:type="dxa"/>
            <w:tcBorders>
              <w:bottom w:val="single" w:sz="2" w:space="0" w:color="CBCAC8"/>
            </w:tcBorders>
            <w:tcMar>
              <w:bottom w:w="40" w:type="dxa"/>
            </w:tcMar>
            <w:vAlign w:val="center"/>
          </w:tcPr>
          <w:p>
            <w:pPr>
              <w:pStyle w:val="TableContents"/>
              <w:bidi w:val="0"/>
              <w:spacing w:before="0" w:after="283"/>
              <w:jc w:val="right"/>
              <w:rPr/>
            </w:pPr>
            <w:r>
              <w:rPr/>
              <w:t>1,713,461</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3,713,461</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144" w:type="dxa"/>
            <w:tcBorders>
              <w:bottom w:val="single" w:sz="2" w:space="0" w:color="CBCAC8"/>
            </w:tcBorders>
            <w:tcMar>
              <w:bottom w:w="40" w:type="dxa"/>
            </w:tcMar>
            <w:vAlign w:val="center"/>
          </w:tcPr>
          <w:p>
            <w:pPr>
              <w:pStyle w:val="TableContents"/>
              <w:bidi w:val="0"/>
              <w:spacing w:before="0" w:after="283"/>
              <w:jc w:val="left"/>
              <w:rPr/>
            </w:pPr>
            <w:r>
              <w:rPr>
                <w:spacing w:val="0"/>
              </w:rPr>
              <w:t>Douglas Johnstone</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40" w:type="dxa"/>
            </w:tcMar>
            <w:vAlign w:val="center"/>
          </w:tcPr>
          <w:p>
            <w:pPr>
              <w:pStyle w:val="TableContents"/>
              <w:bidi w:val="0"/>
              <w:spacing w:before="0" w:after="283"/>
              <w:jc w:val="right"/>
              <w:rPr/>
            </w:pPr>
            <w:r>
              <w:rPr/>
              <w:t>​</w:t>
            </w:r>
          </w:p>
        </w:tc>
        <w:tc>
          <w:tcPr>
            <w:tcW w:w="1291" w:type="dxa"/>
            <w:tcBorders>
              <w:bottom w:val="single" w:sz="2" w:space="0" w:color="CBCAC8"/>
            </w:tcBorders>
            <w:tcMar>
              <w:bottom w:w="40" w:type="dxa"/>
            </w:tcMar>
            <w:vAlign w:val="center"/>
          </w:tcPr>
          <w:p>
            <w:pPr>
              <w:pStyle w:val="TableContents"/>
              <w:bidi w:val="0"/>
              <w:spacing w:before="0" w:after="283"/>
              <w:jc w:val="righ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144" w:type="dxa"/>
            <w:tcBorders>
              <w:bottom w:val="single" w:sz="2" w:space="0" w:color="CBCAC8"/>
            </w:tcBorders>
            <w:tcMar>
              <w:bottom w:w="40" w:type="dxa"/>
            </w:tcMar>
            <w:vAlign w:val="center"/>
          </w:tcPr>
          <w:p>
            <w:pPr>
              <w:pStyle w:val="TableContents"/>
              <w:bidi w:val="0"/>
              <w:spacing w:lineRule="atLeast" w:line="142" w:before="0" w:after="283"/>
              <w:jc w:val="left"/>
              <w:rPr/>
            </w:pPr>
            <w:r>
              <w:rPr>
                <w:spacing w:val="-2"/>
              </w:rPr>
              <w:t>Cash Severance</w:t>
            </w:r>
            <w:r>
              <w:rPr>
                <w:spacing w:val="-1"/>
                <w:sz w:val="13"/>
              </w:rPr>
              <w:t>(5)</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575,000</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40" w:type="dxa"/>
            </w:tcMar>
            <w:vAlign w:val="center"/>
          </w:tcPr>
          <w:p>
            <w:pPr>
              <w:pStyle w:val="TableContents"/>
              <w:bidi w:val="0"/>
              <w:spacing w:before="0" w:after="283"/>
              <w:jc w:val="right"/>
              <w:rPr/>
            </w:pPr>
            <w:r>
              <w:rPr/>
              <w:t>​</w:t>
            </w:r>
          </w:p>
        </w:tc>
        <w:tc>
          <w:tcPr>
            <w:tcW w:w="1291" w:type="dxa"/>
            <w:tcBorders>
              <w:bottom w:val="single" w:sz="2" w:space="0" w:color="CBCAC8"/>
            </w:tcBorders>
            <w:tcMar>
              <w:bottom w:w="40" w:type="dxa"/>
            </w:tcMar>
            <w:vAlign w:val="center"/>
          </w:tcPr>
          <w:p>
            <w:pPr>
              <w:pStyle w:val="TableContents"/>
              <w:bidi w:val="0"/>
              <w:spacing w:before="0" w:after="283"/>
              <w:jc w:val="righ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575,000</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144" w:type="dxa"/>
            <w:tcBorders>
              <w:bottom w:val="single" w:sz="2" w:space="0" w:color="CBCAC8"/>
            </w:tcBorders>
            <w:tcMar>
              <w:bottom w:w="40" w:type="dxa"/>
            </w:tcMar>
            <w:vAlign w:val="center"/>
          </w:tcPr>
          <w:p>
            <w:pPr>
              <w:pStyle w:val="TableContents"/>
              <w:bidi w:val="0"/>
              <w:spacing w:before="0" w:after="283"/>
              <w:jc w:val="left"/>
              <w:rPr>
                <w:spacing w:val="-2"/>
              </w:rPr>
            </w:pPr>
            <w:r>
              <w:rPr>
                <w:spacing w:val="-2"/>
              </w:rPr>
              <w:t xml:space="preserve">Equity Awards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404,434</w:t>
            </w:r>
            <w:r>
              <w:rPr>
                <w:sz w:val="13"/>
              </w:rPr>
              <w:t>(4</w:t>
            </w:r>
            <w:r>
              <w:rPr>
                <w:sz w:val="13"/>
              </w:rPr>
              <w:t>)</w:t>
            </w:r>
            <w:r>
              <w:rPr/>
              <w:t xml:space="preserve"> </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40" w:type="dxa"/>
            </w:tcMar>
            <w:vAlign w:val="center"/>
          </w:tcPr>
          <w:p>
            <w:pPr>
              <w:pStyle w:val="TableContents"/>
              <w:bidi w:val="0"/>
              <w:spacing w:before="0" w:after="283"/>
              <w:jc w:val="right"/>
              <w:rPr/>
            </w:pPr>
            <w:r>
              <w:rPr/>
              <w:t>​</w:t>
            </w:r>
          </w:p>
        </w:tc>
        <w:tc>
          <w:tcPr>
            <w:tcW w:w="1291" w:type="dxa"/>
            <w:tcBorders>
              <w:bottom w:val="single" w:sz="2" w:space="0" w:color="CBCAC8"/>
            </w:tcBorders>
            <w:tcMar>
              <w:bottom w:w="40" w:type="dxa"/>
            </w:tcMar>
            <w:vAlign w:val="center"/>
          </w:tcPr>
          <w:p>
            <w:pPr>
              <w:pStyle w:val="TableContents"/>
              <w:bidi w:val="0"/>
              <w:spacing w:before="0" w:after="283"/>
              <w:jc w:val="right"/>
              <w:rPr/>
            </w:pPr>
            <w:r>
              <w:rPr/>
              <w:t>1,164,961</w:t>
            </w:r>
            <w:r>
              <w:rPr>
                <w:sz w:val="13"/>
              </w:rPr>
              <w:t>(4</w:t>
            </w:r>
            <w:r>
              <w:rPr>
                <w:sz w:val="13"/>
              </w:rPr>
              <w: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404,434</w:t>
            </w:r>
            <w:r>
              <w:rPr>
                <w:sz w:val="13"/>
              </w:rPr>
              <w:t>(4</w:t>
            </w:r>
            <w:r>
              <w:rPr>
                <w:sz w:val="13"/>
              </w:rPr>
              <w:t>)</w:t>
            </w:r>
            <w:r>
              <w:rPr/>
              <w:t xml:space="preserve"> </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144" w:type="dxa"/>
            <w:tcBorders>
              <w:bottom w:val="single" w:sz="2" w:space="0" w:color="CBCAC8"/>
            </w:tcBorders>
            <w:tcMar>
              <w:bottom w:w="40" w:type="dxa"/>
            </w:tcMar>
            <w:vAlign w:val="center"/>
          </w:tcPr>
          <w:p>
            <w:pPr>
              <w:pStyle w:val="TableContents"/>
              <w:bidi w:val="0"/>
              <w:spacing w:before="0" w:after="283"/>
              <w:jc w:val="left"/>
              <w:rPr>
                <w:spacing w:val="-2"/>
              </w:rPr>
            </w:pPr>
            <w:r>
              <w:rPr>
                <w:spacing w:val="-2"/>
              </w:rPr>
              <w:t xml:space="preserve">Total estimated value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979,434</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40" w:type="dxa"/>
            </w:tcMar>
            <w:vAlign w:val="center"/>
          </w:tcPr>
          <w:p>
            <w:pPr>
              <w:pStyle w:val="TableContents"/>
              <w:bidi w:val="0"/>
              <w:spacing w:before="0" w:after="283"/>
              <w:jc w:val="right"/>
              <w:rPr/>
            </w:pPr>
            <w:r>
              <w:rPr/>
              <w:t>​</w:t>
            </w:r>
          </w:p>
        </w:tc>
        <w:tc>
          <w:tcPr>
            <w:tcW w:w="1291" w:type="dxa"/>
            <w:tcBorders>
              <w:bottom w:val="single" w:sz="2" w:space="0" w:color="CBCAC8"/>
            </w:tcBorders>
            <w:tcMar>
              <w:bottom w:w="40" w:type="dxa"/>
            </w:tcMar>
            <w:vAlign w:val="center"/>
          </w:tcPr>
          <w:p>
            <w:pPr>
              <w:pStyle w:val="TableContents"/>
              <w:bidi w:val="0"/>
              <w:spacing w:before="0" w:after="283"/>
              <w:jc w:val="right"/>
              <w:rPr/>
            </w:pPr>
            <w:r>
              <w:rPr/>
              <w:t>1,164,961</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979,434</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144" w:type="dxa"/>
            <w:tcBorders>
              <w:bottom w:val="single" w:sz="2" w:space="0" w:color="CBCAC8"/>
            </w:tcBorders>
            <w:tcMar>
              <w:bottom w:w="40" w:type="dxa"/>
            </w:tcMar>
            <w:vAlign w:val="center"/>
          </w:tcPr>
          <w:p>
            <w:pPr>
              <w:pStyle w:val="TableContents"/>
              <w:bidi w:val="0"/>
              <w:spacing w:before="0" w:after="283"/>
              <w:jc w:val="left"/>
              <w:rPr/>
            </w:pPr>
            <w:r>
              <w:rPr>
                <w:spacing w:val="0"/>
              </w:rPr>
              <w:t>Andrew Davis</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40" w:type="dxa"/>
            </w:tcMar>
            <w:vAlign w:val="center"/>
          </w:tcPr>
          <w:p>
            <w:pPr>
              <w:pStyle w:val="TableContents"/>
              <w:bidi w:val="0"/>
              <w:spacing w:before="0" w:after="283"/>
              <w:jc w:val="right"/>
              <w:rPr/>
            </w:pPr>
            <w:r>
              <w:rPr/>
              <w:t>​</w:t>
            </w:r>
          </w:p>
        </w:tc>
        <w:tc>
          <w:tcPr>
            <w:tcW w:w="1291" w:type="dxa"/>
            <w:tcBorders>
              <w:bottom w:val="single" w:sz="2" w:space="0" w:color="CBCAC8"/>
            </w:tcBorders>
            <w:tcMar>
              <w:bottom w:w="40" w:type="dxa"/>
            </w:tcMar>
            <w:vAlign w:val="center"/>
          </w:tcPr>
          <w:p>
            <w:pPr>
              <w:pStyle w:val="TableContents"/>
              <w:bidi w:val="0"/>
              <w:spacing w:before="0" w:after="283"/>
              <w:jc w:val="righ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144" w:type="dxa"/>
            <w:tcBorders>
              <w:bottom w:val="single" w:sz="2" w:space="0" w:color="CBCAC8"/>
            </w:tcBorders>
            <w:tcMar>
              <w:bottom w:w="40" w:type="dxa"/>
            </w:tcMar>
            <w:vAlign w:val="center"/>
          </w:tcPr>
          <w:p>
            <w:pPr>
              <w:pStyle w:val="TableContents"/>
              <w:bidi w:val="0"/>
              <w:spacing w:lineRule="atLeast" w:line="142" w:before="0" w:after="283"/>
              <w:jc w:val="left"/>
              <w:rPr/>
            </w:pPr>
            <w:r>
              <w:rPr>
                <w:spacing w:val="-2"/>
              </w:rPr>
              <w:t>Cash Severance</w:t>
            </w:r>
            <w:r>
              <w:rPr>
                <w:spacing w:val="-1"/>
                <w:sz w:val="13"/>
              </w:rPr>
              <w:t>(5)</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500,000</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40" w:type="dxa"/>
            </w:tcMar>
            <w:vAlign w:val="center"/>
          </w:tcPr>
          <w:p>
            <w:pPr>
              <w:pStyle w:val="TableContents"/>
              <w:bidi w:val="0"/>
              <w:spacing w:before="0" w:after="283"/>
              <w:jc w:val="right"/>
              <w:rPr/>
            </w:pPr>
            <w:r>
              <w:rPr/>
              <w:t>​</w:t>
            </w:r>
          </w:p>
        </w:tc>
        <w:tc>
          <w:tcPr>
            <w:tcW w:w="1291" w:type="dxa"/>
            <w:tcBorders>
              <w:bottom w:val="single" w:sz="2" w:space="0" w:color="CBCAC8"/>
            </w:tcBorders>
            <w:tcMar>
              <w:bottom w:w="40" w:type="dxa"/>
            </w:tcMar>
            <w:vAlign w:val="center"/>
          </w:tcPr>
          <w:p>
            <w:pPr>
              <w:pStyle w:val="TableContents"/>
              <w:bidi w:val="0"/>
              <w:spacing w:before="0" w:after="283"/>
              <w:jc w:val="righ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500,000</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144" w:type="dxa"/>
            <w:tcBorders>
              <w:bottom w:val="single" w:sz="2" w:space="0" w:color="CBCAC8"/>
            </w:tcBorders>
            <w:tcMar>
              <w:bottom w:w="40" w:type="dxa"/>
            </w:tcMar>
            <w:vAlign w:val="center"/>
          </w:tcPr>
          <w:p>
            <w:pPr>
              <w:pStyle w:val="TableContents"/>
              <w:bidi w:val="0"/>
              <w:spacing w:before="0" w:after="283"/>
              <w:jc w:val="left"/>
              <w:rPr>
                <w:spacing w:val="-2"/>
              </w:rPr>
            </w:pPr>
            <w:r>
              <w:rPr>
                <w:spacing w:val="-2"/>
              </w:rPr>
              <w:t xml:space="preserve">Equity Awards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469,207</w:t>
            </w:r>
            <w:r>
              <w:rPr>
                <w:sz w:val="13"/>
              </w:rPr>
              <w:t>(4</w:t>
            </w:r>
            <w:r>
              <w:rPr>
                <w:sz w:val="13"/>
              </w:rPr>
              <w:t>)</w:t>
            </w:r>
            <w:r>
              <w:rPr/>
              <w:t xml:space="preserve"> </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40" w:type="dxa"/>
            </w:tcMar>
            <w:vAlign w:val="center"/>
          </w:tcPr>
          <w:p>
            <w:pPr>
              <w:pStyle w:val="TableContents"/>
              <w:bidi w:val="0"/>
              <w:spacing w:before="0" w:after="283"/>
              <w:jc w:val="right"/>
              <w:rPr/>
            </w:pPr>
            <w:r>
              <w:rPr/>
              <w:t>​</w:t>
            </w:r>
          </w:p>
        </w:tc>
        <w:tc>
          <w:tcPr>
            <w:tcW w:w="1291" w:type="dxa"/>
            <w:tcBorders>
              <w:bottom w:val="single" w:sz="2" w:space="0" w:color="CBCAC8"/>
            </w:tcBorders>
            <w:tcMar>
              <w:bottom w:w="40" w:type="dxa"/>
            </w:tcMar>
            <w:vAlign w:val="center"/>
          </w:tcPr>
          <w:p>
            <w:pPr>
              <w:pStyle w:val="TableContents"/>
              <w:bidi w:val="0"/>
              <w:spacing w:before="0" w:after="283"/>
              <w:jc w:val="right"/>
              <w:rPr/>
            </w:pPr>
            <w:r>
              <w:rPr/>
              <w:t>1,322,906</w:t>
            </w:r>
            <w:r>
              <w:rPr>
                <w:sz w:val="13"/>
              </w:rPr>
              <w:t>(4</w:t>
            </w:r>
            <w:r>
              <w:rPr>
                <w:sz w:val="13"/>
              </w:rPr>
              <w: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44" w:type="dxa"/>
            <w:tcBorders>
              <w:bottom w:val="single" w:sz="2" w:space="0" w:color="CBCAC8"/>
            </w:tcBorders>
            <w:tcMar>
              <w:bottom w:w="40" w:type="dxa"/>
            </w:tcMar>
            <w:vAlign w:val="center"/>
          </w:tcPr>
          <w:p>
            <w:pPr>
              <w:pStyle w:val="TableContents"/>
              <w:bidi w:val="0"/>
              <w:spacing w:before="0" w:after="283"/>
              <w:jc w:val="right"/>
              <w:rPr/>
            </w:pPr>
            <w:r>
              <w:rPr/>
              <w:t>​</w:t>
            </w:r>
          </w:p>
        </w:tc>
        <w:tc>
          <w:tcPr>
            <w:tcW w:w="1712" w:type="dxa"/>
            <w:tcBorders>
              <w:bottom w:val="single" w:sz="2" w:space="0" w:color="CBCAC8"/>
            </w:tcBorders>
            <w:tcMar>
              <w:bottom w:w="40" w:type="dxa"/>
            </w:tcMar>
            <w:vAlign w:val="center"/>
          </w:tcPr>
          <w:p>
            <w:pPr>
              <w:pStyle w:val="TableContents"/>
              <w:bidi w:val="0"/>
              <w:spacing w:before="0" w:after="283"/>
              <w:jc w:val="right"/>
              <w:rPr/>
            </w:pPr>
            <w:r>
              <w:rPr/>
              <w:t>469,207</w:t>
            </w:r>
            <w:r>
              <w:rPr>
                <w:sz w:val="13"/>
              </w:rPr>
              <w:t>(4</w:t>
            </w:r>
            <w:r>
              <w:rPr>
                <w:sz w:val="13"/>
              </w:rPr>
              <w:t>)</w:t>
            </w:r>
            <w:r>
              <w:rPr/>
              <w:t xml:space="preserve"> </w:t>
            </w:r>
          </w:p>
        </w:tc>
        <w:tc>
          <w:tcPr>
            <w:tcW w:w="144"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8" w:space="0" w:color="7F7F7F"/>
            </w:tcBorders>
            <w:tcMar>
              <w:bottom w:w="28" w:type="dxa"/>
            </w:tcMar>
            <w:vAlign w:val="center"/>
          </w:tcPr>
          <w:p>
            <w:pPr>
              <w:pStyle w:val="TableContents"/>
              <w:bidi w:val="0"/>
              <w:spacing w:before="0" w:after="283"/>
              <w:jc w:val="left"/>
              <w:rPr/>
            </w:pPr>
            <w:r>
              <w:rPr/>
              <w:t>​</w:t>
            </w:r>
          </w:p>
        </w:tc>
        <w:tc>
          <w:tcPr>
            <w:tcW w:w="2144" w:type="dxa"/>
            <w:tcBorders>
              <w:bottom w:val="single" w:sz="8" w:space="0" w:color="7F7F7F"/>
            </w:tcBorders>
            <w:tcMar>
              <w:bottom w:w="40" w:type="dxa"/>
            </w:tcMar>
            <w:vAlign w:val="center"/>
          </w:tcPr>
          <w:p>
            <w:pPr>
              <w:pStyle w:val="TableContents"/>
              <w:bidi w:val="0"/>
              <w:spacing w:before="0" w:after="283"/>
              <w:jc w:val="left"/>
              <w:rPr>
                <w:spacing w:val="-2"/>
              </w:rPr>
            </w:pPr>
            <w:r>
              <w:rPr>
                <w:spacing w:val="-2"/>
              </w:rPr>
              <w:t xml:space="preserve">Total estimated value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44" w:type="dxa"/>
            <w:tcBorders>
              <w:bottom w:val="single" w:sz="8" w:space="0" w:color="7F7F7F"/>
            </w:tcBorders>
            <w:tcMar>
              <w:bottom w:w="28" w:type="dxa"/>
            </w:tcMar>
            <w:vAlign w:val="center"/>
          </w:tcPr>
          <w:p>
            <w:pPr>
              <w:pStyle w:val="TableContents"/>
              <w:bidi w:val="0"/>
              <w:spacing w:before="0" w:after="283"/>
              <w:jc w:val="left"/>
              <w:rPr/>
            </w:pPr>
            <w:r>
              <w:rPr/>
              <w:t>​</w:t>
            </w:r>
          </w:p>
        </w:tc>
        <w:tc>
          <w:tcPr>
            <w:tcW w:w="144" w:type="dxa"/>
            <w:tcBorders>
              <w:bottom w:val="single" w:sz="8" w:space="0" w:color="7F7F7F"/>
            </w:tcBorders>
            <w:tcMar>
              <w:bottom w:w="40" w:type="dxa"/>
            </w:tcMar>
            <w:vAlign w:val="center"/>
          </w:tcPr>
          <w:p>
            <w:pPr>
              <w:pStyle w:val="TableContents"/>
              <w:bidi w:val="0"/>
              <w:spacing w:before="0" w:after="283"/>
              <w:jc w:val="right"/>
              <w:rPr/>
            </w:pPr>
            <w:r>
              <w:rPr/>
              <w:t>​</w:t>
            </w:r>
          </w:p>
        </w:tc>
        <w:tc>
          <w:tcPr>
            <w:tcW w:w="1712" w:type="dxa"/>
            <w:tcBorders>
              <w:bottom w:val="single" w:sz="8" w:space="0" w:color="7F7F7F"/>
            </w:tcBorders>
            <w:tcMar>
              <w:bottom w:w="40" w:type="dxa"/>
            </w:tcMar>
            <w:vAlign w:val="center"/>
          </w:tcPr>
          <w:p>
            <w:pPr>
              <w:pStyle w:val="TableContents"/>
              <w:bidi w:val="0"/>
              <w:spacing w:before="0" w:after="283"/>
              <w:jc w:val="right"/>
              <w:rPr/>
            </w:pPr>
            <w:r>
              <w:rPr/>
              <w:t>969,207</w:t>
            </w:r>
          </w:p>
        </w:tc>
        <w:tc>
          <w:tcPr>
            <w:tcW w:w="144"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40" w:type="dxa"/>
            </w:tcMar>
            <w:vAlign w:val="center"/>
          </w:tcPr>
          <w:p>
            <w:pPr>
              <w:pStyle w:val="TableContents"/>
              <w:bidi w:val="0"/>
              <w:spacing w:before="0" w:after="283"/>
              <w:jc w:val="right"/>
              <w:rPr/>
            </w:pPr>
            <w:r>
              <w:rPr/>
              <w:t>​</w:t>
            </w:r>
          </w:p>
        </w:tc>
        <w:tc>
          <w:tcPr>
            <w:tcW w:w="1291" w:type="dxa"/>
            <w:tcBorders>
              <w:bottom w:val="single" w:sz="8" w:space="0" w:color="7F7F7F"/>
            </w:tcBorders>
            <w:tcMar>
              <w:bottom w:w="40" w:type="dxa"/>
            </w:tcMar>
            <w:vAlign w:val="center"/>
          </w:tcPr>
          <w:p>
            <w:pPr>
              <w:pStyle w:val="TableContents"/>
              <w:bidi w:val="0"/>
              <w:spacing w:before="0" w:after="283"/>
              <w:jc w:val="right"/>
              <w:rPr/>
            </w:pPr>
            <w:r>
              <w:rPr/>
              <w:t>1,322,906</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44" w:type="dxa"/>
            <w:tcBorders>
              <w:bottom w:val="single" w:sz="8" w:space="0" w:color="7F7F7F"/>
            </w:tcBorders>
            <w:tcMar>
              <w:bottom w:w="28" w:type="dxa"/>
            </w:tcMar>
            <w:vAlign w:val="center"/>
          </w:tcPr>
          <w:p>
            <w:pPr>
              <w:pStyle w:val="TableContents"/>
              <w:bidi w:val="0"/>
              <w:spacing w:before="0" w:after="283"/>
              <w:jc w:val="left"/>
              <w:rPr/>
            </w:pPr>
            <w:r>
              <w:rPr/>
              <w:t>​</w:t>
            </w:r>
          </w:p>
        </w:tc>
        <w:tc>
          <w:tcPr>
            <w:tcW w:w="144" w:type="dxa"/>
            <w:tcBorders>
              <w:bottom w:val="single" w:sz="8" w:space="0" w:color="7F7F7F"/>
            </w:tcBorders>
            <w:tcMar>
              <w:bottom w:w="40" w:type="dxa"/>
            </w:tcMar>
            <w:vAlign w:val="center"/>
          </w:tcPr>
          <w:p>
            <w:pPr>
              <w:pStyle w:val="TableContents"/>
              <w:bidi w:val="0"/>
              <w:spacing w:before="0" w:after="283"/>
              <w:jc w:val="right"/>
              <w:rPr/>
            </w:pPr>
            <w:r>
              <w:rPr/>
              <w:t>​</w:t>
            </w:r>
          </w:p>
        </w:tc>
        <w:tc>
          <w:tcPr>
            <w:tcW w:w="1712" w:type="dxa"/>
            <w:tcBorders>
              <w:bottom w:val="single" w:sz="8" w:space="0" w:color="7F7F7F"/>
            </w:tcBorders>
            <w:tcMar>
              <w:bottom w:w="40" w:type="dxa"/>
            </w:tcMar>
            <w:vAlign w:val="center"/>
          </w:tcPr>
          <w:p>
            <w:pPr>
              <w:pStyle w:val="TableContents"/>
              <w:bidi w:val="0"/>
              <w:spacing w:before="0" w:after="283"/>
              <w:jc w:val="right"/>
              <w:rPr/>
            </w:pPr>
            <w:r>
              <w:rPr/>
              <w:t>969,207</w:t>
            </w:r>
          </w:p>
        </w:tc>
        <w:tc>
          <w:tcPr>
            <w:tcW w:w="144" w:type="dxa"/>
            <w:tcBorders>
              <w:bottom w:val="single" w:sz="8" w:space="0" w:color="7F7F7F"/>
            </w:tcBorders>
            <w:tcMar>
              <w:bottom w:w="28" w:type="dxa"/>
            </w:tcMar>
            <w:vAlign w:val="center"/>
          </w:tcPr>
          <w:p>
            <w:pPr>
              <w:pStyle w:val="TableContents"/>
              <w:bidi w:val="0"/>
              <w:spacing w:before="0" w:after="283"/>
              <w:jc w:val="left"/>
              <w:rPr/>
            </w:pPr>
            <w:r>
              <w:rPr/>
              <w:t>​</w:t>
            </w:r>
          </w:p>
        </w:tc>
        <w:tc>
          <w:tcPr>
            <w:tcW w:w="154" w:type="dxa"/>
            <w:tcBorders>
              <w:bottom w:val="single" w:sz="8" w:space="0" w:color="7F7F7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Amount represents cash severance outside of a change in control as described above under “</w:t>
      </w:r>
      <w:r>
        <w:rPr>
          <w:rFonts w:ascii="Arial;Helvetica;sans-serif" w:hAnsi="Arial;Helvetica;sans-serif"/>
          <w:b w:val="false"/>
          <w:i/>
          <w:caps w:val="false"/>
          <w:smallCaps w:val="false"/>
          <w:color w:val="000000"/>
          <w:sz w:val="18"/>
        </w:rPr>
        <w:t>Employment Agreements and Arrangements with The NEOs</w:t>
      </w:r>
      <w:r>
        <w:rPr>
          <w:rFonts w:ascii="Arial;Helvetica;sans-serif" w:hAnsi="Arial;Helvetica;sans-serif"/>
          <w:b w:val="false"/>
          <w:i w:val="false"/>
          <w:caps w:val="false"/>
          <w:smallCaps w:val="false"/>
          <w:color w:val="000000"/>
          <w:spacing w:val="-1"/>
          <w:sz w:val="18"/>
        </w:rPr>
        <w:t>,” including (i) a cash payment equal to the sum of base salary and target bonus, and (ii) a prorated target bonus for the year of termination.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607">
                <wp:simplePos x="0" y="0"/>
                <wp:positionH relativeFrom="column">
                  <wp:align>left</wp:align>
                </wp:positionH>
                <wp:positionV relativeFrom="line">
                  <wp:align>top</wp:align>
                </wp:positionV>
                <wp:extent cx="254000" cy="279400"/>
                <wp:effectExtent l="0" t="0" r="0" b="0"/>
                <wp:wrapSquare wrapText="right"/>
                <wp:docPr id="620" name="Frame491"/>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(1)</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00" w:after="0"/>
        <w:ind w:left="1301"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Amount represents a prorated target bonus for the year of termination.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3500" distB="0" distL="0" distR="0" simplePos="0" locked="0" layoutInCell="1" allowOverlap="1" relativeHeight="608">
                <wp:simplePos x="0" y="0"/>
                <wp:positionH relativeFrom="column">
                  <wp:align>left</wp:align>
                </wp:positionH>
                <wp:positionV relativeFrom="line">
                  <wp:align>top</wp:align>
                </wp:positionV>
                <wp:extent cx="254000" cy="279400"/>
                <wp:effectExtent l="0" t="0" r="0" b="0"/>
                <wp:wrapSquare wrapText="right"/>
                <wp:docPr id="621" name="Frame492"/>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1"/>
                          <w:sz w:val="18"/>
                        </w:rPr>
                        <w:t>(2)</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0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Amount represents cash severance in connection with a change in control as described above under “</w:t>
      </w:r>
      <w:r>
        <w:rPr>
          <w:rFonts w:ascii="Arial;Helvetica;sans-serif" w:hAnsi="Arial;Helvetica;sans-serif"/>
          <w:b w:val="false"/>
          <w:i/>
          <w:caps w:val="false"/>
          <w:smallCaps w:val="false"/>
          <w:color w:val="000000"/>
          <w:sz w:val="18"/>
        </w:rPr>
        <w:t>Employment Agreements and Arrangements with The NEOs</w:t>
      </w:r>
      <w:r>
        <w:rPr>
          <w:rFonts w:ascii="Arial;Helvetica;sans-serif" w:hAnsi="Arial;Helvetica;sans-serif"/>
          <w:b w:val="false"/>
          <w:i w:val="false"/>
          <w:caps w:val="false"/>
          <w:smallCaps w:val="false"/>
          <w:color w:val="000000"/>
          <w:spacing w:val="-1"/>
          <w:sz w:val="18"/>
        </w:rPr>
        <w:t>,” including (i) a cash payment equal to two times the sum of base salary and target bonus, and (ii) a prorated target bonus for the year of termination.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3500" distB="0" distL="0" distR="0" simplePos="0" locked="0" layoutInCell="1" allowOverlap="1" relativeHeight="609">
                <wp:simplePos x="0" y="0"/>
                <wp:positionH relativeFrom="column">
                  <wp:align>left</wp:align>
                </wp:positionH>
                <wp:positionV relativeFrom="line">
                  <wp:align>top</wp:align>
                </wp:positionV>
                <wp:extent cx="254000" cy="279400"/>
                <wp:effectExtent l="0" t="0" r="0" b="0"/>
                <wp:wrapSquare wrapText="right"/>
                <wp:docPr id="622" name="Frame493"/>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(3)</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0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Amount represents accelerated vesting of time-based equity awards, and the value of performance-based equity awards eligible to vest (assuming performance at the “target” level). Acceleration of stock options is shown using their intrinsic (or “spread”) value, if any.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3500" distB="0" distL="0" distR="0" simplePos="0" locked="0" layoutInCell="1" allowOverlap="1" relativeHeight="610">
                <wp:simplePos x="0" y="0"/>
                <wp:positionH relativeFrom="column">
                  <wp:align>left</wp:align>
                </wp:positionH>
                <wp:positionV relativeFrom="line">
                  <wp:align>top</wp:align>
                </wp:positionV>
                <wp:extent cx="254000" cy="279400"/>
                <wp:effectExtent l="0" t="0" r="0" b="0"/>
                <wp:wrapSquare wrapText="right"/>
                <wp:docPr id="623" name="Frame494"/>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(4)</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(4)</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98"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amounts in this row represent cash severance payable to Mr. Johnstone and Mr. Davis in connection with an involuntary termination by the Company pursuant to the Separation Benefits Plan.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2230" distB="0" distL="0" distR="0" simplePos="0" locked="0" layoutInCell="1" allowOverlap="1" relativeHeight="611">
                <wp:simplePos x="0" y="0"/>
                <wp:positionH relativeFrom="column">
                  <wp:align>left</wp:align>
                </wp:positionH>
                <wp:positionV relativeFrom="line">
                  <wp:align>top</wp:align>
                </wp:positionV>
                <wp:extent cx="254000" cy="279400"/>
                <wp:effectExtent l="0" t="0" r="0" b="0"/>
                <wp:wrapSquare wrapText="right"/>
                <wp:docPr id="624" name="Frame495"/>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(5)</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(5)</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98" w:after="0"/>
        <w:ind w:left="1301"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For Messrs. O’Reilly, Olea, and Valane, each of their employment agreements provides that if the NEO becomes entitled to receive or if he receives any payments and benefits that would become subject to the excise tax under Section 4999 of the IRC (the “golden parachute” excise tax applicable in certain circumstances upon a change in control of the Company), the payments and benefits will be reduced such that the excise tax does not apply, unless he would be better off on an after-tax </w:t>
      </w:r>
      <w:r>
        <mc:AlternateContent>
          <mc:Choice Requires="wps">
            <w:drawing>
              <wp:anchor behindDoc="0" distT="62230" distB="0" distL="0" distR="0" simplePos="0" locked="0" layoutInCell="1" allowOverlap="1" relativeHeight="612">
                <wp:simplePos x="0" y="0"/>
                <wp:positionH relativeFrom="column">
                  <wp:align>left</wp:align>
                </wp:positionH>
                <wp:positionV relativeFrom="line">
                  <wp:align>top</wp:align>
                </wp:positionV>
                <wp:extent cx="254000" cy="279400"/>
                <wp:effectExtent l="0" t="0" r="0" b="0"/>
                <wp:wrapSquare wrapText="right"/>
                <wp:docPr id="625" name="Frame496"/>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(6)</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(6)</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/ 87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PRD"/>
      <w:bookmarkEnd w:id="79"/>
      <w:r>
        <w:rPr>
          <w:rFonts w:ascii="calibri;arial;sans-serif" w:hAnsi="calibri;arial;sans-serif"/>
          <w:b w:val="false"/>
          <w:i w:val="false"/>
          <w:caps w:val="false"/>
          <w:smallCaps w:val="false"/>
          <w:color w:val="000000"/>
          <w:sz w:val="16"/>
        </w:rPr>
        <w:t>​</w:t>
      </w:r>
      <w:bookmarkStart w:id="80" w:name="tPVP"/>
      <w:bookmarkEnd w:id="80"/>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Executive Compensation</w:t>
      </w:r>
      <w:r>
        <w:rPr>
          <w:rFonts w:ascii="Arial;Helvetica;sans-serif" w:hAnsi="Arial;Helvetica;sans-serif"/>
          <w:b/>
          <w:i w:val="false"/>
          <w:caps w:val="false"/>
          <w:smallCaps w:val="false"/>
          <w:color w:val="7F7F7F"/>
          <w:spacing w:val="-3"/>
          <w:sz w:val="22"/>
        </w:rPr>
        <w:t xml:space="preserve"> </w:t>
      </w:r>
    </w:p>
    <w:p>
      <w:pPr>
        <w:pStyle w:val="TextBody"/>
        <w:bidi w:val="0"/>
        <w:spacing w:lineRule="atLeast" w:line="220" w:before="120" w:after="24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basis receiving all of the payments and benefits. For Mr. Johnstone and Mr. Davis, the Separation Benefits Plan provides that if any of the payments or benefits provided or to be provided by the Company to them pursuant to the Separation Benefits Plan or otherwise would be subject to the excise tax imposed under Section 4999 of the IRC the separation benefit will be reduced to the minimum extent necessary to ensure that no portion of the separation benefit is subject to the excise tax. The figures in the table above disregard the potential impact of any potential reductions in connection with these provisions.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0" w:after="0"/>
        <w:ind w:left="1301"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Amount represents accelerated vesting of time-based equity awards.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13">
                <wp:simplePos x="0" y="0"/>
                <wp:positionH relativeFrom="column">
                  <wp:align>left</wp:align>
                </wp:positionH>
                <wp:positionV relativeFrom="line">
                  <wp:align>top</wp:align>
                </wp:positionV>
                <wp:extent cx="254000" cy="279400"/>
                <wp:effectExtent l="0" t="0" r="0" b="0"/>
                <wp:wrapSquare wrapText="right"/>
                <wp:docPr id="626" name="Frame497"/>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1"/>
                                <w:sz w:val="18"/>
                              </w:rPr>
                              <w:t>(7)</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1"/>
                          <w:sz w:val="18"/>
                        </w:rPr>
                        <w:t>(7)</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340" w:before="320" w:after="283"/>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PAY RATIO DISCLOSURE</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determined that the 2025 annual total compensation of the median of all our employees who were employed as of December 31, 2025 (other than the CEO) was $132,130. Mr. O’Reilly’s annual total compensation for 2025 was $7,826,778. Based on this information, for 2025, the ratio of the compensation of our CEO to the median annual total compensation of all other employees was approximately 59 to 1.</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identify the median compensated employee, we used Box 5, W-2 data for all individuals employed as of December 31, 2025, annualizing this data for those employees who joined the Company in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believe our pay ratio presented above is a reasonable estimate. Because SEC rules for identifying the median employee and calculating the pay ratio allow companies to use different methodologies, exemptions, estimates and assumptions, our pay ratio may not be comparable to that reported by other companies.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40" w:before="320" w:after="283"/>
        <w:jc w:val="left"/>
        <w:rPr>
          <w:rFonts w:ascii="Arial;Helvetica;sans-serif" w:hAnsi="Arial;Helvetica;sans-serif"/>
          <w:b/>
          <w:i w:val="false"/>
          <w:caps w:val="false"/>
          <w:smallCaps w:val="false"/>
          <w:color w:val="0075A8"/>
          <w:sz w:val="30"/>
        </w:rPr>
      </w:pPr>
      <w:r>
        <w:rPr>
          <w:rFonts w:ascii="Arial;Helvetica;sans-serif" w:hAnsi="Arial;Helvetica;sans-serif"/>
          <w:b/>
          <w:i w:val="false"/>
          <w:caps/>
          <w:color w:val="0075A8"/>
          <w:spacing w:val="-4"/>
          <w:sz w:val="30"/>
        </w:rPr>
        <w:t>PAY VS. PERFORMANCE</w:t>
      </w:r>
      <w:r>
        <w:rPr>
          <w:rFonts w:ascii="Arial;Helvetica;sans-serif" w:hAnsi="Arial;Helvetica;sans-serif"/>
          <w:b/>
          <w:i w:val="false"/>
          <w:caps w:val="false"/>
          <w:smallCaps w:val="false"/>
          <w:color w:val="000000"/>
          <w:spacing w:val="6"/>
          <w:sz w:val="3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discussed in the CD&amp;A above, our Compensation Committee has implemented an executive compensation program designed to link a substantial portion of our NEOs’ realized compensation to the achievement of the Company’s financial, operational, and strategic objectives, and to align our executive pay with changes in the value of our stockholders’ investments. The table below shows compensation actually paid (as defined by the SEC in Item 402(v) of Regulation S-K) for our executives and our financial performance for the years shown in the table. For purposes of this discussion, our CEO is also referred to as our principal executive officer or “PEO” and our other Named Executive Officers are referred to as our “Non-PEO NEOs”:</w:t>
      </w:r>
      <w:r>
        <w:rPr>
          <w:rFonts w:ascii="Arial;Helvetica;sans-serif" w:hAnsi="Arial;Helvetica;sans-serif"/>
          <w:b w:val="false"/>
          <w:i w:val="false"/>
          <w:caps w:val="false"/>
          <w:smallCaps w:val="false"/>
          <w:color w:val="000000"/>
          <w:spacing w:val="4"/>
          <w:sz w:val="20"/>
        </w:rPr>
        <w:t xml:space="preserve"> </w:t>
      </w:r>
    </w:p>
    <w:tbl>
      <w:tblPr>
        <w:tblW w:w="13635" w:type="dxa"/>
        <w:jc w:val="left"/>
        <w:tblInd w:w="543" w:type="dxa"/>
        <w:tblLayout w:type="fixed"/>
        <w:tblCellMar>
          <w:top w:w="0" w:type="dxa"/>
          <w:left w:w="0" w:type="dxa"/>
          <w:bottom w:w="0" w:type="dxa"/>
          <w:right w:w="0" w:type="dxa"/>
        </w:tblCellMar>
      </w:tblPr>
      <w:tblGrid>
        <w:gridCol w:w="124"/>
        <w:gridCol w:w="661"/>
        <w:gridCol w:w="109"/>
        <w:gridCol w:w="109"/>
        <w:gridCol w:w="115"/>
        <w:gridCol w:w="115"/>
        <w:gridCol w:w="1125"/>
        <w:gridCol w:w="116"/>
        <w:gridCol w:w="109"/>
        <w:gridCol w:w="109"/>
        <w:gridCol w:w="115"/>
        <w:gridCol w:w="115"/>
        <w:gridCol w:w="1125"/>
        <w:gridCol w:w="116"/>
        <w:gridCol w:w="109"/>
        <w:gridCol w:w="109"/>
        <w:gridCol w:w="115"/>
        <w:gridCol w:w="115"/>
        <w:gridCol w:w="1125"/>
        <w:gridCol w:w="116"/>
        <w:gridCol w:w="109"/>
        <w:gridCol w:w="109"/>
        <w:gridCol w:w="115"/>
        <w:gridCol w:w="115"/>
        <w:gridCol w:w="1125"/>
        <w:gridCol w:w="116"/>
        <w:gridCol w:w="109"/>
        <w:gridCol w:w="109"/>
        <w:gridCol w:w="124"/>
        <w:gridCol w:w="124"/>
        <w:gridCol w:w="873"/>
        <w:gridCol w:w="125"/>
        <w:gridCol w:w="109"/>
        <w:gridCol w:w="109"/>
        <w:gridCol w:w="124"/>
        <w:gridCol w:w="124"/>
        <w:gridCol w:w="873"/>
        <w:gridCol w:w="125"/>
        <w:gridCol w:w="109"/>
        <w:gridCol w:w="109"/>
        <w:gridCol w:w="109"/>
        <w:gridCol w:w="109"/>
        <w:gridCol w:w="961"/>
        <w:gridCol w:w="109"/>
        <w:gridCol w:w="109"/>
        <w:gridCol w:w="109"/>
        <w:gridCol w:w="109"/>
        <w:gridCol w:w="109"/>
        <w:gridCol w:w="961"/>
        <w:gridCol w:w="109"/>
        <w:gridCol w:w="154"/>
      </w:tblGrid>
      <w:tr>
        <w:trPr/>
        <w:tc>
          <w:tcPr>
            <w:tcW w:w="124" w:type="dxa"/>
            <w:vMerge w:val="restart"/>
            <w:tcBorders/>
            <w:shd w:fill="BAD8EA" w:val="clear"/>
            <w:vAlign w:val="center"/>
          </w:tcPr>
          <w:p>
            <w:pPr>
              <w:pStyle w:val="TableContents"/>
              <w:bidi w:val="0"/>
              <w:spacing w:before="0" w:after="283"/>
              <w:jc w:val="left"/>
              <w:rPr/>
            </w:pPr>
            <w:r>
              <w:rPr/>
              <w:t>​</w:t>
            </w:r>
          </w:p>
        </w:tc>
        <w:tc>
          <w:tcPr>
            <w:tcW w:w="661" w:type="dxa"/>
            <w:vMerge w:val="restart"/>
            <w:tcBorders/>
            <w:shd w:fill="BAD8EA" w:val="clear"/>
            <w:vAlign w:val="center"/>
          </w:tcPr>
          <w:p>
            <w:pPr>
              <w:pStyle w:val="TableContents"/>
              <w:bidi w:val="0"/>
              <w:spacing w:lineRule="atLeast" w:line="157" w:before="0" w:after="0"/>
              <w:jc w:val="left"/>
              <w:rPr>
                <w:spacing w:val="0"/>
              </w:rPr>
            </w:pPr>
            <w:r>
              <w:rPr>
                <w:spacing w:val="0"/>
              </w:rPr>
              <w:t xml:space="preserve">Fiscal </w:t>
              <w:br/>
              <w:t xml:space="preserve">Year </w:t>
            </w:r>
          </w:p>
        </w:tc>
        <w:tc>
          <w:tcPr>
            <w:tcW w:w="109" w:type="dxa"/>
            <w:vMerge w:val="restart"/>
            <w:tcBorders/>
            <w:shd w:fill="BAD8EA" w:val="clear"/>
            <w:vAlign w:val="center"/>
          </w:tcPr>
          <w:p>
            <w:pPr>
              <w:pStyle w:val="TableContents"/>
              <w:bidi w:val="0"/>
              <w:spacing w:before="0" w:after="283"/>
              <w:jc w:val="left"/>
              <w:rPr/>
            </w:pPr>
            <w:r>
              <w:rPr/>
              <w:t>​</w:t>
            </w:r>
          </w:p>
        </w:tc>
        <w:tc>
          <w:tcPr>
            <w:tcW w:w="109" w:type="dxa"/>
            <w:vMerge w:val="restart"/>
            <w:tcBorders/>
            <w:shd w:fill="BAD8EA" w:val="clear"/>
            <w:vAlign w:val="center"/>
          </w:tcPr>
          <w:p>
            <w:pPr>
              <w:pStyle w:val="TableContents"/>
              <w:bidi w:val="0"/>
              <w:spacing w:before="0" w:after="283"/>
              <w:jc w:val="left"/>
              <w:rPr/>
            </w:pPr>
            <w:r>
              <w:rPr/>
              <w:t>​</w:t>
            </w:r>
          </w:p>
        </w:tc>
        <w:tc>
          <w:tcPr>
            <w:tcW w:w="1471" w:type="dxa"/>
            <w:gridSpan w:val="4"/>
            <w:vMerge w:val="restart"/>
            <w:tcBorders/>
            <w:shd w:fill="BAD8EA" w:val="clear"/>
            <w:vAlign w:val="center"/>
          </w:tcPr>
          <w:p>
            <w:pPr>
              <w:pStyle w:val="TableContents"/>
              <w:bidi w:val="0"/>
              <w:spacing w:lineRule="atLeast" w:line="142" w:before="0" w:after="0"/>
              <w:jc w:val="center"/>
              <w:rPr/>
            </w:pPr>
            <w:r>
              <w:rPr>
                <w:spacing w:val="0"/>
              </w:rPr>
              <w:t xml:space="preserve">Summary </w:t>
              <w:br/>
              <w:t xml:space="preserve">Compensation </w:t>
              <w:br/>
              <w:t xml:space="preserve">Table </w:t>
              <w:br/>
              <w:t xml:space="preserve">Total for PEO </w:t>
            </w:r>
            <w:r>
              <w:rPr/>
              <w:br/>
            </w:r>
            <w:r>
              <w:rPr>
                <w:spacing w:val="-2"/>
              </w:rPr>
              <w:t>($)</w:t>
            </w:r>
            <w:r>
              <w:rPr>
                <w:spacing w:val="-1"/>
                <w:sz w:val="9"/>
              </w:rPr>
              <w:t>(1)(2)</w:t>
            </w:r>
            <w:r>
              <w:rPr/>
              <w:t xml:space="preserve"> </w:t>
            </w:r>
          </w:p>
        </w:tc>
        <w:tc>
          <w:tcPr>
            <w:tcW w:w="109" w:type="dxa"/>
            <w:vMerge w:val="restart"/>
            <w:tcBorders/>
            <w:shd w:fill="BAD8EA" w:val="clear"/>
            <w:vAlign w:val="center"/>
          </w:tcPr>
          <w:p>
            <w:pPr>
              <w:pStyle w:val="TableContents"/>
              <w:bidi w:val="0"/>
              <w:spacing w:before="0" w:after="283"/>
              <w:jc w:val="left"/>
              <w:rPr/>
            </w:pPr>
            <w:r>
              <w:rPr/>
              <w:t>​</w:t>
            </w:r>
          </w:p>
        </w:tc>
        <w:tc>
          <w:tcPr>
            <w:tcW w:w="109" w:type="dxa"/>
            <w:vMerge w:val="restart"/>
            <w:tcBorders/>
            <w:shd w:fill="BAD8EA" w:val="clear"/>
            <w:vAlign w:val="center"/>
          </w:tcPr>
          <w:p>
            <w:pPr>
              <w:pStyle w:val="TableContents"/>
              <w:bidi w:val="0"/>
              <w:spacing w:before="0" w:after="283"/>
              <w:jc w:val="left"/>
              <w:rPr/>
            </w:pPr>
            <w:r>
              <w:rPr/>
              <w:t>​</w:t>
            </w:r>
          </w:p>
        </w:tc>
        <w:tc>
          <w:tcPr>
            <w:tcW w:w="1471" w:type="dxa"/>
            <w:gridSpan w:val="4"/>
            <w:vMerge w:val="restart"/>
            <w:tcBorders/>
            <w:shd w:fill="BAD8EA" w:val="clear"/>
            <w:vAlign w:val="center"/>
          </w:tcPr>
          <w:p>
            <w:pPr>
              <w:pStyle w:val="TableContents"/>
              <w:bidi w:val="0"/>
              <w:spacing w:lineRule="atLeast" w:line="142" w:before="0" w:after="0"/>
              <w:jc w:val="center"/>
              <w:rPr/>
            </w:pPr>
            <w:r>
              <w:rPr>
                <w:spacing w:val="0"/>
              </w:rPr>
              <w:t xml:space="preserve">Compensation </w:t>
              <w:br/>
              <w:t xml:space="preserve">Actually Paid </w:t>
              <w:br/>
              <w:t xml:space="preserve">to PEO </w:t>
            </w:r>
            <w:r>
              <w:rPr/>
              <w:br/>
            </w:r>
            <w:r>
              <w:rPr>
                <w:spacing w:val="-2"/>
              </w:rPr>
              <w:t>($)</w:t>
            </w:r>
            <w:r>
              <w:rPr>
                <w:spacing w:val="-1"/>
                <w:sz w:val="9"/>
              </w:rPr>
              <w:t>(1)(4)</w:t>
            </w:r>
            <w:r>
              <w:rPr/>
              <w:t xml:space="preserve"> </w:t>
            </w:r>
          </w:p>
        </w:tc>
        <w:tc>
          <w:tcPr>
            <w:tcW w:w="109" w:type="dxa"/>
            <w:vMerge w:val="restart"/>
            <w:tcBorders/>
            <w:shd w:fill="BAD8EA" w:val="clear"/>
            <w:vAlign w:val="center"/>
          </w:tcPr>
          <w:p>
            <w:pPr>
              <w:pStyle w:val="TableContents"/>
              <w:bidi w:val="0"/>
              <w:spacing w:before="0" w:after="283"/>
              <w:jc w:val="left"/>
              <w:rPr/>
            </w:pPr>
            <w:r>
              <w:rPr/>
              <w:t>​</w:t>
            </w:r>
          </w:p>
        </w:tc>
        <w:tc>
          <w:tcPr>
            <w:tcW w:w="109" w:type="dxa"/>
            <w:vMerge w:val="restart"/>
            <w:tcBorders/>
            <w:shd w:fill="BAD8EA" w:val="clear"/>
            <w:vAlign w:val="center"/>
          </w:tcPr>
          <w:p>
            <w:pPr>
              <w:pStyle w:val="TableContents"/>
              <w:bidi w:val="0"/>
              <w:spacing w:before="0" w:after="283"/>
              <w:jc w:val="left"/>
              <w:rPr/>
            </w:pPr>
            <w:r>
              <w:rPr/>
              <w:t>​</w:t>
            </w:r>
          </w:p>
        </w:tc>
        <w:tc>
          <w:tcPr>
            <w:tcW w:w="1471" w:type="dxa"/>
            <w:gridSpan w:val="4"/>
            <w:vMerge w:val="restart"/>
            <w:tcBorders/>
            <w:shd w:fill="BAD8EA" w:val="clear"/>
            <w:vAlign w:val="center"/>
          </w:tcPr>
          <w:p>
            <w:pPr>
              <w:pStyle w:val="TableContents"/>
              <w:bidi w:val="0"/>
              <w:spacing w:lineRule="atLeast" w:line="142" w:before="0" w:after="0"/>
              <w:jc w:val="center"/>
              <w:rPr/>
            </w:pPr>
            <w:r>
              <w:rPr>
                <w:spacing w:val="0"/>
              </w:rPr>
              <w:t xml:space="preserve">Average </w:t>
              <w:br/>
              <w:t xml:space="preserve">Summary </w:t>
              <w:br/>
              <w:t xml:space="preserve">Compensation </w:t>
              <w:br/>
              <w:t xml:space="preserve">Table Total for </w:t>
              <w:br/>
              <w:t xml:space="preserve">Non-PEO </w:t>
              <w:br/>
              <w:t>NEOs</w:t>
            </w:r>
            <w:r>
              <w:rPr/>
              <w:t xml:space="preserve"> </w:t>
              <w:br/>
            </w:r>
            <w:r>
              <w:rPr>
                <w:spacing w:val="-2"/>
              </w:rPr>
              <w:t>($)</w:t>
            </w:r>
            <w:r>
              <w:rPr>
                <w:spacing w:val="-1"/>
                <w:sz w:val="9"/>
              </w:rPr>
              <w:t>(1)(2)</w:t>
            </w:r>
            <w:r>
              <w:rPr/>
              <w:t xml:space="preserve"> </w:t>
            </w:r>
          </w:p>
        </w:tc>
        <w:tc>
          <w:tcPr>
            <w:tcW w:w="109" w:type="dxa"/>
            <w:vMerge w:val="restart"/>
            <w:tcBorders/>
            <w:shd w:fill="BAD8EA" w:val="clear"/>
            <w:vAlign w:val="center"/>
          </w:tcPr>
          <w:p>
            <w:pPr>
              <w:pStyle w:val="TableContents"/>
              <w:bidi w:val="0"/>
              <w:spacing w:before="0" w:after="283"/>
              <w:jc w:val="left"/>
              <w:rPr/>
            </w:pPr>
            <w:r>
              <w:rPr/>
              <w:t>​</w:t>
            </w:r>
          </w:p>
        </w:tc>
        <w:tc>
          <w:tcPr>
            <w:tcW w:w="109" w:type="dxa"/>
            <w:vMerge w:val="restart"/>
            <w:tcBorders/>
            <w:shd w:fill="BAD8EA" w:val="clear"/>
            <w:vAlign w:val="center"/>
          </w:tcPr>
          <w:p>
            <w:pPr>
              <w:pStyle w:val="TableContents"/>
              <w:bidi w:val="0"/>
              <w:spacing w:before="0" w:after="283"/>
              <w:jc w:val="left"/>
              <w:rPr/>
            </w:pPr>
            <w:r>
              <w:rPr/>
              <w:t>​</w:t>
            </w:r>
          </w:p>
        </w:tc>
        <w:tc>
          <w:tcPr>
            <w:tcW w:w="1471" w:type="dxa"/>
            <w:gridSpan w:val="4"/>
            <w:vMerge w:val="restart"/>
            <w:tcBorders/>
            <w:shd w:fill="BAD8EA" w:val="clear"/>
            <w:vAlign w:val="center"/>
          </w:tcPr>
          <w:p>
            <w:pPr>
              <w:pStyle w:val="TableContents"/>
              <w:bidi w:val="0"/>
              <w:spacing w:lineRule="atLeast" w:line="142" w:before="0" w:after="0"/>
              <w:jc w:val="center"/>
              <w:rPr/>
            </w:pPr>
            <w:r>
              <w:rPr>
                <w:spacing w:val="0"/>
              </w:rPr>
              <w:t xml:space="preserve">Average </w:t>
              <w:br/>
              <w:t xml:space="preserve">Compensation </w:t>
              <w:br/>
              <w:t xml:space="preserve">Actually Paid </w:t>
              <w:br/>
              <w:t xml:space="preserve">to Non-PEO </w:t>
              <w:br/>
              <w:t>NEOs</w:t>
            </w:r>
            <w:r>
              <w:rPr/>
              <w:t xml:space="preserve"> </w:t>
              <w:br/>
            </w:r>
            <w:r>
              <w:rPr>
                <w:spacing w:val="-2"/>
              </w:rPr>
              <w:t>($)</w:t>
            </w:r>
            <w:r>
              <w:rPr>
                <w:spacing w:val="-1"/>
                <w:sz w:val="9"/>
              </w:rPr>
              <w:t>(1)(4)</w:t>
            </w:r>
            <w:r>
              <w:rPr/>
              <w:t xml:space="preserve"> </w:t>
            </w:r>
          </w:p>
        </w:tc>
        <w:tc>
          <w:tcPr>
            <w:tcW w:w="109" w:type="dxa"/>
            <w:vMerge w:val="restart"/>
            <w:tcBorders/>
            <w:shd w:fill="BAD8EA" w:val="clear"/>
            <w:vAlign w:val="center"/>
          </w:tcPr>
          <w:p>
            <w:pPr>
              <w:pStyle w:val="TableContents"/>
              <w:bidi w:val="0"/>
              <w:spacing w:before="0" w:after="283"/>
              <w:jc w:val="left"/>
              <w:rPr/>
            </w:pPr>
            <w:r>
              <w:rPr/>
              <w:t>​</w:t>
            </w:r>
          </w:p>
        </w:tc>
        <w:tc>
          <w:tcPr>
            <w:tcW w:w="109" w:type="dxa"/>
            <w:tcBorders>
              <w:bottom w:val="single" w:sz="2" w:space="0" w:color="BAD8EA"/>
            </w:tcBorders>
            <w:shd w:fill="BAD8EA" w:val="clear"/>
            <w:tcMar>
              <w:bottom w:w="28" w:type="dxa"/>
            </w:tcMar>
            <w:vAlign w:val="center"/>
          </w:tcPr>
          <w:p>
            <w:pPr>
              <w:pStyle w:val="TableContents"/>
              <w:bidi w:val="0"/>
              <w:spacing w:before="0" w:after="283"/>
              <w:jc w:val="left"/>
              <w:rPr/>
            </w:pPr>
            <w:r>
              <w:rPr/>
              <w:t>​</w:t>
            </w:r>
          </w:p>
        </w:tc>
        <w:tc>
          <w:tcPr>
            <w:tcW w:w="2710" w:type="dxa"/>
            <w:gridSpan w:val="10"/>
            <w:tcBorders>
              <w:bottom w:val="single" w:sz="2" w:space="0" w:color="CBCAC8"/>
            </w:tcBorders>
            <w:shd w:fill="BAD8EA" w:val="clear"/>
            <w:tcMar>
              <w:bottom w:w="53" w:type="dxa"/>
            </w:tcMar>
            <w:vAlign w:val="center"/>
          </w:tcPr>
          <w:p>
            <w:pPr>
              <w:pStyle w:val="TableContents"/>
              <w:bidi w:val="0"/>
              <w:spacing w:before="0" w:after="0"/>
              <w:jc w:val="center"/>
              <w:rPr>
                <w:spacing w:val="0"/>
              </w:rPr>
            </w:pPr>
            <w:r>
              <w:rPr>
                <w:spacing w:val="0"/>
              </w:rPr>
              <w:t xml:space="preserve">Value of an initial </w:t>
              <w:br/>
              <w:t xml:space="preserve">$100 Investment: </w:t>
            </w:r>
          </w:p>
        </w:tc>
        <w:tc>
          <w:tcPr>
            <w:tcW w:w="109" w:type="dxa"/>
            <w:tcBorders>
              <w:bottom w:val="single" w:sz="2" w:space="0" w:color="BAD8EA"/>
            </w:tcBorders>
            <w:shd w:fill="BAD8EA" w:val="clear"/>
            <w:tcMar>
              <w:bottom w:w="28" w:type="dxa"/>
            </w:tcMar>
            <w:vAlign w:val="center"/>
          </w:tcPr>
          <w:p>
            <w:pPr>
              <w:pStyle w:val="TableContents"/>
              <w:bidi w:val="0"/>
              <w:spacing w:before="0" w:after="283"/>
              <w:jc w:val="left"/>
              <w:rPr/>
            </w:pPr>
            <w:r>
              <w:rPr/>
              <w:t>​</w:t>
            </w:r>
          </w:p>
        </w:tc>
        <w:tc>
          <w:tcPr>
            <w:tcW w:w="109" w:type="dxa"/>
            <w:vMerge w:val="restart"/>
            <w:tcBorders/>
            <w:shd w:fill="BAD8EA" w:val="clear"/>
            <w:vAlign w:val="center"/>
          </w:tcPr>
          <w:p>
            <w:pPr>
              <w:pStyle w:val="TableContents"/>
              <w:bidi w:val="0"/>
              <w:spacing w:before="0" w:after="283"/>
              <w:jc w:val="left"/>
              <w:rPr/>
            </w:pPr>
            <w:r>
              <w:rPr/>
              <w:t>​</w:t>
            </w:r>
          </w:p>
        </w:tc>
        <w:tc>
          <w:tcPr>
            <w:tcW w:w="1288" w:type="dxa"/>
            <w:gridSpan w:val="4"/>
            <w:vMerge w:val="restart"/>
            <w:tcBorders/>
            <w:shd w:fill="BAD8EA" w:val="clear"/>
            <w:vAlign w:val="center"/>
          </w:tcPr>
          <w:p>
            <w:pPr>
              <w:pStyle w:val="TableContents"/>
              <w:bidi w:val="0"/>
              <w:spacing w:lineRule="atLeast" w:line="142" w:before="0" w:after="0"/>
              <w:jc w:val="center"/>
              <w:rPr/>
            </w:pPr>
            <w:r>
              <w:rPr>
                <w:spacing w:val="0"/>
              </w:rPr>
              <w:t xml:space="preserve">Net Income </w:t>
              <w:br/>
              <w:t xml:space="preserve">(Loss) </w:t>
              <w:br/>
              <w:t>(thousand)</w:t>
            </w:r>
            <w:r>
              <w:rPr/>
              <w:t xml:space="preserve"> </w:t>
              <w:br/>
            </w:r>
            <w:r>
              <w:rPr>
                <w:spacing w:val="-2"/>
              </w:rPr>
              <w:t>($)</w:t>
            </w:r>
            <w:r>
              <w:rPr>
                <w:spacing w:val="-1"/>
                <w:sz w:val="9"/>
              </w:rPr>
              <w:t>(7)</w:t>
            </w:r>
            <w:r>
              <w:rPr/>
              <w:t xml:space="preserve"> </w:t>
            </w:r>
          </w:p>
        </w:tc>
        <w:tc>
          <w:tcPr>
            <w:tcW w:w="109" w:type="dxa"/>
            <w:vMerge w:val="restart"/>
            <w:tcBorders/>
            <w:shd w:fill="BAD8EA" w:val="clear"/>
            <w:vAlign w:val="center"/>
          </w:tcPr>
          <w:p>
            <w:pPr>
              <w:pStyle w:val="TableContents"/>
              <w:bidi w:val="0"/>
              <w:spacing w:before="0" w:after="283"/>
              <w:jc w:val="left"/>
              <w:rPr/>
            </w:pPr>
            <w:r>
              <w:rPr/>
              <w:t>​</w:t>
            </w:r>
          </w:p>
        </w:tc>
        <w:tc>
          <w:tcPr>
            <w:tcW w:w="109" w:type="dxa"/>
            <w:vMerge w:val="restart"/>
            <w:tcBorders/>
            <w:shd w:fill="BAD8EA" w:val="clear"/>
            <w:vAlign w:val="center"/>
          </w:tcPr>
          <w:p>
            <w:pPr>
              <w:pStyle w:val="TableContents"/>
              <w:bidi w:val="0"/>
              <w:spacing w:before="0" w:after="283"/>
              <w:jc w:val="left"/>
              <w:rPr/>
            </w:pPr>
            <w:r>
              <w:rPr/>
              <w:t>​</w:t>
            </w:r>
          </w:p>
        </w:tc>
        <w:tc>
          <w:tcPr>
            <w:tcW w:w="1288" w:type="dxa"/>
            <w:gridSpan w:val="4"/>
            <w:vMerge w:val="restart"/>
            <w:tcBorders/>
            <w:shd w:fill="BAD8EA" w:val="clear"/>
            <w:vAlign w:val="center"/>
          </w:tcPr>
          <w:p>
            <w:pPr>
              <w:pStyle w:val="TableContents"/>
              <w:bidi w:val="0"/>
              <w:spacing w:lineRule="atLeast" w:line="142" w:before="0" w:after="0"/>
              <w:jc w:val="center"/>
              <w:rPr/>
            </w:pPr>
            <w:r>
              <w:rPr>
                <w:spacing w:val="0"/>
              </w:rPr>
              <w:t xml:space="preserve">Total </w:t>
              <w:br/>
              <w:t>Segment</w:t>
            </w:r>
            <w:r>
              <w:rPr/>
              <w:t xml:space="preserve"> </w:t>
              <w:br/>
            </w:r>
            <w:r>
              <w:rPr>
                <w:spacing w:val="-2"/>
              </w:rPr>
              <w:t xml:space="preserve">EBT </w:t>
            </w:r>
            <w:r>
              <w:rPr/>
              <w:br/>
            </w:r>
            <w:r>
              <w:rPr>
                <w:spacing w:val="0"/>
              </w:rPr>
              <w:t>(thousand)</w:t>
            </w:r>
            <w:r>
              <w:rPr/>
              <w:t xml:space="preserve"> </w:t>
              <w:br/>
            </w:r>
            <w:r>
              <w:rPr>
                <w:spacing w:val="-2"/>
              </w:rPr>
              <w:t>($)</w:t>
            </w:r>
            <w:r>
              <w:rPr>
                <w:spacing w:val="-1"/>
                <w:sz w:val="9"/>
              </w:rPr>
              <w:t>(8)</w:t>
            </w:r>
            <w:r>
              <w:rPr/>
              <w:t xml:space="preserve"> </w:t>
            </w:r>
          </w:p>
        </w:tc>
        <w:tc>
          <w:tcPr>
            <w:tcW w:w="154" w:type="dxa"/>
            <w:vMerge w:val="restart"/>
            <w:tcBorders/>
            <w:shd w:fill="BAD8EA" w:val="clear"/>
            <w:vAlign w:val="center"/>
          </w:tcPr>
          <w:p>
            <w:pPr>
              <w:pStyle w:val="TableContents"/>
              <w:bidi w:val="0"/>
              <w:spacing w:before="0" w:after="283"/>
              <w:jc w:val="left"/>
              <w:rPr/>
            </w:pPr>
            <w:r>
              <w:rPr/>
              <w:t>​</w:t>
            </w:r>
          </w:p>
        </w:tc>
      </w:tr>
      <w:tr>
        <w:trPr/>
        <w:tc>
          <w:tcPr>
            <w:tcW w:w="124" w:type="dxa"/>
            <w:vMerge w:val="continue"/>
            <w:tcBorders/>
            <w:shd w:fill="BAD8EA" w:val="clear"/>
            <w:vAlign w:val="center"/>
          </w:tcPr>
          <w:p>
            <w:pPr>
              <w:pStyle w:val="Normal"/>
              <w:bidi w:val="0"/>
              <w:jc w:val="left"/>
              <w:rPr/>
            </w:pPr>
            <w:r>
              <w:rPr/>
            </w:r>
          </w:p>
        </w:tc>
        <w:tc>
          <w:tcPr>
            <w:tcW w:w="661" w:type="dxa"/>
            <w:vMerge w:val="continue"/>
            <w:tcBorders/>
            <w:shd w:fill="BAD8EA" w:val="clear"/>
            <w:vAlign w:val="center"/>
          </w:tcPr>
          <w:p>
            <w:pPr>
              <w:pStyle w:val="Normal"/>
              <w:bidi w:val="0"/>
              <w:jc w:val="left"/>
              <w:rPr/>
            </w:pPr>
            <w:r>
              <w:rPr/>
            </w:r>
          </w:p>
        </w:tc>
        <w:tc>
          <w:tcPr>
            <w:tcW w:w="109" w:type="dxa"/>
            <w:vMerge w:val="continue"/>
            <w:tcBorders/>
            <w:shd w:fill="BAD8EA" w:val="clear"/>
            <w:vAlign w:val="center"/>
          </w:tcPr>
          <w:p>
            <w:pPr>
              <w:pStyle w:val="Normal"/>
              <w:bidi w:val="0"/>
              <w:jc w:val="left"/>
              <w:rPr/>
            </w:pPr>
            <w:r>
              <w:rPr/>
            </w:r>
          </w:p>
        </w:tc>
        <w:tc>
          <w:tcPr>
            <w:tcW w:w="109" w:type="dxa"/>
            <w:vMerge w:val="continue"/>
            <w:tcBorders/>
            <w:shd w:fill="BAD8EA" w:val="clear"/>
            <w:vAlign w:val="center"/>
          </w:tcPr>
          <w:p>
            <w:pPr>
              <w:pStyle w:val="Normal"/>
              <w:bidi w:val="0"/>
              <w:jc w:val="left"/>
              <w:rPr/>
            </w:pPr>
            <w:r>
              <w:rPr/>
            </w:r>
          </w:p>
        </w:tc>
        <w:tc>
          <w:tcPr>
            <w:tcW w:w="1471" w:type="dxa"/>
            <w:gridSpan w:val="4"/>
            <w:vMerge w:val="continue"/>
            <w:tcBorders/>
            <w:shd w:fill="BAD8EA" w:val="clear"/>
            <w:vAlign w:val="center"/>
          </w:tcPr>
          <w:p>
            <w:pPr>
              <w:pStyle w:val="Normal"/>
              <w:bidi w:val="0"/>
              <w:jc w:val="left"/>
              <w:rPr/>
            </w:pPr>
            <w:r>
              <w:rPr/>
            </w:r>
          </w:p>
        </w:tc>
        <w:tc>
          <w:tcPr>
            <w:tcW w:w="109" w:type="dxa"/>
            <w:vMerge w:val="continue"/>
            <w:tcBorders/>
            <w:shd w:fill="BAD8EA" w:val="clear"/>
            <w:vAlign w:val="center"/>
          </w:tcPr>
          <w:p>
            <w:pPr>
              <w:pStyle w:val="Normal"/>
              <w:bidi w:val="0"/>
              <w:jc w:val="left"/>
              <w:rPr/>
            </w:pPr>
            <w:r>
              <w:rPr/>
            </w:r>
          </w:p>
        </w:tc>
        <w:tc>
          <w:tcPr>
            <w:tcW w:w="109" w:type="dxa"/>
            <w:vMerge w:val="continue"/>
            <w:tcBorders/>
            <w:shd w:fill="BAD8EA" w:val="clear"/>
            <w:vAlign w:val="center"/>
          </w:tcPr>
          <w:p>
            <w:pPr>
              <w:pStyle w:val="Normal"/>
              <w:bidi w:val="0"/>
              <w:jc w:val="left"/>
              <w:rPr/>
            </w:pPr>
            <w:r>
              <w:rPr/>
            </w:r>
          </w:p>
        </w:tc>
        <w:tc>
          <w:tcPr>
            <w:tcW w:w="1471" w:type="dxa"/>
            <w:gridSpan w:val="4"/>
            <w:vMerge w:val="continue"/>
            <w:tcBorders/>
            <w:shd w:fill="BAD8EA" w:val="clear"/>
            <w:vAlign w:val="center"/>
          </w:tcPr>
          <w:p>
            <w:pPr>
              <w:pStyle w:val="Normal"/>
              <w:bidi w:val="0"/>
              <w:jc w:val="left"/>
              <w:rPr/>
            </w:pPr>
            <w:r>
              <w:rPr/>
            </w:r>
          </w:p>
        </w:tc>
        <w:tc>
          <w:tcPr>
            <w:tcW w:w="109" w:type="dxa"/>
            <w:vMerge w:val="continue"/>
            <w:tcBorders/>
            <w:shd w:fill="BAD8EA" w:val="clear"/>
            <w:vAlign w:val="center"/>
          </w:tcPr>
          <w:p>
            <w:pPr>
              <w:pStyle w:val="Normal"/>
              <w:bidi w:val="0"/>
              <w:jc w:val="left"/>
              <w:rPr/>
            </w:pPr>
            <w:r>
              <w:rPr/>
            </w:r>
          </w:p>
        </w:tc>
        <w:tc>
          <w:tcPr>
            <w:tcW w:w="109" w:type="dxa"/>
            <w:vMerge w:val="continue"/>
            <w:tcBorders/>
            <w:shd w:fill="BAD8EA" w:val="clear"/>
            <w:vAlign w:val="center"/>
          </w:tcPr>
          <w:p>
            <w:pPr>
              <w:pStyle w:val="Normal"/>
              <w:bidi w:val="0"/>
              <w:jc w:val="left"/>
              <w:rPr/>
            </w:pPr>
            <w:r>
              <w:rPr/>
            </w:r>
          </w:p>
        </w:tc>
        <w:tc>
          <w:tcPr>
            <w:tcW w:w="1471" w:type="dxa"/>
            <w:gridSpan w:val="4"/>
            <w:vMerge w:val="continue"/>
            <w:tcBorders/>
            <w:shd w:fill="BAD8EA" w:val="clear"/>
            <w:vAlign w:val="center"/>
          </w:tcPr>
          <w:p>
            <w:pPr>
              <w:pStyle w:val="Normal"/>
              <w:bidi w:val="0"/>
              <w:jc w:val="left"/>
              <w:rPr/>
            </w:pPr>
            <w:r>
              <w:rPr/>
            </w:r>
          </w:p>
        </w:tc>
        <w:tc>
          <w:tcPr>
            <w:tcW w:w="109" w:type="dxa"/>
            <w:vMerge w:val="continue"/>
            <w:tcBorders/>
            <w:shd w:fill="BAD8EA" w:val="clear"/>
            <w:vAlign w:val="center"/>
          </w:tcPr>
          <w:p>
            <w:pPr>
              <w:pStyle w:val="Normal"/>
              <w:bidi w:val="0"/>
              <w:jc w:val="left"/>
              <w:rPr/>
            </w:pPr>
            <w:r>
              <w:rPr/>
            </w:r>
          </w:p>
        </w:tc>
        <w:tc>
          <w:tcPr>
            <w:tcW w:w="109" w:type="dxa"/>
            <w:vMerge w:val="continue"/>
            <w:tcBorders/>
            <w:shd w:fill="BAD8EA" w:val="clear"/>
            <w:vAlign w:val="center"/>
          </w:tcPr>
          <w:p>
            <w:pPr>
              <w:pStyle w:val="Normal"/>
              <w:bidi w:val="0"/>
              <w:jc w:val="left"/>
              <w:rPr/>
            </w:pPr>
            <w:r>
              <w:rPr/>
            </w:r>
          </w:p>
        </w:tc>
        <w:tc>
          <w:tcPr>
            <w:tcW w:w="1471" w:type="dxa"/>
            <w:gridSpan w:val="4"/>
            <w:vMerge w:val="continue"/>
            <w:tcBorders/>
            <w:shd w:fill="BAD8EA" w:val="clear"/>
            <w:vAlign w:val="center"/>
          </w:tcPr>
          <w:p>
            <w:pPr>
              <w:pStyle w:val="Normal"/>
              <w:bidi w:val="0"/>
              <w:jc w:val="left"/>
              <w:rPr/>
            </w:pPr>
            <w:r>
              <w:rPr/>
            </w:r>
          </w:p>
        </w:tc>
        <w:tc>
          <w:tcPr>
            <w:tcW w:w="109" w:type="dxa"/>
            <w:vMerge w:val="continue"/>
            <w:tcBorders/>
            <w:shd w:fill="BAD8EA" w:val="clear"/>
            <w:vAlign w:val="center"/>
          </w:tcPr>
          <w:p>
            <w:pPr>
              <w:pStyle w:val="Normal"/>
              <w:bidi w:val="0"/>
              <w:jc w:val="left"/>
              <w:rPr/>
            </w:pPr>
            <w:r>
              <w:rPr/>
            </w:r>
          </w:p>
        </w:tc>
        <w:tc>
          <w:tcPr>
            <w:tcW w:w="109" w:type="dxa"/>
            <w:tcBorders/>
            <w:shd w:fill="BAD8EA" w:val="clear"/>
            <w:vAlign w:val="center"/>
          </w:tcPr>
          <w:p>
            <w:pPr>
              <w:pStyle w:val="TableContents"/>
              <w:bidi w:val="0"/>
              <w:spacing w:before="0" w:after="283"/>
              <w:jc w:val="left"/>
              <w:rPr/>
            </w:pPr>
            <w:r>
              <w:rPr/>
              <w:t>​</w:t>
            </w:r>
          </w:p>
        </w:tc>
        <w:tc>
          <w:tcPr>
            <w:tcW w:w="1246" w:type="dxa"/>
            <w:gridSpan w:val="4"/>
            <w:tcBorders/>
            <w:shd w:fill="BAD8EA" w:val="clear"/>
            <w:vAlign w:val="center"/>
          </w:tcPr>
          <w:p>
            <w:pPr>
              <w:pStyle w:val="TableContents"/>
              <w:bidi w:val="0"/>
              <w:spacing w:lineRule="atLeast" w:line="142" w:before="0" w:after="0"/>
              <w:jc w:val="center"/>
              <w:rPr/>
            </w:pPr>
            <w:r>
              <w:rPr>
                <w:spacing w:val="0"/>
              </w:rPr>
              <w:t xml:space="preserve">Total </w:t>
              <w:br/>
              <w:t xml:space="preserve">Shareholder </w:t>
              <w:br/>
              <w:t>Return</w:t>
            </w:r>
            <w:r>
              <w:rPr/>
              <w:t xml:space="preserve"> </w:t>
              <w:br/>
            </w:r>
            <w:r>
              <w:rPr>
                <w:spacing w:val="-2"/>
              </w:rPr>
              <w:t>($)</w:t>
            </w:r>
            <w:r>
              <w:rPr>
                <w:spacing w:val="-1"/>
                <w:sz w:val="9"/>
              </w:rPr>
              <w:t>(5)</w:t>
            </w:r>
            <w:r>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246" w:type="dxa"/>
            <w:gridSpan w:val="4"/>
            <w:tcBorders/>
            <w:shd w:fill="BAD8EA" w:val="clear"/>
            <w:vAlign w:val="center"/>
          </w:tcPr>
          <w:p>
            <w:pPr>
              <w:pStyle w:val="TableContents"/>
              <w:bidi w:val="0"/>
              <w:spacing w:lineRule="atLeast" w:line="142" w:before="0" w:after="0"/>
              <w:jc w:val="center"/>
              <w:rPr/>
            </w:pPr>
            <w:r>
              <w:rPr>
                <w:spacing w:val="0"/>
              </w:rPr>
              <w:t xml:space="preserve">Peer Group </w:t>
              <w:br/>
              <w:t xml:space="preserve">Total </w:t>
              <w:br/>
              <w:t xml:space="preserve">Shareholder </w:t>
              <w:br/>
              <w:t>Return</w:t>
            </w:r>
            <w:r>
              <w:rPr/>
              <w:t xml:space="preserve"> </w:t>
              <w:br/>
            </w:r>
            <w:r>
              <w:rPr>
                <w:spacing w:val="-2"/>
              </w:rPr>
              <w:t>($)</w:t>
            </w:r>
            <w:r>
              <w:rPr>
                <w:spacing w:val="-1"/>
                <w:sz w:val="9"/>
              </w:rPr>
              <w:t>(6)</w:t>
            </w:r>
            <w:r>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vMerge w:val="continue"/>
            <w:tcBorders/>
            <w:shd w:fill="BAD8EA" w:val="clear"/>
            <w:vAlign w:val="center"/>
          </w:tcPr>
          <w:p>
            <w:pPr>
              <w:pStyle w:val="Normal"/>
              <w:bidi w:val="0"/>
              <w:jc w:val="left"/>
              <w:rPr/>
            </w:pPr>
            <w:r>
              <w:rPr/>
            </w:r>
          </w:p>
        </w:tc>
        <w:tc>
          <w:tcPr>
            <w:tcW w:w="1288" w:type="dxa"/>
            <w:gridSpan w:val="4"/>
            <w:vMerge w:val="continue"/>
            <w:tcBorders/>
            <w:shd w:fill="BAD8EA" w:val="clear"/>
            <w:vAlign w:val="center"/>
          </w:tcPr>
          <w:p>
            <w:pPr>
              <w:pStyle w:val="Normal"/>
              <w:bidi w:val="0"/>
              <w:jc w:val="left"/>
              <w:rPr/>
            </w:pPr>
            <w:r>
              <w:rPr/>
            </w:r>
          </w:p>
        </w:tc>
        <w:tc>
          <w:tcPr>
            <w:tcW w:w="109" w:type="dxa"/>
            <w:vMerge w:val="continue"/>
            <w:tcBorders/>
            <w:shd w:fill="BAD8EA" w:val="clear"/>
            <w:vAlign w:val="center"/>
          </w:tcPr>
          <w:p>
            <w:pPr>
              <w:pStyle w:val="Normal"/>
              <w:bidi w:val="0"/>
              <w:jc w:val="left"/>
              <w:rPr/>
            </w:pPr>
            <w:r>
              <w:rPr/>
            </w:r>
          </w:p>
        </w:tc>
        <w:tc>
          <w:tcPr>
            <w:tcW w:w="109" w:type="dxa"/>
            <w:vMerge w:val="continue"/>
            <w:tcBorders/>
            <w:shd w:fill="BAD8EA" w:val="clear"/>
            <w:vAlign w:val="center"/>
          </w:tcPr>
          <w:p>
            <w:pPr>
              <w:pStyle w:val="Normal"/>
              <w:bidi w:val="0"/>
              <w:jc w:val="left"/>
              <w:rPr/>
            </w:pPr>
            <w:r>
              <w:rPr/>
            </w:r>
          </w:p>
        </w:tc>
        <w:tc>
          <w:tcPr>
            <w:tcW w:w="1288" w:type="dxa"/>
            <w:gridSpan w:val="4"/>
            <w:vMerge w:val="continue"/>
            <w:tcBorders/>
            <w:shd w:fill="BAD8EA" w:val="clear"/>
            <w:vAlign w:val="center"/>
          </w:tcPr>
          <w:p>
            <w:pPr>
              <w:pStyle w:val="Normal"/>
              <w:bidi w:val="0"/>
              <w:jc w:val="left"/>
              <w:rPr/>
            </w:pPr>
            <w:r>
              <w:rPr/>
            </w:r>
          </w:p>
        </w:tc>
        <w:tc>
          <w:tcPr>
            <w:tcW w:w="154" w:type="dxa"/>
            <w:vMerge w:val="continue"/>
            <w:tcBorders/>
            <w:shd w:fill="BAD8EA" w:val="clear"/>
            <w:vAlign w:val="center"/>
          </w:tcPr>
          <w:p>
            <w:pPr>
              <w:pStyle w:val="Normal"/>
              <w:bidi w:val="0"/>
              <w:jc w:val="left"/>
              <w:rPr/>
            </w:pPr>
            <w:r>
              <w:rPr/>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61" w:type="dxa"/>
            <w:tcBorders>
              <w:bottom w:val="single" w:sz="2" w:space="0" w:color="CBCAC8"/>
            </w:tcBorders>
            <w:tcMar>
              <w:bottom w:w="59" w:type="dxa"/>
            </w:tcMar>
            <w:vAlign w:val="center"/>
          </w:tcPr>
          <w:p>
            <w:pPr>
              <w:pStyle w:val="TableContents"/>
              <w:bidi w:val="0"/>
              <w:spacing w:before="0" w:after="0"/>
              <w:jc w:val="left"/>
              <w:rPr>
                <w:b/>
              </w:rPr>
            </w:pPr>
            <w:r>
              <w:rPr>
                <w:b/>
                <w:spacing w:val="-2"/>
              </w:rPr>
              <w:t>2025</w:t>
            </w:r>
            <w:r>
              <w:rPr>
                <w:b/>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59" w:type="dxa"/>
            </w:tcMar>
            <w:vAlign w:val="center"/>
          </w:tcPr>
          <w:p>
            <w:pPr>
              <w:pStyle w:val="TableContents"/>
              <w:bidi w:val="0"/>
              <w:spacing w:before="0" w:after="283"/>
              <w:jc w:val="right"/>
              <w:rPr/>
            </w:pPr>
            <w:r>
              <w:rPr/>
              <w:t>​</w:t>
            </w:r>
          </w:p>
        </w:tc>
        <w:tc>
          <w:tcPr>
            <w:tcW w:w="1125" w:type="dxa"/>
            <w:tcBorders>
              <w:bottom w:val="single" w:sz="2" w:space="0" w:color="CBCAC8"/>
            </w:tcBorders>
            <w:tcMar>
              <w:bottom w:w="59" w:type="dxa"/>
            </w:tcMar>
            <w:vAlign w:val="center"/>
          </w:tcPr>
          <w:p>
            <w:pPr>
              <w:pStyle w:val="TableContents"/>
              <w:bidi w:val="0"/>
              <w:spacing w:before="0" w:after="283"/>
              <w:jc w:val="right"/>
              <w:rPr/>
            </w:pPr>
            <w:r>
              <w:rPr/>
              <w:t>7,826,778</w:t>
            </w:r>
          </w:p>
        </w:tc>
        <w:tc>
          <w:tcPr>
            <w:tcW w:w="11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59" w:type="dxa"/>
            </w:tcMar>
            <w:vAlign w:val="center"/>
          </w:tcPr>
          <w:p>
            <w:pPr>
              <w:pStyle w:val="TableContents"/>
              <w:bidi w:val="0"/>
              <w:spacing w:before="0" w:after="283"/>
              <w:jc w:val="right"/>
              <w:rPr/>
            </w:pPr>
            <w:r>
              <w:rPr/>
              <w:t>​</w:t>
            </w:r>
          </w:p>
        </w:tc>
        <w:tc>
          <w:tcPr>
            <w:tcW w:w="1125" w:type="dxa"/>
            <w:tcBorders>
              <w:bottom w:val="single" w:sz="2" w:space="0" w:color="CBCAC8"/>
            </w:tcBorders>
            <w:tcMar>
              <w:bottom w:w="59" w:type="dxa"/>
            </w:tcMar>
            <w:vAlign w:val="center"/>
          </w:tcPr>
          <w:p>
            <w:pPr>
              <w:pStyle w:val="TableContents"/>
              <w:bidi w:val="0"/>
              <w:spacing w:before="0" w:after="283"/>
              <w:jc w:val="right"/>
              <w:rPr/>
            </w:pPr>
            <w:r>
              <w:rPr/>
              <w:t>6,366,790</w:t>
            </w:r>
          </w:p>
        </w:tc>
        <w:tc>
          <w:tcPr>
            <w:tcW w:w="11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59" w:type="dxa"/>
            </w:tcMar>
            <w:vAlign w:val="center"/>
          </w:tcPr>
          <w:p>
            <w:pPr>
              <w:pStyle w:val="TableContents"/>
              <w:bidi w:val="0"/>
              <w:spacing w:before="0" w:after="283"/>
              <w:jc w:val="right"/>
              <w:rPr/>
            </w:pPr>
            <w:r>
              <w:rPr/>
              <w:t>​</w:t>
            </w:r>
          </w:p>
        </w:tc>
        <w:tc>
          <w:tcPr>
            <w:tcW w:w="1125" w:type="dxa"/>
            <w:tcBorders>
              <w:bottom w:val="single" w:sz="2" w:space="0" w:color="CBCAC8"/>
            </w:tcBorders>
            <w:tcMar>
              <w:bottom w:w="59" w:type="dxa"/>
            </w:tcMar>
            <w:vAlign w:val="center"/>
          </w:tcPr>
          <w:p>
            <w:pPr>
              <w:pStyle w:val="TableContents"/>
              <w:bidi w:val="0"/>
              <w:spacing w:before="0" w:after="283"/>
              <w:jc w:val="right"/>
              <w:rPr/>
            </w:pPr>
            <w:r>
              <w:rPr/>
              <w:t>3,216,874</w:t>
            </w:r>
          </w:p>
        </w:tc>
        <w:tc>
          <w:tcPr>
            <w:tcW w:w="11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59" w:type="dxa"/>
            </w:tcMar>
            <w:vAlign w:val="center"/>
          </w:tcPr>
          <w:p>
            <w:pPr>
              <w:pStyle w:val="TableContents"/>
              <w:bidi w:val="0"/>
              <w:spacing w:before="0" w:after="283"/>
              <w:jc w:val="right"/>
              <w:rPr/>
            </w:pPr>
            <w:r>
              <w:rPr/>
              <w:t>​</w:t>
            </w:r>
          </w:p>
        </w:tc>
        <w:tc>
          <w:tcPr>
            <w:tcW w:w="1125" w:type="dxa"/>
            <w:tcBorders>
              <w:bottom w:val="single" w:sz="2" w:space="0" w:color="CBCAC8"/>
            </w:tcBorders>
            <w:tcMar>
              <w:bottom w:w="59" w:type="dxa"/>
            </w:tcMar>
            <w:vAlign w:val="center"/>
          </w:tcPr>
          <w:p>
            <w:pPr>
              <w:pStyle w:val="TableContents"/>
              <w:bidi w:val="0"/>
              <w:spacing w:before="0" w:after="283"/>
              <w:jc w:val="right"/>
              <w:rPr/>
            </w:pPr>
            <w:r>
              <w:rPr/>
              <w:t>2,740,948</w:t>
            </w:r>
          </w:p>
        </w:tc>
        <w:tc>
          <w:tcPr>
            <w:tcW w:w="11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124" w:type="dxa"/>
            <w:tcBorders>
              <w:bottom w:val="single" w:sz="2" w:space="0" w:color="CBCAC8"/>
            </w:tcBorders>
            <w:tcMar>
              <w:bottom w:w="59" w:type="dxa"/>
            </w:tcMar>
            <w:vAlign w:val="center"/>
          </w:tcPr>
          <w:p>
            <w:pPr>
              <w:pStyle w:val="TableContents"/>
              <w:bidi w:val="0"/>
              <w:spacing w:before="0" w:after="283"/>
              <w:jc w:val="right"/>
              <w:rPr/>
            </w:pPr>
            <w:r>
              <w:rPr/>
              <w:t>​</w:t>
            </w:r>
          </w:p>
        </w:tc>
        <w:tc>
          <w:tcPr>
            <w:tcW w:w="873" w:type="dxa"/>
            <w:tcBorders>
              <w:bottom w:val="single" w:sz="2" w:space="0" w:color="CBCAC8"/>
            </w:tcBorders>
            <w:tcMar>
              <w:bottom w:w="59" w:type="dxa"/>
            </w:tcMar>
            <w:vAlign w:val="center"/>
          </w:tcPr>
          <w:p>
            <w:pPr>
              <w:pStyle w:val="TableContents"/>
              <w:bidi w:val="0"/>
              <w:spacing w:before="0" w:after="283"/>
              <w:jc w:val="right"/>
              <w:rPr/>
            </w:pPr>
            <w:r>
              <w:rPr/>
              <w:t>106.07</w:t>
            </w:r>
          </w:p>
        </w:tc>
        <w:tc>
          <w:tcPr>
            <w:tcW w:w="125"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124" w:type="dxa"/>
            <w:tcBorders>
              <w:bottom w:val="single" w:sz="2" w:space="0" w:color="CBCAC8"/>
            </w:tcBorders>
            <w:tcMar>
              <w:bottom w:w="59" w:type="dxa"/>
            </w:tcMar>
            <w:vAlign w:val="center"/>
          </w:tcPr>
          <w:p>
            <w:pPr>
              <w:pStyle w:val="TableContents"/>
              <w:bidi w:val="0"/>
              <w:spacing w:before="0" w:after="283"/>
              <w:jc w:val="right"/>
              <w:rPr/>
            </w:pPr>
            <w:r>
              <w:rPr/>
              <w:t>​</w:t>
            </w:r>
          </w:p>
        </w:tc>
        <w:tc>
          <w:tcPr>
            <w:tcW w:w="873" w:type="dxa"/>
            <w:tcBorders>
              <w:bottom w:val="single" w:sz="2" w:space="0" w:color="CBCAC8"/>
            </w:tcBorders>
            <w:tcMar>
              <w:bottom w:w="59" w:type="dxa"/>
            </w:tcMar>
            <w:vAlign w:val="center"/>
          </w:tcPr>
          <w:p>
            <w:pPr>
              <w:pStyle w:val="TableContents"/>
              <w:bidi w:val="0"/>
              <w:spacing w:before="0" w:after="283"/>
              <w:jc w:val="right"/>
              <w:rPr/>
            </w:pPr>
            <w:r>
              <w:rPr/>
              <w:t>131.72</w:t>
            </w:r>
          </w:p>
        </w:tc>
        <w:tc>
          <w:tcPr>
            <w:tcW w:w="125"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9" w:type="dxa"/>
            </w:tcMar>
            <w:vAlign w:val="center"/>
          </w:tcPr>
          <w:p>
            <w:pPr>
              <w:pStyle w:val="TableContents"/>
              <w:bidi w:val="0"/>
              <w:spacing w:before="0" w:after="283"/>
              <w:jc w:val="right"/>
              <w:rPr/>
            </w:pPr>
            <w:r>
              <w:rPr/>
              <w:t>​</w:t>
            </w:r>
          </w:p>
        </w:tc>
        <w:tc>
          <w:tcPr>
            <w:tcW w:w="961" w:type="dxa"/>
            <w:tcBorders>
              <w:bottom w:val="single" w:sz="2" w:space="0" w:color="CBCAC8"/>
            </w:tcBorders>
            <w:tcMar>
              <w:bottom w:w="59" w:type="dxa"/>
            </w:tcMar>
            <w:vAlign w:val="center"/>
          </w:tcPr>
          <w:p>
            <w:pPr>
              <w:pStyle w:val="TableContents"/>
              <w:bidi w:val="0"/>
              <w:spacing w:before="0" w:after="283"/>
              <w:jc w:val="right"/>
              <w:rPr/>
            </w:pPr>
            <w:r>
              <w:rPr/>
              <w:t>123,843</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9" w:type="dxa"/>
            </w:tcMar>
            <w:vAlign w:val="center"/>
          </w:tcPr>
          <w:p>
            <w:pPr>
              <w:pStyle w:val="TableContents"/>
              <w:bidi w:val="0"/>
              <w:spacing w:before="0" w:after="283"/>
              <w:jc w:val="right"/>
              <w:rPr/>
            </w:pPr>
            <w:r>
              <w:rPr/>
              <w:t>​</w:t>
            </w:r>
          </w:p>
        </w:tc>
        <w:tc>
          <w:tcPr>
            <w:tcW w:w="961" w:type="dxa"/>
            <w:tcBorders>
              <w:bottom w:val="single" w:sz="2" w:space="0" w:color="CBCAC8"/>
            </w:tcBorders>
            <w:tcMar>
              <w:bottom w:w="59" w:type="dxa"/>
            </w:tcMar>
            <w:vAlign w:val="center"/>
          </w:tcPr>
          <w:p>
            <w:pPr>
              <w:pStyle w:val="TableContents"/>
              <w:bidi w:val="0"/>
              <w:spacing w:before="0" w:after="283"/>
              <w:jc w:val="right"/>
              <w:rPr/>
            </w:pPr>
            <w:r>
              <w:rPr/>
              <w:t>434,773</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61" w:type="dxa"/>
            <w:tcBorders>
              <w:bottom w:val="single" w:sz="2" w:space="0" w:color="CBCAC8"/>
            </w:tcBorders>
            <w:tcMar>
              <w:bottom w:w="59" w:type="dxa"/>
            </w:tcMar>
            <w:vAlign w:val="center"/>
          </w:tcPr>
          <w:p>
            <w:pPr>
              <w:pStyle w:val="TableContents"/>
              <w:bidi w:val="0"/>
              <w:spacing w:before="0" w:after="0"/>
              <w:jc w:val="left"/>
              <w:rPr>
                <w:b/>
              </w:rPr>
            </w:pPr>
            <w:r>
              <w:rPr>
                <w:b/>
                <w:spacing w:val="-2"/>
              </w:rPr>
              <w:t>2024</w:t>
            </w:r>
            <w:r>
              <w:rPr>
                <w:b/>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59" w:type="dxa"/>
            </w:tcMar>
            <w:vAlign w:val="center"/>
          </w:tcPr>
          <w:p>
            <w:pPr>
              <w:pStyle w:val="TableContents"/>
              <w:bidi w:val="0"/>
              <w:spacing w:before="0" w:after="283"/>
              <w:jc w:val="right"/>
              <w:rPr/>
            </w:pPr>
            <w:r>
              <w:rPr/>
              <w:t>​</w:t>
            </w:r>
          </w:p>
        </w:tc>
        <w:tc>
          <w:tcPr>
            <w:tcW w:w="1125" w:type="dxa"/>
            <w:tcBorders>
              <w:bottom w:val="single" w:sz="2" w:space="0" w:color="CBCAC8"/>
            </w:tcBorders>
            <w:tcMar>
              <w:bottom w:w="59" w:type="dxa"/>
            </w:tcMar>
            <w:vAlign w:val="center"/>
          </w:tcPr>
          <w:p>
            <w:pPr>
              <w:pStyle w:val="TableContents"/>
              <w:bidi w:val="0"/>
              <w:spacing w:before="0" w:after="283"/>
              <w:jc w:val="right"/>
              <w:rPr/>
            </w:pPr>
            <w:r>
              <w:rPr/>
              <w:t>5,724,877</w:t>
            </w:r>
          </w:p>
        </w:tc>
        <w:tc>
          <w:tcPr>
            <w:tcW w:w="11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59" w:type="dxa"/>
            </w:tcMar>
            <w:vAlign w:val="center"/>
          </w:tcPr>
          <w:p>
            <w:pPr>
              <w:pStyle w:val="TableContents"/>
              <w:bidi w:val="0"/>
              <w:spacing w:before="0" w:after="283"/>
              <w:jc w:val="right"/>
              <w:rPr/>
            </w:pPr>
            <w:r>
              <w:rPr/>
              <w:t>​</w:t>
            </w:r>
          </w:p>
        </w:tc>
        <w:tc>
          <w:tcPr>
            <w:tcW w:w="1125" w:type="dxa"/>
            <w:tcBorders>
              <w:bottom w:val="single" w:sz="2" w:space="0" w:color="CBCAC8"/>
            </w:tcBorders>
            <w:tcMar>
              <w:bottom w:w="59" w:type="dxa"/>
            </w:tcMar>
            <w:vAlign w:val="center"/>
          </w:tcPr>
          <w:p>
            <w:pPr>
              <w:pStyle w:val="TableContents"/>
              <w:bidi w:val="0"/>
              <w:spacing w:before="0" w:after="283"/>
              <w:jc w:val="right"/>
              <w:rPr/>
            </w:pPr>
            <w:r>
              <w:rPr/>
              <w:t>7,704,385</w:t>
            </w:r>
          </w:p>
        </w:tc>
        <w:tc>
          <w:tcPr>
            <w:tcW w:w="11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59" w:type="dxa"/>
            </w:tcMar>
            <w:vAlign w:val="center"/>
          </w:tcPr>
          <w:p>
            <w:pPr>
              <w:pStyle w:val="TableContents"/>
              <w:bidi w:val="0"/>
              <w:spacing w:before="0" w:after="283"/>
              <w:jc w:val="right"/>
              <w:rPr/>
            </w:pPr>
            <w:r>
              <w:rPr/>
              <w:t>​</w:t>
            </w:r>
          </w:p>
        </w:tc>
        <w:tc>
          <w:tcPr>
            <w:tcW w:w="1125" w:type="dxa"/>
            <w:tcBorders>
              <w:bottom w:val="single" w:sz="2" w:space="0" w:color="CBCAC8"/>
            </w:tcBorders>
            <w:tcMar>
              <w:bottom w:w="59" w:type="dxa"/>
            </w:tcMar>
            <w:vAlign w:val="center"/>
          </w:tcPr>
          <w:p>
            <w:pPr>
              <w:pStyle w:val="TableContents"/>
              <w:bidi w:val="0"/>
              <w:spacing w:before="0" w:after="283"/>
              <w:jc w:val="right"/>
              <w:rPr/>
            </w:pPr>
            <w:r>
              <w:rPr/>
              <w:t>2,577,649</w:t>
            </w:r>
          </w:p>
        </w:tc>
        <w:tc>
          <w:tcPr>
            <w:tcW w:w="11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59" w:type="dxa"/>
            </w:tcMar>
            <w:vAlign w:val="center"/>
          </w:tcPr>
          <w:p>
            <w:pPr>
              <w:pStyle w:val="TableContents"/>
              <w:bidi w:val="0"/>
              <w:spacing w:before="0" w:after="283"/>
              <w:jc w:val="right"/>
              <w:rPr/>
            </w:pPr>
            <w:r>
              <w:rPr/>
              <w:t>​</w:t>
            </w:r>
          </w:p>
        </w:tc>
        <w:tc>
          <w:tcPr>
            <w:tcW w:w="1125" w:type="dxa"/>
            <w:tcBorders>
              <w:bottom w:val="single" w:sz="2" w:space="0" w:color="CBCAC8"/>
            </w:tcBorders>
            <w:tcMar>
              <w:bottom w:w="59" w:type="dxa"/>
            </w:tcMar>
            <w:vAlign w:val="center"/>
          </w:tcPr>
          <w:p>
            <w:pPr>
              <w:pStyle w:val="TableContents"/>
              <w:bidi w:val="0"/>
              <w:spacing w:before="0" w:after="283"/>
              <w:jc w:val="right"/>
              <w:rPr/>
            </w:pPr>
            <w:r>
              <w:rPr/>
              <w:t>2,669,830</w:t>
            </w:r>
          </w:p>
        </w:tc>
        <w:tc>
          <w:tcPr>
            <w:tcW w:w="11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124" w:type="dxa"/>
            <w:tcBorders>
              <w:bottom w:val="single" w:sz="2" w:space="0" w:color="CBCAC8"/>
            </w:tcBorders>
            <w:tcMar>
              <w:bottom w:w="59" w:type="dxa"/>
            </w:tcMar>
            <w:vAlign w:val="center"/>
          </w:tcPr>
          <w:p>
            <w:pPr>
              <w:pStyle w:val="TableContents"/>
              <w:bidi w:val="0"/>
              <w:spacing w:before="0" w:after="283"/>
              <w:jc w:val="right"/>
              <w:rPr/>
            </w:pPr>
            <w:r>
              <w:rPr/>
              <w:t>​</w:t>
            </w:r>
          </w:p>
        </w:tc>
        <w:tc>
          <w:tcPr>
            <w:tcW w:w="873" w:type="dxa"/>
            <w:tcBorders>
              <w:bottom w:val="single" w:sz="2" w:space="0" w:color="CBCAC8"/>
            </w:tcBorders>
            <w:tcMar>
              <w:bottom w:w="59" w:type="dxa"/>
            </w:tcMar>
            <w:vAlign w:val="center"/>
          </w:tcPr>
          <w:p>
            <w:pPr>
              <w:pStyle w:val="TableContents"/>
              <w:bidi w:val="0"/>
              <w:spacing w:before="0" w:after="283"/>
              <w:jc w:val="right"/>
              <w:rPr/>
            </w:pPr>
            <w:r>
              <w:rPr/>
              <w:t>102.28</w:t>
            </w:r>
          </w:p>
        </w:tc>
        <w:tc>
          <w:tcPr>
            <w:tcW w:w="125"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124" w:type="dxa"/>
            <w:tcBorders>
              <w:bottom w:val="single" w:sz="2" w:space="0" w:color="CBCAC8"/>
            </w:tcBorders>
            <w:tcMar>
              <w:bottom w:w="59" w:type="dxa"/>
            </w:tcMar>
            <w:vAlign w:val="center"/>
          </w:tcPr>
          <w:p>
            <w:pPr>
              <w:pStyle w:val="TableContents"/>
              <w:bidi w:val="0"/>
              <w:spacing w:before="0" w:after="283"/>
              <w:jc w:val="right"/>
              <w:rPr/>
            </w:pPr>
            <w:r>
              <w:rPr/>
              <w:t>​</w:t>
            </w:r>
          </w:p>
        </w:tc>
        <w:tc>
          <w:tcPr>
            <w:tcW w:w="873" w:type="dxa"/>
            <w:tcBorders>
              <w:bottom w:val="single" w:sz="2" w:space="0" w:color="CBCAC8"/>
            </w:tcBorders>
            <w:tcMar>
              <w:bottom w:w="59" w:type="dxa"/>
            </w:tcMar>
            <w:vAlign w:val="center"/>
          </w:tcPr>
          <w:p>
            <w:pPr>
              <w:pStyle w:val="TableContents"/>
              <w:bidi w:val="0"/>
              <w:spacing w:before="0" w:after="283"/>
              <w:jc w:val="right"/>
              <w:rPr/>
            </w:pPr>
            <w:r>
              <w:rPr/>
              <w:t>127.69</w:t>
            </w:r>
          </w:p>
        </w:tc>
        <w:tc>
          <w:tcPr>
            <w:tcW w:w="125"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9" w:type="dxa"/>
            </w:tcMar>
            <w:vAlign w:val="center"/>
          </w:tcPr>
          <w:p>
            <w:pPr>
              <w:pStyle w:val="TableContents"/>
              <w:bidi w:val="0"/>
              <w:spacing w:before="0" w:after="283"/>
              <w:jc w:val="right"/>
              <w:rPr/>
            </w:pPr>
            <w:r>
              <w:rPr/>
              <w:t>​</w:t>
            </w:r>
          </w:p>
        </w:tc>
        <w:tc>
          <w:tcPr>
            <w:tcW w:w="961" w:type="dxa"/>
            <w:tcBorders>
              <w:bottom w:val="single" w:sz="2" w:space="0" w:color="CBCAC8"/>
            </w:tcBorders>
            <w:tcMar>
              <w:bottom w:w="59" w:type="dxa"/>
            </w:tcMar>
            <w:vAlign w:val="center"/>
          </w:tcPr>
          <w:p>
            <w:pPr>
              <w:pStyle w:val="TableContents"/>
              <w:bidi w:val="0"/>
              <w:spacing w:before="0" w:after="283"/>
              <w:jc w:val="right"/>
              <w:rPr/>
            </w:pPr>
            <w:r>
              <w:rPr/>
              <w:t>196,992</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9" w:type="dxa"/>
            </w:tcMar>
            <w:vAlign w:val="center"/>
          </w:tcPr>
          <w:p>
            <w:pPr>
              <w:pStyle w:val="TableContents"/>
              <w:bidi w:val="0"/>
              <w:spacing w:before="0" w:after="283"/>
              <w:jc w:val="right"/>
              <w:rPr/>
            </w:pPr>
            <w:r>
              <w:rPr/>
              <w:t>​</w:t>
            </w:r>
          </w:p>
        </w:tc>
        <w:tc>
          <w:tcPr>
            <w:tcW w:w="961" w:type="dxa"/>
            <w:tcBorders>
              <w:bottom w:val="single" w:sz="2" w:space="0" w:color="CBCAC8"/>
            </w:tcBorders>
            <w:tcMar>
              <w:bottom w:w="59" w:type="dxa"/>
            </w:tcMar>
            <w:vAlign w:val="center"/>
          </w:tcPr>
          <w:p>
            <w:pPr>
              <w:pStyle w:val="TableContents"/>
              <w:bidi w:val="0"/>
              <w:spacing w:before="0" w:after="283"/>
              <w:jc w:val="right"/>
              <w:rPr/>
            </w:pPr>
            <w:r>
              <w:rPr/>
              <w:t>603,484</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61" w:type="dxa"/>
            <w:tcBorders>
              <w:bottom w:val="single" w:sz="2" w:space="0" w:color="CBCAC8"/>
            </w:tcBorders>
            <w:tcMar>
              <w:bottom w:w="59" w:type="dxa"/>
            </w:tcMar>
            <w:vAlign w:val="center"/>
          </w:tcPr>
          <w:p>
            <w:pPr>
              <w:pStyle w:val="TableContents"/>
              <w:bidi w:val="0"/>
              <w:spacing w:before="0" w:after="0"/>
              <w:jc w:val="left"/>
              <w:rPr>
                <w:b/>
              </w:rPr>
            </w:pPr>
            <w:r>
              <w:rPr>
                <w:b/>
                <w:spacing w:val="-2"/>
              </w:rPr>
              <w:t>2023</w:t>
            </w:r>
            <w:r>
              <w:rPr>
                <w:b/>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59" w:type="dxa"/>
            </w:tcMar>
            <w:vAlign w:val="center"/>
          </w:tcPr>
          <w:p>
            <w:pPr>
              <w:pStyle w:val="TableContents"/>
              <w:bidi w:val="0"/>
              <w:spacing w:before="0" w:after="283"/>
              <w:jc w:val="right"/>
              <w:rPr/>
            </w:pPr>
            <w:r>
              <w:rPr/>
              <w:t>​</w:t>
            </w:r>
          </w:p>
        </w:tc>
        <w:tc>
          <w:tcPr>
            <w:tcW w:w="1125" w:type="dxa"/>
            <w:tcBorders>
              <w:bottom w:val="single" w:sz="2" w:space="0" w:color="CBCAC8"/>
            </w:tcBorders>
            <w:tcMar>
              <w:bottom w:w="59" w:type="dxa"/>
            </w:tcMar>
            <w:vAlign w:val="center"/>
          </w:tcPr>
          <w:p>
            <w:pPr>
              <w:pStyle w:val="TableContents"/>
              <w:bidi w:val="0"/>
              <w:spacing w:before="0" w:after="283"/>
              <w:jc w:val="right"/>
              <w:rPr/>
            </w:pPr>
            <w:r>
              <w:rPr/>
              <w:t>4,966,996</w:t>
            </w:r>
          </w:p>
        </w:tc>
        <w:tc>
          <w:tcPr>
            <w:tcW w:w="11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59" w:type="dxa"/>
            </w:tcMar>
            <w:vAlign w:val="center"/>
          </w:tcPr>
          <w:p>
            <w:pPr>
              <w:pStyle w:val="TableContents"/>
              <w:bidi w:val="0"/>
              <w:spacing w:before="0" w:after="283"/>
              <w:jc w:val="right"/>
              <w:rPr/>
            </w:pPr>
            <w:r>
              <w:rPr/>
              <w:t>​</w:t>
            </w:r>
          </w:p>
        </w:tc>
        <w:tc>
          <w:tcPr>
            <w:tcW w:w="1125" w:type="dxa"/>
            <w:tcBorders>
              <w:bottom w:val="single" w:sz="2" w:space="0" w:color="CBCAC8"/>
            </w:tcBorders>
            <w:tcMar>
              <w:bottom w:w="59" w:type="dxa"/>
            </w:tcMar>
            <w:vAlign w:val="center"/>
          </w:tcPr>
          <w:p>
            <w:pPr>
              <w:pStyle w:val="TableContents"/>
              <w:bidi w:val="0"/>
              <w:spacing w:before="0" w:after="283"/>
              <w:jc w:val="right"/>
              <w:rPr/>
            </w:pPr>
            <w:r>
              <w:rPr/>
              <w:t>5,175,557</w:t>
            </w:r>
          </w:p>
        </w:tc>
        <w:tc>
          <w:tcPr>
            <w:tcW w:w="11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59" w:type="dxa"/>
            </w:tcMar>
            <w:vAlign w:val="center"/>
          </w:tcPr>
          <w:p>
            <w:pPr>
              <w:pStyle w:val="TableContents"/>
              <w:bidi w:val="0"/>
              <w:spacing w:before="0" w:after="283"/>
              <w:jc w:val="right"/>
              <w:rPr/>
            </w:pPr>
            <w:r>
              <w:rPr/>
              <w:t>​</w:t>
            </w:r>
          </w:p>
        </w:tc>
        <w:tc>
          <w:tcPr>
            <w:tcW w:w="1125" w:type="dxa"/>
            <w:tcBorders>
              <w:bottom w:val="single" w:sz="2" w:space="0" w:color="CBCAC8"/>
            </w:tcBorders>
            <w:tcMar>
              <w:bottom w:w="59" w:type="dxa"/>
            </w:tcMar>
            <w:vAlign w:val="center"/>
          </w:tcPr>
          <w:p>
            <w:pPr>
              <w:pStyle w:val="TableContents"/>
              <w:bidi w:val="0"/>
              <w:spacing w:before="0" w:after="283"/>
              <w:jc w:val="right"/>
              <w:rPr/>
            </w:pPr>
            <w:r>
              <w:rPr/>
              <w:t>2,941,041</w:t>
            </w:r>
          </w:p>
        </w:tc>
        <w:tc>
          <w:tcPr>
            <w:tcW w:w="11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59" w:type="dxa"/>
            </w:tcMar>
            <w:vAlign w:val="center"/>
          </w:tcPr>
          <w:p>
            <w:pPr>
              <w:pStyle w:val="TableContents"/>
              <w:bidi w:val="0"/>
              <w:spacing w:before="0" w:after="283"/>
              <w:jc w:val="right"/>
              <w:rPr/>
            </w:pPr>
            <w:r>
              <w:rPr/>
              <w:t>​</w:t>
            </w:r>
          </w:p>
        </w:tc>
        <w:tc>
          <w:tcPr>
            <w:tcW w:w="1125" w:type="dxa"/>
            <w:tcBorders>
              <w:bottom w:val="single" w:sz="2" w:space="0" w:color="CBCAC8"/>
            </w:tcBorders>
            <w:tcMar>
              <w:bottom w:w="59" w:type="dxa"/>
            </w:tcMar>
            <w:vAlign w:val="center"/>
          </w:tcPr>
          <w:p>
            <w:pPr>
              <w:pStyle w:val="TableContents"/>
              <w:bidi w:val="0"/>
              <w:spacing w:before="0" w:after="283"/>
              <w:jc w:val="right"/>
              <w:rPr/>
            </w:pPr>
            <w:r>
              <w:rPr/>
              <w:t>3,106,919</w:t>
            </w:r>
          </w:p>
        </w:tc>
        <w:tc>
          <w:tcPr>
            <w:tcW w:w="11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124" w:type="dxa"/>
            <w:tcBorders>
              <w:bottom w:val="single" w:sz="2" w:space="0" w:color="CBCAC8"/>
            </w:tcBorders>
            <w:tcMar>
              <w:bottom w:w="59" w:type="dxa"/>
            </w:tcMar>
            <w:vAlign w:val="center"/>
          </w:tcPr>
          <w:p>
            <w:pPr>
              <w:pStyle w:val="TableContents"/>
              <w:bidi w:val="0"/>
              <w:spacing w:before="0" w:after="283"/>
              <w:jc w:val="right"/>
              <w:rPr/>
            </w:pPr>
            <w:r>
              <w:rPr/>
              <w:t>​</w:t>
            </w:r>
          </w:p>
        </w:tc>
        <w:tc>
          <w:tcPr>
            <w:tcW w:w="873" w:type="dxa"/>
            <w:tcBorders>
              <w:bottom w:val="single" w:sz="2" w:space="0" w:color="CBCAC8"/>
            </w:tcBorders>
            <w:tcMar>
              <w:bottom w:w="59" w:type="dxa"/>
            </w:tcMar>
            <w:vAlign w:val="center"/>
          </w:tcPr>
          <w:p>
            <w:pPr>
              <w:pStyle w:val="TableContents"/>
              <w:bidi w:val="0"/>
              <w:spacing w:before="0" w:after="283"/>
              <w:jc w:val="right"/>
              <w:rPr/>
            </w:pPr>
            <w:r>
              <w:rPr/>
              <w:t>108.39</w:t>
            </w:r>
          </w:p>
        </w:tc>
        <w:tc>
          <w:tcPr>
            <w:tcW w:w="125"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124" w:type="dxa"/>
            <w:tcBorders>
              <w:bottom w:val="single" w:sz="2" w:space="0" w:color="CBCAC8"/>
            </w:tcBorders>
            <w:tcMar>
              <w:bottom w:w="59" w:type="dxa"/>
            </w:tcMar>
            <w:vAlign w:val="center"/>
          </w:tcPr>
          <w:p>
            <w:pPr>
              <w:pStyle w:val="TableContents"/>
              <w:bidi w:val="0"/>
              <w:spacing w:before="0" w:after="283"/>
              <w:jc w:val="right"/>
              <w:rPr/>
            </w:pPr>
            <w:r>
              <w:rPr/>
              <w:t>​</w:t>
            </w:r>
          </w:p>
        </w:tc>
        <w:tc>
          <w:tcPr>
            <w:tcW w:w="873" w:type="dxa"/>
            <w:tcBorders>
              <w:bottom w:val="single" w:sz="2" w:space="0" w:color="CBCAC8"/>
            </w:tcBorders>
            <w:tcMar>
              <w:bottom w:w="59" w:type="dxa"/>
            </w:tcMar>
            <w:vAlign w:val="center"/>
          </w:tcPr>
          <w:p>
            <w:pPr>
              <w:pStyle w:val="TableContents"/>
              <w:bidi w:val="0"/>
              <w:spacing w:before="0" w:after="283"/>
              <w:jc w:val="right"/>
              <w:rPr/>
            </w:pPr>
            <w:r>
              <w:rPr/>
              <w:t>121.34</w:t>
            </w:r>
          </w:p>
        </w:tc>
        <w:tc>
          <w:tcPr>
            <w:tcW w:w="125"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9" w:type="dxa"/>
            </w:tcMar>
            <w:vAlign w:val="center"/>
          </w:tcPr>
          <w:p>
            <w:pPr>
              <w:pStyle w:val="TableContents"/>
              <w:bidi w:val="0"/>
              <w:spacing w:before="0" w:after="283"/>
              <w:jc w:val="right"/>
              <w:rPr/>
            </w:pPr>
            <w:r>
              <w:rPr/>
              <w:t>​</w:t>
            </w:r>
          </w:p>
        </w:tc>
        <w:tc>
          <w:tcPr>
            <w:tcW w:w="961" w:type="dxa"/>
            <w:tcBorders>
              <w:bottom w:val="single" w:sz="2" w:space="0" w:color="CBCAC8"/>
            </w:tcBorders>
            <w:tcMar>
              <w:bottom w:w="59" w:type="dxa"/>
            </w:tcMar>
            <w:vAlign w:val="center"/>
          </w:tcPr>
          <w:p>
            <w:pPr>
              <w:pStyle w:val="TableContents"/>
              <w:bidi w:val="0"/>
              <w:spacing w:before="0" w:after="283"/>
              <w:jc w:val="right"/>
              <w:rPr/>
            </w:pPr>
            <w:r>
              <w:rPr/>
              <w:t>(551,530)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9" w:type="dxa"/>
            </w:tcMar>
            <w:vAlign w:val="center"/>
          </w:tcPr>
          <w:p>
            <w:pPr>
              <w:pStyle w:val="TableContents"/>
              <w:bidi w:val="0"/>
              <w:spacing w:before="0" w:after="283"/>
              <w:jc w:val="right"/>
              <w:rPr/>
            </w:pPr>
            <w:r>
              <w:rPr/>
              <w:t>​</w:t>
            </w:r>
          </w:p>
        </w:tc>
        <w:tc>
          <w:tcPr>
            <w:tcW w:w="961" w:type="dxa"/>
            <w:tcBorders>
              <w:bottom w:val="single" w:sz="2" w:space="0" w:color="CBCAC8"/>
            </w:tcBorders>
            <w:tcMar>
              <w:bottom w:w="59" w:type="dxa"/>
            </w:tcMar>
            <w:vAlign w:val="center"/>
          </w:tcPr>
          <w:p>
            <w:pPr>
              <w:pStyle w:val="TableContents"/>
              <w:bidi w:val="0"/>
              <w:spacing w:before="0" w:after="283"/>
              <w:jc w:val="right"/>
              <w:rPr/>
            </w:pPr>
            <w:r>
              <w:rPr/>
              <w:t>(523,434)</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61" w:type="dxa"/>
            <w:tcBorders>
              <w:bottom w:val="single" w:sz="2" w:space="0" w:color="CBCAC8"/>
            </w:tcBorders>
            <w:tcMar>
              <w:bottom w:w="59" w:type="dxa"/>
            </w:tcMar>
            <w:vAlign w:val="center"/>
          </w:tcPr>
          <w:p>
            <w:pPr>
              <w:pStyle w:val="TableContents"/>
              <w:bidi w:val="0"/>
              <w:spacing w:before="0" w:after="0"/>
              <w:jc w:val="left"/>
              <w:rPr>
                <w:b/>
              </w:rPr>
            </w:pPr>
            <w:r>
              <w:rPr>
                <w:b/>
                <w:spacing w:val="-2"/>
              </w:rPr>
              <w:t>2022</w:t>
            </w:r>
            <w:r>
              <w:rPr>
                <w:b/>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59" w:type="dxa"/>
            </w:tcMar>
            <w:vAlign w:val="center"/>
          </w:tcPr>
          <w:p>
            <w:pPr>
              <w:pStyle w:val="TableContents"/>
              <w:bidi w:val="0"/>
              <w:spacing w:before="0" w:after="283"/>
              <w:jc w:val="right"/>
              <w:rPr/>
            </w:pPr>
            <w:r>
              <w:rPr/>
              <w:t>​</w:t>
            </w:r>
          </w:p>
        </w:tc>
        <w:tc>
          <w:tcPr>
            <w:tcW w:w="1125" w:type="dxa"/>
            <w:tcBorders>
              <w:bottom w:val="single" w:sz="2" w:space="0" w:color="CBCAC8"/>
            </w:tcBorders>
            <w:tcMar>
              <w:bottom w:w="59" w:type="dxa"/>
            </w:tcMar>
            <w:vAlign w:val="center"/>
          </w:tcPr>
          <w:p>
            <w:pPr>
              <w:pStyle w:val="TableContents"/>
              <w:bidi w:val="0"/>
              <w:spacing w:before="0" w:after="283"/>
              <w:jc w:val="right"/>
              <w:rPr/>
            </w:pPr>
            <w:r>
              <w:rPr/>
              <w:t>2,565,250</w:t>
            </w:r>
          </w:p>
        </w:tc>
        <w:tc>
          <w:tcPr>
            <w:tcW w:w="11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59" w:type="dxa"/>
            </w:tcMar>
            <w:vAlign w:val="center"/>
          </w:tcPr>
          <w:p>
            <w:pPr>
              <w:pStyle w:val="TableContents"/>
              <w:bidi w:val="0"/>
              <w:spacing w:before="0" w:after="283"/>
              <w:jc w:val="right"/>
              <w:rPr/>
            </w:pPr>
            <w:r>
              <w:rPr/>
              <w:t>​</w:t>
            </w:r>
          </w:p>
        </w:tc>
        <w:tc>
          <w:tcPr>
            <w:tcW w:w="1125" w:type="dxa"/>
            <w:tcBorders>
              <w:bottom w:val="single" w:sz="2" w:space="0" w:color="CBCAC8"/>
            </w:tcBorders>
            <w:tcMar>
              <w:bottom w:w="59" w:type="dxa"/>
            </w:tcMar>
            <w:vAlign w:val="center"/>
          </w:tcPr>
          <w:p>
            <w:pPr>
              <w:pStyle w:val="TableContents"/>
              <w:bidi w:val="0"/>
              <w:spacing w:before="0" w:after="283"/>
              <w:jc w:val="right"/>
              <w:rPr/>
            </w:pPr>
            <w:r>
              <w:rPr/>
              <w:t>452,100</w:t>
            </w:r>
          </w:p>
        </w:tc>
        <w:tc>
          <w:tcPr>
            <w:tcW w:w="11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59" w:type="dxa"/>
            </w:tcMar>
            <w:vAlign w:val="center"/>
          </w:tcPr>
          <w:p>
            <w:pPr>
              <w:pStyle w:val="TableContents"/>
              <w:bidi w:val="0"/>
              <w:spacing w:before="0" w:after="283"/>
              <w:jc w:val="right"/>
              <w:rPr/>
            </w:pPr>
            <w:r>
              <w:rPr/>
              <w:t>​</w:t>
            </w:r>
          </w:p>
        </w:tc>
        <w:tc>
          <w:tcPr>
            <w:tcW w:w="1125" w:type="dxa"/>
            <w:tcBorders>
              <w:bottom w:val="single" w:sz="2" w:space="0" w:color="CBCAC8"/>
            </w:tcBorders>
            <w:tcMar>
              <w:bottom w:w="59" w:type="dxa"/>
            </w:tcMar>
            <w:vAlign w:val="center"/>
          </w:tcPr>
          <w:p>
            <w:pPr>
              <w:pStyle w:val="TableContents"/>
              <w:bidi w:val="0"/>
              <w:spacing w:before="0" w:after="283"/>
              <w:jc w:val="right"/>
              <w:rPr/>
            </w:pPr>
            <w:r>
              <w:rPr/>
              <w:t>2,434,454</w:t>
            </w:r>
          </w:p>
        </w:tc>
        <w:tc>
          <w:tcPr>
            <w:tcW w:w="11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59" w:type="dxa"/>
            </w:tcMar>
            <w:vAlign w:val="center"/>
          </w:tcPr>
          <w:p>
            <w:pPr>
              <w:pStyle w:val="TableContents"/>
              <w:bidi w:val="0"/>
              <w:spacing w:before="0" w:after="283"/>
              <w:jc w:val="right"/>
              <w:rPr/>
            </w:pPr>
            <w:r>
              <w:rPr/>
              <w:t>​</w:t>
            </w:r>
          </w:p>
        </w:tc>
        <w:tc>
          <w:tcPr>
            <w:tcW w:w="1125" w:type="dxa"/>
            <w:tcBorders>
              <w:bottom w:val="single" w:sz="2" w:space="0" w:color="CBCAC8"/>
            </w:tcBorders>
            <w:tcMar>
              <w:bottom w:w="59" w:type="dxa"/>
            </w:tcMar>
            <w:vAlign w:val="center"/>
          </w:tcPr>
          <w:p>
            <w:pPr>
              <w:pStyle w:val="TableContents"/>
              <w:bidi w:val="0"/>
              <w:spacing w:before="0" w:after="283"/>
              <w:jc w:val="right"/>
              <w:rPr/>
            </w:pPr>
            <w:r>
              <w:rPr/>
              <w:t>1,425,508</w:t>
            </w:r>
          </w:p>
        </w:tc>
        <w:tc>
          <w:tcPr>
            <w:tcW w:w="11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124" w:type="dxa"/>
            <w:tcBorders>
              <w:bottom w:val="single" w:sz="2" w:space="0" w:color="CBCAC8"/>
            </w:tcBorders>
            <w:tcMar>
              <w:bottom w:w="59" w:type="dxa"/>
            </w:tcMar>
            <w:vAlign w:val="center"/>
          </w:tcPr>
          <w:p>
            <w:pPr>
              <w:pStyle w:val="TableContents"/>
              <w:bidi w:val="0"/>
              <w:spacing w:before="0" w:after="283"/>
              <w:jc w:val="right"/>
              <w:rPr/>
            </w:pPr>
            <w:r>
              <w:rPr/>
              <w:t>​</w:t>
            </w:r>
          </w:p>
        </w:tc>
        <w:tc>
          <w:tcPr>
            <w:tcW w:w="873" w:type="dxa"/>
            <w:tcBorders>
              <w:bottom w:val="single" w:sz="2" w:space="0" w:color="CBCAC8"/>
            </w:tcBorders>
            <w:tcMar>
              <w:bottom w:w="59" w:type="dxa"/>
            </w:tcMar>
            <w:vAlign w:val="center"/>
          </w:tcPr>
          <w:p>
            <w:pPr>
              <w:pStyle w:val="TableContents"/>
              <w:bidi w:val="0"/>
              <w:spacing w:before="0" w:after="283"/>
              <w:jc w:val="right"/>
              <w:rPr/>
            </w:pPr>
            <w:r>
              <w:rPr/>
              <w:t>96.82</w:t>
            </w:r>
          </w:p>
        </w:tc>
        <w:tc>
          <w:tcPr>
            <w:tcW w:w="125"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124" w:type="dxa"/>
            <w:tcBorders>
              <w:bottom w:val="single" w:sz="2" w:space="0" w:color="CBCAC8"/>
            </w:tcBorders>
            <w:tcMar>
              <w:bottom w:w="59" w:type="dxa"/>
            </w:tcMar>
            <w:vAlign w:val="center"/>
          </w:tcPr>
          <w:p>
            <w:pPr>
              <w:pStyle w:val="TableContents"/>
              <w:bidi w:val="0"/>
              <w:spacing w:before="0" w:after="283"/>
              <w:jc w:val="right"/>
              <w:rPr/>
            </w:pPr>
            <w:r>
              <w:rPr/>
              <w:t>​</w:t>
            </w:r>
          </w:p>
        </w:tc>
        <w:tc>
          <w:tcPr>
            <w:tcW w:w="873" w:type="dxa"/>
            <w:tcBorders>
              <w:bottom w:val="single" w:sz="2" w:space="0" w:color="CBCAC8"/>
            </w:tcBorders>
            <w:tcMar>
              <w:bottom w:w="59" w:type="dxa"/>
            </w:tcMar>
            <w:vAlign w:val="center"/>
          </w:tcPr>
          <w:p>
            <w:pPr>
              <w:pStyle w:val="TableContents"/>
              <w:bidi w:val="0"/>
              <w:spacing w:before="0" w:after="283"/>
              <w:jc w:val="right"/>
              <w:rPr/>
            </w:pPr>
            <w:r>
              <w:rPr/>
              <w:t>108.00</w:t>
            </w:r>
          </w:p>
        </w:tc>
        <w:tc>
          <w:tcPr>
            <w:tcW w:w="125"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9" w:type="dxa"/>
            </w:tcMar>
            <w:vAlign w:val="center"/>
          </w:tcPr>
          <w:p>
            <w:pPr>
              <w:pStyle w:val="TableContents"/>
              <w:bidi w:val="0"/>
              <w:spacing w:before="0" w:after="283"/>
              <w:jc w:val="right"/>
              <w:rPr/>
            </w:pPr>
            <w:r>
              <w:rPr/>
              <w:t>​</w:t>
            </w:r>
          </w:p>
        </w:tc>
        <w:tc>
          <w:tcPr>
            <w:tcW w:w="961" w:type="dxa"/>
            <w:tcBorders>
              <w:bottom w:val="single" w:sz="2" w:space="0" w:color="CBCAC8"/>
            </w:tcBorders>
            <w:tcMar>
              <w:bottom w:w="59" w:type="dxa"/>
            </w:tcMar>
            <w:vAlign w:val="center"/>
          </w:tcPr>
          <w:p>
            <w:pPr>
              <w:pStyle w:val="TableContents"/>
              <w:bidi w:val="0"/>
              <w:spacing w:before="0" w:after="283"/>
              <w:jc w:val="right"/>
              <w:rPr/>
            </w:pPr>
            <w:r>
              <w:rPr/>
              <w:t>184,636</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9" w:type="dxa"/>
            </w:tcMar>
            <w:vAlign w:val="center"/>
          </w:tcPr>
          <w:p>
            <w:pPr>
              <w:pStyle w:val="TableContents"/>
              <w:bidi w:val="0"/>
              <w:spacing w:before="0" w:after="283"/>
              <w:jc w:val="right"/>
              <w:rPr/>
            </w:pPr>
            <w:r>
              <w:rPr/>
              <w:t>​</w:t>
            </w:r>
          </w:p>
        </w:tc>
        <w:tc>
          <w:tcPr>
            <w:tcW w:w="961" w:type="dxa"/>
            <w:tcBorders>
              <w:bottom w:val="single" w:sz="2" w:space="0" w:color="CBCAC8"/>
            </w:tcBorders>
            <w:tcMar>
              <w:bottom w:w="59" w:type="dxa"/>
            </w:tcMar>
            <w:vAlign w:val="center"/>
          </w:tcPr>
          <w:p>
            <w:pPr>
              <w:pStyle w:val="TableContents"/>
              <w:bidi w:val="0"/>
              <w:spacing w:before="0" w:after="283"/>
              <w:jc w:val="right"/>
              <w:rPr/>
            </w:pPr>
            <w:r>
              <w:rPr/>
              <w:t>430,070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61" w:type="dxa"/>
            <w:tcBorders>
              <w:bottom w:val="single" w:sz="2" w:space="0" w:color="CBCAC8"/>
            </w:tcBorders>
            <w:tcMar>
              <w:bottom w:w="59" w:type="dxa"/>
            </w:tcMar>
            <w:vAlign w:val="center"/>
          </w:tcPr>
          <w:p>
            <w:pPr>
              <w:pStyle w:val="TableContents"/>
              <w:bidi w:val="0"/>
              <w:spacing w:before="0" w:after="0"/>
              <w:jc w:val="left"/>
              <w:rPr>
                <w:b/>
              </w:rPr>
            </w:pPr>
            <w:r>
              <w:rPr>
                <w:b/>
                <w:spacing w:val="-2"/>
              </w:rPr>
              <w:t>2021</w:t>
            </w:r>
            <w:r>
              <w:rPr>
                <w:b/>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59" w:type="dxa"/>
            </w:tcMar>
            <w:vAlign w:val="center"/>
          </w:tcPr>
          <w:p>
            <w:pPr>
              <w:pStyle w:val="TableContents"/>
              <w:bidi w:val="0"/>
              <w:spacing w:before="0" w:after="283"/>
              <w:jc w:val="right"/>
              <w:rPr/>
            </w:pPr>
            <w:r>
              <w:rPr/>
              <w:t>​</w:t>
            </w:r>
          </w:p>
        </w:tc>
        <w:tc>
          <w:tcPr>
            <w:tcW w:w="1125" w:type="dxa"/>
            <w:tcBorders>
              <w:bottom w:val="single" w:sz="2" w:space="0" w:color="CBCAC8"/>
            </w:tcBorders>
            <w:tcMar>
              <w:bottom w:w="59" w:type="dxa"/>
            </w:tcMar>
            <w:vAlign w:val="center"/>
          </w:tcPr>
          <w:p>
            <w:pPr>
              <w:pStyle w:val="TableContents"/>
              <w:bidi w:val="0"/>
              <w:spacing w:before="0" w:after="283"/>
              <w:jc w:val="right"/>
              <w:rPr/>
            </w:pPr>
            <w:r>
              <w:rPr/>
              <w:t>3,851,162</w:t>
            </w:r>
          </w:p>
        </w:tc>
        <w:tc>
          <w:tcPr>
            <w:tcW w:w="11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59" w:type="dxa"/>
            </w:tcMar>
            <w:vAlign w:val="center"/>
          </w:tcPr>
          <w:p>
            <w:pPr>
              <w:pStyle w:val="TableContents"/>
              <w:bidi w:val="0"/>
              <w:spacing w:before="0" w:after="283"/>
              <w:jc w:val="right"/>
              <w:rPr/>
            </w:pPr>
            <w:r>
              <w:rPr/>
              <w:t>​</w:t>
            </w:r>
          </w:p>
        </w:tc>
        <w:tc>
          <w:tcPr>
            <w:tcW w:w="1125" w:type="dxa"/>
            <w:tcBorders>
              <w:bottom w:val="single" w:sz="2" w:space="0" w:color="CBCAC8"/>
            </w:tcBorders>
            <w:tcMar>
              <w:bottom w:w="59" w:type="dxa"/>
            </w:tcMar>
            <w:vAlign w:val="center"/>
          </w:tcPr>
          <w:p>
            <w:pPr>
              <w:pStyle w:val="TableContents"/>
              <w:bidi w:val="0"/>
              <w:spacing w:before="0" w:after="283"/>
              <w:jc w:val="right"/>
              <w:rPr/>
            </w:pPr>
            <w:r>
              <w:rPr/>
              <w:t>4,835,249</w:t>
            </w:r>
          </w:p>
        </w:tc>
        <w:tc>
          <w:tcPr>
            <w:tcW w:w="11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59" w:type="dxa"/>
            </w:tcMar>
            <w:vAlign w:val="center"/>
          </w:tcPr>
          <w:p>
            <w:pPr>
              <w:pStyle w:val="TableContents"/>
              <w:bidi w:val="0"/>
              <w:spacing w:before="0" w:after="283"/>
              <w:jc w:val="right"/>
              <w:rPr/>
            </w:pPr>
            <w:r>
              <w:rPr/>
              <w:t>​</w:t>
            </w:r>
          </w:p>
        </w:tc>
        <w:tc>
          <w:tcPr>
            <w:tcW w:w="1125" w:type="dxa"/>
            <w:tcBorders>
              <w:bottom w:val="single" w:sz="2" w:space="0" w:color="CBCAC8"/>
            </w:tcBorders>
            <w:tcMar>
              <w:bottom w:w="59" w:type="dxa"/>
            </w:tcMar>
            <w:vAlign w:val="center"/>
          </w:tcPr>
          <w:p>
            <w:pPr>
              <w:pStyle w:val="TableContents"/>
              <w:bidi w:val="0"/>
              <w:spacing w:before="0" w:after="283"/>
              <w:jc w:val="right"/>
              <w:rPr/>
            </w:pPr>
            <w:r>
              <w:rPr/>
              <w:t>2,073,652</w:t>
            </w:r>
          </w:p>
        </w:tc>
        <w:tc>
          <w:tcPr>
            <w:tcW w:w="11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59" w:type="dxa"/>
            </w:tcMar>
            <w:vAlign w:val="center"/>
          </w:tcPr>
          <w:p>
            <w:pPr>
              <w:pStyle w:val="TableContents"/>
              <w:bidi w:val="0"/>
              <w:spacing w:before="0" w:after="283"/>
              <w:jc w:val="right"/>
              <w:rPr/>
            </w:pPr>
            <w:r>
              <w:rPr/>
              <w:t>​</w:t>
            </w:r>
          </w:p>
        </w:tc>
        <w:tc>
          <w:tcPr>
            <w:tcW w:w="1125" w:type="dxa"/>
            <w:tcBorders>
              <w:bottom w:val="single" w:sz="2" w:space="0" w:color="CBCAC8"/>
            </w:tcBorders>
            <w:tcMar>
              <w:bottom w:w="59" w:type="dxa"/>
            </w:tcMar>
            <w:vAlign w:val="center"/>
          </w:tcPr>
          <w:p>
            <w:pPr>
              <w:pStyle w:val="TableContents"/>
              <w:bidi w:val="0"/>
              <w:spacing w:before="0" w:after="283"/>
              <w:jc w:val="right"/>
              <w:rPr/>
            </w:pPr>
            <w:r>
              <w:rPr/>
              <w:t>2,616,212</w:t>
            </w:r>
          </w:p>
        </w:tc>
        <w:tc>
          <w:tcPr>
            <w:tcW w:w="116"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124" w:type="dxa"/>
            <w:tcBorders>
              <w:bottom w:val="single" w:sz="2" w:space="0" w:color="CBCAC8"/>
            </w:tcBorders>
            <w:tcMar>
              <w:bottom w:w="59" w:type="dxa"/>
            </w:tcMar>
            <w:vAlign w:val="center"/>
          </w:tcPr>
          <w:p>
            <w:pPr>
              <w:pStyle w:val="TableContents"/>
              <w:bidi w:val="0"/>
              <w:spacing w:before="0" w:after="283"/>
              <w:jc w:val="right"/>
              <w:rPr/>
            </w:pPr>
            <w:r>
              <w:rPr/>
              <w:t>​</w:t>
            </w:r>
          </w:p>
        </w:tc>
        <w:tc>
          <w:tcPr>
            <w:tcW w:w="873" w:type="dxa"/>
            <w:tcBorders>
              <w:bottom w:val="single" w:sz="2" w:space="0" w:color="CBCAC8"/>
            </w:tcBorders>
            <w:tcMar>
              <w:bottom w:w="59" w:type="dxa"/>
            </w:tcMar>
            <w:vAlign w:val="center"/>
          </w:tcPr>
          <w:p>
            <w:pPr>
              <w:pStyle w:val="TableContents"/>
              <w:bidi w:val="0"/>
              <w:spacing w:before="0" w:after="283"/>
              <w:jc w:val="right"/>
              <w:rPr/>
            </w:pPr>
            <w:r>
              <w:rPr/>
              <w:t>128.95</w:t>
            </w:r>
          </w:p>
        </w:tc>
        <w:tc>
          <w:tcPr>
            <w:tcW w:w="125"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124" w:type="dxa"/>
            <w:tcBorders>
              <w:bottom w:val="single" w:sz="2" w:space="0" w:color="CBCAC8"/>
            </w:tcBorders>
            <w:tcMar>
              <w:bottom w:w="59" w:type="dxa"/>
            </w:tcMar>
            <w:vAlign w:val="center"/>
          </w:tcPr>
          <w:p>
            <w:pPr>
              <w:pStyle w:val="TableContents"/>
              <w:bidi w:val="0"/>
              <w:spacing w:before="0" w:after="283"/>
              <w:jc w:val="right"/>
              <w:rPr/>
            </w:pPr>
            <w:r>
              <w:rPr/>
              <w:t>​</w:t>
            </w:r>
          </w:p>
        </w:tc>
        <w:tc>
          <w:tcPr>
            <w:tcW w:w="873" w:type="dxa"/>
            <w:tcBorders>
              <w:bottom w:val="single" w:sz="2" w:space="0" w:color="CBCAC8"/>
            </w:tcBorders>
            <w:tcMar>
              <w:bottom w:w="59" w:type="dxa"/>
            </w:tcMar>
            <w:vAlign w:val="center"/>
          </w:tcPr>
          <w:p>
            <w:pPr>
              <w:pStyle w:val="TableContents"/>
              <w:bidi w:val="0"/>
              <w:spacing w:before="0" w:after="283"/>
              <w:jc w:val="right"/>
              <w:rPr/>
            </w:pPr>
            <w:r>
              <w:rPr/>
              <w:t>146.19</w:t>
            </w:r>
          </w:p>
        </w:tc>
        <w:tc>
          <w:tcPr>
            <w:tcW w:w="125"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9" w:type="dxa"/>
            </w:tcMar>
            <w:vAlign w:val="center"/>
          </w:tcPr>
          <w:p>
            <w:pPr>
              <w:pStyle w:val="TableContents"/>
              <w:bidi w:val="0"/>
              <w:spacing w:before="0" w:after="283"/>
              <w:jc w:val="right"/>
              <w:rPr/>
            </w:pPr>
            <w:r>
              <w:rPr/>
              <w:t>​</w:t>
            </w:r>
          </w:p>
        </w:tc>
        <w:tc>
          <w:tcPr>
            <w:tcW w:w="961" w:type="dxa"/>
            <w:tcBorders>
              <w:bottom w:val="single" w:sz="2" w:space="0" w:color="CBCAC8"/>
            </w:tcBorders>
            <w:tcMar>
              <w:bottom w:w="59" w:type="dxa"/>
            </w:tcMar>
            <w:vAlign w:val="center"/>
          </w:tcPr>
          <w:p>
            <w:pPr>
              <w:pStyle w:val="TableContents"/>
              <w:bidi w:val="0"/>
              <w:spacing w:before="0" w:after="283"/>
              <w:jc w:val="right"/>
              <w:rPr/>
            </w:pPr>
            <w:r>
              <w:rPr/>
              <w:t>48,924</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59" w:type="dxa"/>
            </w:tcMar>
            <w:vAlign w:val="center"/>
          </w:tcPr>
          <w:p>
            <w:pPr>
              <w:pStyle w:val="TableContents"/>
              <w:bidi w:val="0"/>
              <w:spacing w:before="0" w:after="283"/>
              <w:jc w:val="right"/>
              <w:rPr/>
            </w:pPr>
            <w:r>
              <w:rPr/>
              <w:t>​</w:t>
            </w:r>
          </w:p>
        </w:tc>
        <w:tc>
          <w:tcPr>
            <w:tcW w:w="961" w:type="dxa"/>
            <w:tcBorders>
              <w:bottom w:val="single" w:sz="2" w:space="0" w:color="CBCAC8"/>
            </w:tcBorders>
            <w:tcMar>
              <w:bottom w:w="59" w:type="dxa"/>
            </w:tcMar>
            <w:vAlign w:val="center"/>
          </w:tcPr>
          <w:p>
            <w:pPr>
              <w:pStyle w:val="TableContents"/>
              <w:bidi w:val="0"/>
              <w:spacing w:before="0" w:after="283"/>
              <w:jc w:val="right"/>
              <w:rPr/>
            </w:pPr>
            <w:r>
              <w:rPr/>
              <w:t>296,657</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bl>
    <w:p>
      <w:pPr>
        <w:pStyle w:val="TextBody"/>
        <w:bidi w:val="0"/>
        <w:spacing w:lineRule="atLeast" w:line="220" w:before="240" w:after="283"/>
        <w:ind w:left="1301"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NEOs included in these columns reflect the following individuals: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614">
                <wp:simplePos x="0" y="0"/>
                <wp:positionH relativeFrom="column">
                  <wp:align>left</wp:align>
                </wp:positionH>
                <wp:positionV relativeFrom="line">
                  <wp:posOffset>635</wp:posOffset>
                </wp:positionV>
                <wp:extent cx="254000" cy="279400"/>
                <wp:effectExtent l="0" t="0" r="0" b="0"/>
                <wp:wrapSquare wrapText="right"/>
                <wp:docPr id="627" name="Frame498"/>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1"/>
                          <w:sz w:val="18"/>
                        </w:rPr>
                        <w:t>(1)</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tbl>
      <w:tblPr>
        <w:tblW w:w="9304" w:type="dxa"/>
        <w:jc w:val="left"/>
        <w:tblInd w:w="901" w:type="dxa"/>
        <w:tblLayout w:type="fixed"/>
        <w:tblCellMar>
          <w:top w:w="0" w:type="dxa"/>
          <w:left w:w="0" w:type="dxa"/>
          <w:bottom w:w="0" w:type="dxa"/>
          <w:right w:w="0" w:type="dxa"/>
        </w:tblCellMar>
      </w:tblPr>
      <w:tblGrid>
        <w:gridCol w:w="124"/>
        <w:gridCol w:w="631"/>
        <w:gridCol w:w="109"/>
        <w:gridCol w:w="109"/>
        <w:gridCol w:w="1484"/>
        <w:gridCol w:w="109"/>
        <w:gridCol w:w="109"/>
        <w:gridCol w:w="6474"/>
        <w:gridCol w:w="155"/>
      </w:tblGrid>
      <w:tr>
        <w:trPr/>
        <w:tc>
          <w:tcPr>
            <w:tcW w:w="124" w:type="dxa"/>
            <w:tcBorders/>
            <w:shd w:fill="BAD8EA" w:val="clear"/>
            <w:vAlign w:val="center"/>
          </w:tcPr>
          <w:p>
            <w:pPr>
              <w:pStyle w:val="TableContents"/>
              <w:bidi w:val="0"/>
              <w:spacing w:before="0" w:after="283"/>
              <w:jc w:val="left"/>
              <w:rPr/>
            </w:pPr>
            <w:r>
              <w:rPr/>
              <w:t>​</w:t>
            </w:r>
          </w:p>
        </w:tc>
        <w:tc>
          <w:tcPr>
            <w:tcW w:w="631" w:type="dxa"/>
            <w:tcBorders/>
            <w:shd w:fill="BAD8EA" w:val="clear"/>
            <w:vAlign w:val="center"/>
          </w:tcPr>
          <w:p>
            <w:pPr>
              <w:pStyle w:val="TableContents"/>
              <w:bidi w:val="0"/>
              <w:spacing w:before="0" w:after="0"/>
              <w:jc w:val="left"/>
              <w:rPr>
                <w:spacing w:val="0"/>
              </w:rPr>
            </w:pPr>
            <w:r>
              <w:rPr>
                <w:spacing w:val="0"/>
              </w:rPr>
              <w:t xml:space="preserve">Year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484" w:type="dxa"/>
            <w:tcBorders/>
            <w:shd w:fill="BAD8EA" w:val="clear"/>
            <w:vAlign w:val="center"/>
          </w:tcPr>
          <w:p>
            <w:pPr>
              <w:pStyle w:val="TableContents"/>
              <w:bidi w:val="0"/>
              <w:spacing w:before="0" w:after="0"/>
              <w:jc w:val="left"/>
              <w:rPr>
                <w:spacing w:val="-2"/>
              </w:rPr>
            </w:pPr>
            <w:r>
              <w:rPr>
                <w:spacing w:val="-2"/>
              </w:rPr>
              <w:t xml:space="preserve">PEO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6474" w:type="dxa"/>
            <w:tcBorders/>
            <w:shd w:fill="BAD8EA" w:val="clear"/>
            <w:vAlign w:val="center"/>
          </w:tcPr>
          <w:p>
            <w:pPr>
              <w:pStyle w:val="TableContents"/>
              <w:bidi w:val="0"/>
              <w:spacing w:before="0" w:after="0"/>
              <w:jc w:val="left"/>
              <w:rPr>
                <w:spacing w:val="0"/>
              </w:rPr>
            </w:pPr>
            <w:r>
              <w:rPr>
                <w:spacing w:val="0"/>
              </w:rPr>
              <w:t xml:space="preserve">Non-PEO NEOs </w:t>
            </w:r>
          </w:p>
        </w:tc>
        <w:tc>
          <w:tcPr>
            <w:tcW w:w="155" w:type="dxa"/>
            <w:tcBorders/>
            <w:shd w:fill="BAD8E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1" w:type="dxa"/>
            <w:tcBorders/>
            <w:vAlign w:val="center"/>
          </w:tcPr>
          <w:p>
            <w:pPr>
              <w:pStyle w:val="TableContents"/>
              <w:bidi w:val="0"/>
              <w:spacing w:before="0" w:after="283"/>
              <w:jc w:val="left"/>
              <w:rPr>
                <w:spacing w:val="-1"/>
              </w:rPr>
            </w:pPr>
            <w:r>
              <w:rPr>
                <w:spacing w:val="-1"/>
              </w:rPr>
              <w:t xml:space="preserve">2025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4" w:type="dxa"/>
            <w:tcBorders/>
            <w:vAlign w:val="center"/>
          </w:tcPr>
          <w:p>
            <w:pPr>
              <w:pStyle w:val="TableContents"/>
              <w:bidi w:val="0"/>
              <w:spacing w:before="0" w:after="283"/>
              <w:jc w:val="left"/>
              <w:rPr>
                <w:spacing w:val="-1"/>
              </w:rPr>
            </w:pPr>
            <w:r>
              <w:rPr>
                <w:spacing w:val="-1"/>
              </w:rPr>
              <w:t xml:space="preserve">David O’Reilly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74" w:type="dxa"/>
            <w:tcBorders/>
            <w:vAlign w:val="center"/>
          </w:tcPr>
          <w:p>
            <w:pPr>
              <w:pStyle w:val="TableContents"/>
              <w:bidi w:val="0"/>
              <w:spacing w:before="0" w:after="283"/>
              <w:jc w:val="left"/>
              <w:rPr>
                <w:spacing w:val="-1"/>
              </w:rPr>
            </w:pPr>
            <w:r>
              <w:rPr>
                <w:spacing w:val="-1"/>
              </w:rPr>
              <w:t xml:space="preserve">L. Jay Cross, Carlos A. Olea, Joseph Valane, Douglas Johnstone, Andrew Davis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1" w:type="dxa"/>
            <w:tcBorders/>
            <w:vAlign w:val="center"/>
          </w:tcPr>
          <w:p>
            <w:pPr>
              <w:pStyle w:val="TableContents"/>
              <w:bidi w:val="0"/>
              <w:spacing w:before="0" w:after="283"/>
              <w:jc w:val="left"/>
              <w:rPr>
                <w:spacing w:val="-1"/>
              </w:rPr>
            </w:pPr>
            <w:r>
              <w:rPr>
                <w:spacing w:val="-1"/>
              </w:rPr>
              <w:t xml:space="preserve">2024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4" w:type="dxa"/>
            <w:tcBorders/>
            <w:vAlign w:val="center"/>
          </w:tcPr>
          <w:p>
            <w:pPr>
              <w:pStyle w:val="TableContents"/>
              <w:bidi w:val="0"/>
              <w:spacing w:before="0" w:after="283"/>
              <w:jc w:val="left"/>
              <w:rPr>
                <w:spacing w:val="-1"/>
              </w:rPr>
            </w:pPr>
            <w:r>
              <w:rPr>
                <w:spacing w:val="-1"/>
              </w:rPr>
              <w:t xml:space="preserve">David O’Reilly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74" w:type="dxa"/>
            <w:tcBorders/>
            <w:vAlign w:val="center"/>
          </w:tcPr>
          <w:p>
            <w:pPr>
              <w:pStyle w:val="TableContents"/>
              <w:bidi w:val="0"/>
              <w:spacing w:before="0" w:after="283"/>
              <w:jc w:val="left"/>
              <w:rPr>
                <w:spacing w:val="-1"/>
              </w:rPr>
            </w:pPr>
            <w:r>
              <w:rPr>
                <w:spacing w:val="-1"/>
              </w:rPr>
              <w:t xml:space="preserve">L. Jay Cross; Carlos A. Olea; Joseph Valane; Douglas Johnstone; A. Nikodemus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1" w:type="dxa"/>
            <w:tcBorders/>
            <w:vAlign w:val="center"/>
          </w:tcPr>
          <w:p>
            <w:pPr>
              <w:pStyle w:val="TableContents"/>
              <w:bidi w:val="0"/>
              <w:spacing w:before="0" w:after="283"/>
              <w:jc w:val="left"/>
              <w:rPr>
                <w:spacing w:val="-1"/>
              </w:rPr>
            </w:pPr>
            <w:r>
              <w:rPr>
                <w:spacing w:val="-1"/>
              </w:rPr>
              <w:t xml:space="preserve">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4" w:type="dxa"/>
            <w:tcBorders/>
            <w:vAlign w:val="center"/>
          </w:tcPr>
          <w:p>
            <w:pPr>
              <w:pStyle w:val="TableContents"/>
              <w:bidi w:val="0"/>
              <w:spacing w:before="0" w:after="283"/>
              <w:jc w:val="left"/>
              <w:rPr>
                <w:spacing w:val="-1"/>
              </w:rPr>
            </w:pPr>
            <w:r>
              <w:rPr>
                <w:spacing w:val="-1"/>
              </w:rPr>
              <w:t xml:space="preserve">David O’Reilly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74" w:type="dxa"/>
            <w:tcBorders/>
            <w:vAlign w:val="center"/>
          </w:tcPr>
          <w:p>
            <w:pPr>
              <w:pStyle w:val="TableContents"/>
              <w:bidi w:val="0"/>
              <w:spacing w:before="0" w:after="283"/>
              <w:jc w:val="left"/>
              <w:rPr>
                <w:spacing w:val="-1"/>
              </w:rPr>
            </w:pPr>
            <w:r>
              <w:rPr>
                <w:spacing w:val="-1"/>
              </w:rPr>
              <w:t xml:space="preserve">A. Nikodemus, Kristi L. Smith, Carlos A. Olea, Peter F. Riley, L. Jay Cross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1" w:type="dxa"/>
            <w:tcBorders/>
            <w:vAlign w:val="center"/>
          </w:tcPr>
          <w:p>
            <w:pPr>
              <w:pStyle w:val="TableContents"/>
              <w:bidi w:val="0"/>
              <w:spacing w:before="0" w:after="283"/>
              <w:jc w:val="left"/>
              <w:rPr>
                <w:spacing w:val="-1"/>
              </w:rPr>
            </w:pPr>
            <w:r>
              <w:rPr>
                <w:spacing w:val="-1"/>
              </w:rPr>
              <w:t xml:space="preserve">2022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4" w:type="dxa"/>
            <w:tcBorders/>
            <w:vAlign w:val="center"/>
          </w:tcPr>
          <w:p>
            <w:pPr>
              <w:pStyle w:val="TableContents"/>
              <w:bidi w:val="0"/>
              <w:spacing w:before="0" w:after="283"/>
              <w:jc w:val="left"/>
              <w:rPr>
                <w:spacing w:val="-1"/>
              </w:rPr>
            </w:pPr>
            <w:r>
              <w:rPr>
                <w:spacing w:val="-1"/>
              </w:rPr>
              <w:t xml:space="preserve">David O’Reilly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74" w:type="dxa"/>
            <w:tcBorders/>
            <w:vAlign w:val="center"/>
          </w:tcPr>
          <w:p>
            <w:pPr>
              <w:pStyle w:val="TableContents"/>
              <w:bidi w:val="0"/>
              <w:spacing w:before="0" w:after="283"/>
              <w:jc w:val="left"/>
              <w:rPr>
                <w:spacing w:val="-1"/>
              </w:rPr>
            </w:pPr>
            <w:r>
              <w:rPr>
                <w:spacing w:val="-1"/>
              </w:rPr>
              <w:t xml:space="preserve">L. Jay Cross, Carlos A. Olea, Peter F. Riley, Saul Scherl, Correne Loeffler </w:t>
            </w:r>
          </w:p>
        </w:tc>
        <w:tc>
          <w:tcPr>
            <w:tcW w:w="155" w:type="dxa"/>
            <w:tcBorders/>
            <w:vAlign w:val="center"/>
          </w:tcPr>
          <w:p>
            <w:pPr>
              <w:pStyle w:val="TableContents"/>
              <w:bidi w:val="0"/>
              <w:spacing w:before="0" w:after="283"/>
              <w:jc w:val="left"/>
              <w:rPr/>
            </w:pPr>
            <w:r>
              <w:rPr/>
              <w:t>​</w:t>
            </w:r>
          </w:p>
        </w:tc>
      </w:tr>
      <w:tr>
        <w:trPr/>
        <w:tc>
          <w:tcPr>
            <w:tcW w:w="124" w:type="dxa"/>
            <w:tcBorders>
              <w:bottom w:val="single" w:sz="8" w:space="0" w:color="7F7F7F"/>
            </w:tcBorders>
            <w:tcMar>
              <w:bottom w:w="28" w:type="dxa"/>
            </w:tcMar>
            <w:vAlign w:val="center"/>
          </w:tcPr>
          <w:p>
            <w:pPr>
              <w:pStyle w:val="TableContents"/>
              <w:bidi w:val="0"/>
              <w:spacing w:before="0" w:after="283"/>
              <w:jc w:val="left"/>
              <w:rPr/>
            </w:pPr>
            <w:r>
              <w:rPr/>
              <w:t>​</w:t>
            </w:r>
          </w:p>
        </w:tc>
        <w:tc>
          <w:tcPr>
            <w:tcW w:w="631" w:type="dxa"/>
            <w:tcBorders>
              <w:bottom w:val="single" w:sz="8" w:space="0" w:color="7F7F7F"/>
            </w:tcBorders>
            <w:tcMar>
              <w:bottom w:w="46" w:type="dxa"/>
            </w:tcMar>
            <w:vAlign w:val="center"/>
          </w:tcPr>
          <w:p>
            <w:pPr>
              <w:pStyle w:val="TableContents"/>
              <w:bidi w:val="0"/>
              <w:spacing w:before="0" w:after="283"/>
              <w:jc w:val="left"/>
              <w:rPr>
                <w:spacing w:val="-1"/>
              </w:rPr>
            </w:pPr>
            <w:r>
              <w:rPr>
                <w:spacing w:val="-1"/>
              </w:rPr>
              <w:t xml:space="preserve">2021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484" w:type="dxa"/>
            <w:tcBorders>
              <w:bottom w:val="single" w:sz="8" w:space="0" w:color="7F7F7F"/>
            </w:tcBorders>
            <w:tcMar>
              <w:bottom w:w="46" w:type="dxa"/>
            </w:tcMar>
            <w:vAlign w:val="center"/>
          </w:tcPr>
          <w:p>
            <w:pPr>
              <w:pStyle w:val="TableContents"/>
              <w:bidi w:val="0"/>
              <w:spacing w:before="0" w:after="283"/>
              <w:jc w:val="left"/>
              <w:rPr>
                <w:spacing w:val="-1"/>
              </w:rPr>
            </w:pPr>
            <w:r>
              <w:rPr>
                <w:spacing w:val="-1"/>
              </w:rPr>
              <w:t xml:space="preserve">David O’Reilly </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109" w:type="dxa"/>
            <w:tcBorders>
              <w:bottom w:val="single" w:sz="8" w:space="0" w:color="7F7F7F"/>
            </w:tcBorders>
            <w:tcMar>
              <w:bottom w:w="28" w:type="dxa"/>
            </w:tcMar>
            <w:vAlign w:val="center"/>
          </w:tcPr>
          <w:p>
            <w:pPr>
              <w:pStyle w:val="TableContents"/>
              <w:bidi w:val="0"/>
              <w:spacing w:before="0" w:after="283"/>
              <w:jc w:val="left"/>
              <w:rPr/>
            </w:pPr>
            <w:r>
              <w:rPr/>
              <w:t>​</w:t>
            </w:r>
          </w:p>
        </w:tc>
        <w:tc>
          <w:tcPr>
            <w:tcW w:w="6474" w:type="dxa"/>
            <w:tcBorders>
              <w:bottom w:val="single" w:sz="8" w:space="0" w:color="7F7F7F"/>
            </w:tcBorders>
            <w:tcMar>
              <w:bottom w:w="46" w:type="dxa"/>
            </w:tcMar>
            <w:vAlign w:val="center"/>
          </w:tcPr>
          <w:p>
            <w:pPr>
              <w:pStyle w:val="TableContents"/>
              <w:bidi w:val="0"/>
              <w:spacing w:before="0" w:after="283"/>
              <w:jc w:val="left"/>
              <w:rPr/>
            </w:pPr>
            <w:r>
              <w:rPr>
                <w:spacing w:val="-1"/>
              </w:rPr>
              <w:t>L. Jay Cross, Peter F. Riley, Saul Scherl, Correne Loeffler</w:t>
            </w:r>
            <w:r>
              <w:rPr/>
              <w:t xml:space="preserve"> </w:t>
            </w:r>
          </w:p>
        </w:tc>
        <w:tc>
          <w:tcPr>
            <w:tcW w:w="155" w:type="dxa"/>
            <w:tcBorders>
              <w:bottom w:val="single" w:sz="8" w:space="0" w:color="7F7F7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40" w:after="0"/>
        <w:ind w:left="1301"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Amounts reflect Summary Compensation Table Total Pay for our NEOs for each corresponding year.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88900" distB="0" distL="0" distR="0" simplePos="0" locked="0" layoutInCell="1" allowOverlap="1" relativeHeight="615">
                <wp:simplePos x="0" y="0"/>
                <wp:positionH relativeFrom="column">
                  <wp:align>left</wp:align>
                </wp:positionH>
                <wp:positionV relativeFrom="line">
                  <wp:align>top</wp:align>
                </wp:positionV>
                <wp:extent cx="254000" cy="279400"/>
                <wp:effectExtent l="0" t="0" r="0" b="0"/>
                <wp:wrapSquare wrapText="right"/>
                <wp:docPr id="628" name="Frame499"/>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1"/>
                          <w:sz w:val="18"/>
                        </w:rPr>
                        <w:t>(2)</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60" w:after="0"/>
        <w:ind w:left="1301"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Compensation Actually Paid (CAP) has been calculated based on the requirements and methodology set forth in the </w:t>
      </w:r>
      <w:r>
        <mc:AlternateContent>
          <mc:Choice Requires="wps">
            <w:drawing>
              <wp:anchor behindDoc="0" distT="101600" distB="0" distL="0" distR="0" simplePos="0" locked="0" layoutInCell="1" allowOverlap="1" relativeHeight="616">
                <wp:simplePos x="0" y="0"/>
                <wp:positionH relativeFrom="column">
                  <wp:align>left</wp:align>
                </wp:positionH>
                <wp:positionV relativeFrom="line">
                  <wp:align>top</wp:align>
                </wp:positionV>
                <wp:extent cx="254000" cy="279400"/>
                <wp:effectExtent l="0" t="0" r="0" b="0"/>
                <wp:wrapSquare wrapText="right"/>
                <wp:docPr id="629" name="Frame500"/>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1"/>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both"/>
                        <w:rPr>
                          <w:sz w:val="18"/>
                        </w:rPr>
                      </w:pPr>
                      <w:r>
                        <w:rPr>
                          <w:spacing w:val="-1"/>
                          <w:sz w:val="18"/>
                        </w:rPr>
                        <w:t>(3)</w:t>
                      </w:r>
                      <w:r>
                        <w:rPr>
                          <w:sz w:val="18"/>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88 \ 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Executive Compensation</w:t>
      </w:r>
      <w:r>
        <w:rPr>
          <w:rFonts w:ascii="Arial;Helvetica;sans-serif" w:hAnsi="Arial;Helvetica;sans-serif"/>
          <w:b/>
          <w:i w:val="false"/>
          <w:caps w:val="false"/>
          <w:smallCaps w:val="false"/>
          <w:color w:val="7F7F7F"/>
          <w:sz w:val="22"/>
        </w:rPr>
        <w:t>​</w:t>
      </w:r>
    </w:p>
    <w:p>
      <w:pPr>
        <w:pStyle w:val="TextBody"/>
        <w:bidi w:val="0"/>
        <w:spacing w:lineRule="atLeast" w:line="220" w:before="120" w:after="283"/>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applicable SEC rules (Item 402(v) of Regulation S-K). The CAP calculation includes the end-of-year value of awards granted within the fiscal year, the change in fair value from prior year end of vested awards and the change in the fair value of unvested awards granted in prior years, regardless of whether, when, or at which intrinsic value they will actually vest. To calculate CAP for 2025 the following amounts were deducted from and added to the total compensation number shown in the Summary Compensation Table (SCT):</w:t>
      </w:r>
      <w:r>
        <w:rPr>
          <w:rFonts w:ascii="Arial;Helvetica;sans-serif" w:hAnsi="Arial;Helvetica;sans-serif"/>
          <w:b w:val="false"/>
          <w:i w:val="false"/>
          <w:caps w:val="false"/>
          <w:smallCaps w:val="false"/>
          <w:color w:val="000000"/>
          <w:spacing w:val="4"/>
          <w:sz w:val="18"/>
        </w:rPr>
        <w:t xml:space="preserve"> </w:t>
      </w:r>
    </w:p>
    <w:tbl>
      <w:tblPr>
        <w:tblW w:w="9304" w:type="dxa"/>
        <w:jc w:val="left"/>
        <w:tblInd w:w="901" w:type="dxa"/>
        <w:tblLayout w:type="fixed"/>
        <w:tblCellMar>
          <w:top w:w="0" w:type="dxa"/>
          <w:left w:w="0" w:type="dxa"/>
          <w:bottom w:w="0" w:type="dxa"/>
          <w:right w:w="0" w:type="dxa"/>
        </w:tblCellMar>
      </w:tblPr>
      <w:tblGrid>
        <w:gridCol w:w="124"/>
        <w:gridCol w:w="5304"/>
        <w:gridCol w:w="109"/>
        <w:gridCol w:w="109"/>
        <w:gridCol w:w="109"/>
        <w:gridCol w:w="226"/>
        <w:gridCol w:w="1165"/>
        <w:gridCol w:w="109"/>
        <w:gridCol w:w="109"/>
        <w:gridCol w:w="109"/>
        <w:gridCol w:w="113"/>
        <w:gridCol w:w="234"/>
        <w:gridCol w:w="1214"/>
        <w:gridCol w:w="113"/>
        <w:gridCol w:w="157"/>
      </w:tblGrid>
      <w:tr>
        <w:trPr/>
        <w:tc>
          <w:tcPr>
            <w:tcW w:w="124" w:type="dxa"/>
            <w:tcBorders/>
            <w:shd w:fill="BAD8EA" w:val="clear"/>
            <w:vAlign w:val="center"/>
          </w:tcPr>
          <w:p>
            <w:pPr>
              <w:pStyle w:val="TableContents"/>
              <w:bidi w:val="0"/>
              <w:spacing w:before="0" w:after="283"/>
              <w:jc w:val="left"/>
              <w:rPr/>
            </w:pPr>
            <w:r>
              <w:rPr/>
              <w:t>​</w:t>
            </w:r>
          </w:p>
        </w:tc>
        <w:tc>
          <w:tcPr>
            <w:tcW w:w="5304" w:type="dxa"/>
            <w:tcBorders/>
            <w:shd w:fill="BAD8EA" w:val="clear"/>
            <w:vAlign w:val="center"/>
          </w:tcPr>
          <w:p>
            <w:pPr>
              <w:pStyle w:val="TableContents"/>
              <w:bidi w:val="0"/>
              <w:spacing w:before="0" w:after="0"/>
              <w:jc w:val="left"/>
              <w:rPr>
                <w:spacing w:val="0"/>
              </w:rPr>
            </w:pPr>
            <w:r>
              <w:rPr>
                <w:spacing w:val="0"/>
              </w:rPr>
              <w:t xml:space="preserve">Reconciliation of Summary Compensation Table Total to Compensation Actually Paid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609" w:type="dxa"/>
            <w:gridSpan w:val="4"/>
            <w:tcBorders/>
            <w:shd w:fill="BAD8EA" w:val="clear"/>
            <w:vAlign w:val="center"/>
          </w:tcPr>
          <w:p>
            <w:pPr>
              <w:pStyle w:val="TableContents"/>
              <w:bidi w:val="0"/>
              <w:spacing w:lineRule="atLeast" w:line="157" w:before="0" w:after="0"/>
              <w:jc w:val="center"/>
              <w:rPr/>
            </w:pPr>
            <w:r>
              <w:rPr>
                <w:spacing w:val="0"/>
              </w:rPr>
              <w:t>Fiscal Year</w:t>
            </w:r>
            <w:r>
              <w:rPr/>
              <w:t xml:space="preserve"> </w:t>
              <w:br/>
            </w:r>
            <w:r>
              <w:rPr>
                <w:spacing w:val="-2"/>
              </w:rPr>
              <w:t>2025</w:t>
            </w:r>
            <w:r>
              <w:rPr/>
              <w:t xml:space="preserve"> </w:t>
              <w:br/>
            </w:r>
            <w:r>
              <w:rPr>
                <w:spacing w:val="0"/>
              </w:rPr>
              <w:t xml:space="preserve">(For PEO)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674" w:type="dxa"/>
            <w:gridSpan w:val="4"/>
            <w:tcBorders/>
            <w:shd w:fill="BAD8EA" w:val="clear"/>
            <w:vAlign w:val="center"/>
          </w:tcPr>
          <w:p>
            <w:pPr>
              <w:pStyle w:val="TableContents"/>
              <w:bidi w:val="0"/>
              <w:spacing w:before="0" w:after="0"/>
              <w:jc w:val="center"/>
              <w:rPr/>
            </w:pPr>
            <w:r>
              <w:rPr>
                <w:spacing w:val="0"/>
              </w:rPr>
              <w:t>Fiscal Year</w:t>
            </w:r>
            <w:r>
              <w:rPr/>
              <w:t xml:space="preserve"> </w:t>
              <w:br/>
            </w:r>
            <w:r>
              <w:rPr>
                <w:spacing w:val="-2"/>
              </w:rPr>
              <w:t>2025</w:t>
            </w:r>
            <w:r>
              <w:rPr/>
              <w:t xml:space="preserve"> </w:t>
              <w:br/>
            </w:r>
            <w:r>
              <w:rPr>
                <w:spacing w:val="0"/>
              </w:rPr>
              <w:t xml:space="preserve">(Average For </w:t>
              <w:br/>
              <w:t xml:space="preserve">Non-PEO NEOs) </w:t>
            </w:r>
          </w:p>
        </w:tc>
        <w:tc>
          <w:tcPr>
            <w:tcW w:w="157"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304" w:type="dxa"/>
            <w:tcBorders>
              <w:bottom w:val="single" w:sz="2" w:space="0" w:color="CBCAC8"/>
            </w:tcBorders>
            <w:tcMar>
              <w:bottom w:w="33" w:type="dxa"/>
            </w:tcMar>
            <w:vAlign w:val="center"/>
          </w:tcPr>
          <w:p>
            <w:pPr>
              <w:pStyle w:val="TableContents"/>
              <w:bidi w:val="0"/>
              <w:spacing w:before="0" w:after="283"/>
              <w:jc w:val="left"/>
              <w:rPr/>
            </w:pPr>
            <w:r>
              <w:rPr>
                <w:spacing w:val="0"/>
              </w:rPr>
              <w:t>Summary Compensation Table Total</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33" w:type="dxa"/>
            </w:tcMar>
            <w:vAlign w:val="center"/>
          </w:tcPr>
          <w:p>
            <w:pPr>
              <w:pStyle w:val="TableContents"/>
              <w:bidi w:val="0"/>
              <w:spacing w:before="0" w:after="283"/>
              <w:jc w:val="right"/>
              <w:rPr/>
            </w:pPr>
            <w:r>
              <w:rPr/>
              <w:t>$</w:t>
            </w:r>
          </w:p>
        </w:tc>
        <w:tc>
          <w:tcPr>
            <w:tcW w:w="1165" w:type="dxa"/>
            <w:tcBorders>
              <w:bottom w:val="single" w:sz="2" w:space="0" w:color="CBCAC8"/>
            </w:tcBorders>
            <w:tcMar>
              <w:bottom w:w="33" w:type="dxa"/>
            </w:tcMar>
            <w:vAlign w:val="center"/>
          </w:tcPr>
          <w:p>
            <w:pPr>
              <w:pStyle w:val="TableContents"/>
              <w:bidi w:val="0"/>
              <w:spacing w:before="0" w:after="283"/>
              <w:jc w:val="right"/>
              <w:rPr/>
            </w:pPr>
            <w:r>
              <w:rPr/>
              <w:t>7,826,778</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3" w:type="dxa"/>
            <w:tcBorders>
              <w:bottom w:val="single" w:sz="2" w:space="0" w:color="CBCAC8"/>
            </w:tcBorders>
            <w:tcMar>
              <w:bottom w:w="28" w:type="dxa"/>
            </w:tcMar>
            <w:vAlign w:val="center"/>
          </w:tcPr>
          <w:p>
            <w:pPr>
              <w:pStyle w:val="TableContents"/>
              <w:bidi w:val="0"/>
              <w:spacing w:before="0" w:after="283"/>
              <w:jc w:val="left"/>
              <w:rPr/>
            </w:pPr>
            <w:r>
              <w:rPr/>
              <w:t>​</w:t>
            </w:r>
          </w:p>
        </w:tc>
        <w:tc>
          <w:tcPr>
            <w:tcW w:w="234" w:type="dxa"/>
            <w:tcBorders>
              <w:bottom w:val="single" w:sz="2" w:space="0" w:color="CBCAC8"/>
            </w:tcBorders>
            <w:tcMar>
              <w:bottom w:w="33" w:type="dxa"/>
            </w:tcMar>
            <w:vAlign w:val="center"/>
          </w:tcPr>
          <w:p>
            <w:pPr>
              <w:pStyle w:val="TableContents"/>
              <w:bidi w:val="0"/>
              <w:spacing w:before="0" w:after="283"/>
              <w:jc w:val="right"/>
              <w:rPr/>
            </w:pPr>
            <w:r>
              <w:rPr/>
              <w:t>$</w:t>
            </w:r>
          </w:p>
        </w:tc>
        <w:tc>
          <w:tcPr>
            <w:tcW w:w="1214" w:type="dxa"/>
            <w:tcBorders>
              <w:bottom w:val="single" w:sz="2" w:space="0" w:color="CBCAC8"/>
            </w:tcBorders>
            <w:tcMar>
              <w:bottom w:w="33" w:type="dxa"/>
            </w:tcMar>
            <w:vAlign w:val="center"/>
          </w:tcPr>
          <w:p>
            <w:pPr>
              <w:pStyle w:val="TableContents"/>
              <w:bidi w:val="0"/>
              <w:spacing w:before="0" w:after="283"/>
              <w:jc w:val="right"/>
              <w:rPr/>
            </w:pPr>
            <w:r>
              <w:rPr/>
              <w:t>3,216,874</w:t>
            </w:r>
          </w:p>
        </w:tc>
        <w:tc>
          <w:tcPr>
            <w:tcW w:w="113" w:type="dxa"/>
            <w:tcBorders>
              <w:bottom w:val="single" w:sz="2" w:space="0" w:color="CBCAC8"/>
            </w:tcBorders>
            <w:tcMar>
              <w:bottom w:w="28" w:type="dxa"/>
            </w:tcMar>
            <w:vAlign w:val="center"/>
          </w:tcPr>
          <w:p>
            <w:pPr>
              <w:pStyle w:val="TableContents"/>
              <w:bidi w:val="0"/>
              <w:spacing w:before="0" w:after="283"/>
              <w:jc w:val="left"/>
              <w:rPr/>
            </w:pPr>
            <w:r>
              <w:rPr/>
              <w:t>​</w:t>
            </w:r>
          </w:p>
        </w:tc>
        <w:tc>
          <w:tcPr>
            <w:tcW w:w="157"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304" w:type="dxa"/>
            <w:tcBorders>
              <w:bottom w:val="single" w:sz="2" w:space="0" w:color="CBCAC8"/>
            </w:tcBorders>
            <w:tcMar>
              <w:bottom w:w="33" w:type="dxa"/>
            </w:tcMar>
            <w:vAlign w:val="center"/>
          </w:tcPr>
          <w:p>
            <w:pPr>
              <w:pStyle w:val="TableContents"/>
              <w:bidi w:val="0"/>
              <w:spacing w:before="0" w:after="0"/>
              <w:ind w:left="180" w:right="0" w:hanging="0"/>
              <w:jc w:val="left"/>
              <w:rPr>
                <w:b/>
              </w:rPr>
            </w:pPr>
            <w:r>
              <w:rPr>
                <w:b/>
                <w:spacing w:val="0"/>
              </w:rPr>
              <w:t>(Minus)</w:t>
            </w:r>
            <w:r>
              <w:rPr>
                <w:b w:val="false"/>
                <w:spacing w:val="-1"/>
              </w:rPr>
              <w:t xml:space="preserve">: Grant Date Fair Value of Option and Stock Awards Granted in Fiscal Year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33" w:type="dxa"/>
            </w:tcMar>
            <w:vAlign w:val="center"/>
          </w:tcPr>
          <w:p>
            <w:pPr>
              <w:pStyle w:val="TableContents"/>
              <w:bidi w:val="0"/>
              <w:spacing w:before="0" w:after="283"/>
              <w:jc w:val="right"/>
              <w:rPr/>
            </w:pPr>
            <w:r>
              <w:rPr/>
              <w:t>$</w:t>
            </w:r>
          </w:p>
        </w:tc>
        <w:tc>
          <w:tcPr>
            <w:tcW w:w="1165" w:type="dxa"/>
            <w:tcBorders>
              <w:bottom w:val="single" w:sz="2" w:space="0" w:color="CBCAC8"/>
            </w:tcBorders>
            <w:tcMar>
              <w:bottom w:w="33" w:type="dxa"/>
            </w:tcMar>
            <w:vAlign w:val="center"/>
          </w:tcPr>
          <w:p>
            <w:pPr>
              <w:pStyle w:val="TableContents"/>
              <w:bidi w:val="0"/>
              <w:spacing w:before="0" w:after="283"/>
              <w:jc w:val="right"/>
              <w:rPr/>
            </w:pPr>
            <w:r>
              <w:rPr/>
              <w:t>(4,677,785)</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3" w:type="dxa"/>
            <w:tcBorders>
              <w:bottom w:val="single" w:sz="2" w:space="0" w:color="CBCAC8"/>
            </w:tcBorders>
            <w:tcMar>
              <w:bottom w:w="28" w:type="dxa"/>
            </w:tcMar>
            <w:vAlign w:val="center"/>
          </w:tcPr>
          <w:p>
            <w:pPr>
              <w:pStyle w:val="TableContents"/>
              <w:bidi w:val="0"/>
              <w:spacing w:before="0" w:after="283"/>
              <w:jc w:val="left"/>
              <w:rPr/>
            </w:pPr>
            <w:r>
              <w:rPr/>
              <w:t>​</w:t>
            </w:r>
          </w:p>
        </w:tc>
        <w:tc>
          <w:tcPr>
            <w:tcW w:w="234" w:type="dxa"/>
            <w:tcBorders>
              <w:bottom w:val="single" w:sz="2" w:space="0" w:color="CBCAC8"/>
            </w:tcBorders>
            <w:tcMar>
              <w:bottom w:w="33" w:type="dxa"/>
            </w:tcMar>
            <w:vAlign w:val="center"/>
          </w:tcPr>
          <w:p>
            <w:pPr>
              <w:pStyle w:val="TableContents"/>
              <w:bidi w:val="0"/>
              <w:spacing w:before="0" w:after="283"/>
              <w:jc w:val="right"/>
              <w:rPr/>
            </w:pPr>
            <w:r>
              <w:rPr/>
              <w:t>$</w:t>
            </w:r>
          </w:p>
        </w:tc>
        <w:tc>
          <w:tcPr>
            <w:tcW w:w="1214" w:type="dxa"/>
            <w:tcBorders>
              <w:bottom w:val="single" w:sz="2" w:space="0" w:color="CBCAC8"/>
            </w:tcBorders>
            <w:tcMar>
              <w:bottom w:w="33" w:type="dxa"/>
            </w:tcMar>
            <w:vAlign w:val="center"/>
          </w:tcPr>
          <w:p>
            <w:pPr>
              <w:pStyle w:val="TableContents"/>
              <w:bidi w:val="0"/>
              <w:spacing w:before="0" w:after="283"/>
              <w:jc w:val="right"/>
              <w:rPr/>
            </w:pPr>
            <w:r>
              <w:rPr/>
              <w:t>(1,195,455)</w:t>
            </w:r>
          </w:p>
        </w:tc>
        <w:tc>
          <w:tcPr>
            <w:tcW w:w="113" w:type="dxa"/>
            <w:tcBorders>
              <w:bottom w:val="single" w:sz="2" w:space="0" w:color="CBCAC8"/>
            </w:tcBorders>
            <w:tcMar>
              <w:bottom w:w="28" w:type="dxa"/>
            </w:tcMar>
            <w:vAlign w:val="center"/>
          </w:tcPr>
          <w:p>
            <w:pPr>
              <w:pStyle w:val="TableContents"/>
              <w:bidi w:val="0"/>
              <w:spacing w:before="0" w:after="283"/>
              <w:jc w:val="left"/>
              <w:rPr/>
            </w:pPr>
            <w:r>
              <w:rPr/>
              <w:t>​</w:t>
            </w:r>
          </w:p>
        </w:tc>
        <w:tc>
          <w:tcPr>
            <w:tcW w:w="157"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304" w:type="dxa"/>
            <w:tcBorders>
              <w:bottom w:val="single" w:sz="2" w:space="0" w:color="CBCAC8"/>
            </w:tcBorders>
            <w:tcMar>
              <w:bottom w:w="28" w:type="dxa"/>
            </w:tcMar>
            <w:vAlign w:val="center"/>
          </w:tcPr>
          <w:p>
            <w:pPr>
              <w:pStyle w:val="TableContents"/>
              <w:bidi w:val="0"/>
              <w:spacing w:before="0" w:after="0"/>
              <w:ind w:left="180" w:right="0" w:hanging="0"/>
              <w:jc w:val="left"/>
              <w:rPr/>
            </w:pPr>
            <w:r>
              <w:rPr>
                <w:b/>
                <w:spacing w:val="0"/>
              </w:rPr>
              <w:t>Plus:</w:t>
            </w:r>
            <w:r>
              <w:rPr>
                <w:spacing w:val="-1"/>
              </w:rPr>
              <w:t xml:space="preserve"> Fair Value at Fiscal Year-End of Outstanding and Unvested Option and Stock Awards Granted in Fiscal Year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28" w:type="dxa"/>
            </w:tcMar>
            <w:vAlign w:val="center"/>
          </w:tcPr>
          <w:p>
            <w:pPr>
              <w:pStyle w:val="TableContents"/>
              <w:bidi w:val="0"/>
              <w:spacing w:before="0" w:after="283"/>
              <w:jc w:val="right"/>
              <w:rPr/>
            </w:pPr>
            <w:r>
              <w:rPr/>
              <w:t>$</w:t>
            </w:r>
          </w:p>
        </w:tc>
        <w:tc>
          <w:tcPr>
            <w:tcW w:w="1165" w:type="dxa"/>
            <w:tcBorders>
              <w:bottom w:val="single" w:sz="2" w:space="0" w:color="CBCAC8"/>
            </w:tcBorders>
            <w:tcMar>
              <w:bottom w:w="28" w:type="dxa"/>
            </w:tcMar>
            <w:vAlign w:val="center"/>
          </w:tcPr>
          <w:p>
            <w:pPr>
              <w:pStyle w:val="TableContents"/>
              <w:bidi w:val="0"/>
              <w:spacing w:before="0" w:after="283"/>
              <w:jc w:val="right"/>
              <w:rPr/>
            </w:pPr>
            <w:r>
              <w:rPr/>
              <w:t>2,364,383</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3" w:type="dxa"/>
            <w:tcBorders>
              <w:bottom w:val="single" w:sz="2" w:space="0" w:color="CBCAC8"/>
            </w:tcBorders>
            <w:tcMar>
              <w:bottom w:w="28" w:type="dxa"/>
            </w:tcMar>
            <w:vAlign w:val="center"/>
          </w:tcPr>
          <w:p>
            <w:pPr>
              <w:pStyle w:val="TableContents"/>
              <w:bidi w:val="0"/>
              <w:spacing w:before="0" w:after="283"/>
              <w:jc w:val="left"/>
              <w:rPr/>
            </w:pPr>
            <w:r>
              <w:rPr/>
              <w:t>​</w:t>
            </w:r>
          </w:p>
        </w:tc>
        <w:tc>
          <w:tcPr>
            <w:tcW w:w="234" w:type="dxa"/>
            <w:tcBorders>
              <w:bottom w:val="single" w:sz="2" w:space="0" w:color="CBCAC8"/>
            </w:tcBorders>
            <w:tcMar>
              <w:bottom w:w="28" w:type="dxa"/>
            </w:tcMar>
            <w:vAlign w:val="center"/>
          </w:tcPr>
          <w:p>
            <w:pPr>
              <w:pStyle w:val="TableContents"/>
              <w:bidi w:val="0"/>
              <w:spacing w:before="0" w:after="283"/>
              <w:jc w:val="right"/>
              <w:rPr/>
            </w:pPr>
            <w:r>
              <w:rPr/>
              <w:t>$</w:t>
            </w:r>
          </w:p>
        </w:tc>
        <w:tc>
          <w:tcPr>
            <w:tcW w:w="1214" w:type="dxa"/>
            <w:tcBorders>
              <w:bottom w:val="single" w:sz="2" w:space="0" w:color="CBCAC8"/>
            </w:tcBorders>
            <w:tcMar>
              <w:bottom w:w="28" w:type="dxa"/>
            </w:tcMar>
            <w:vAlign w:val="center"/>
          </w:tcPr>
          <w:p>
            <w:pPr>
              <w:pStyle w:val="TableContents"/>
              <w:bidi w:val="0"/>
              <w:spacing w:before="0" w:after="283"/>
              <w:jc w:val="right"/>
              <w:rPr/>
            </w:pPr>
            <w:r>
              <w:rPr/>
              <w:t>362,539</w:t>
            </w:r>
          </w:p>
        </w:tc>
        <w:tc>
          <w:tcPr>
            <w:tcW w:w="113" w:type="dxa"/>
            <w:tcBorders>
              <w:bottom w:val="single" w:sz="2" w:space="0" w:color="CBCAC8"/>
            </w:tcBorders>
            <w:tcMar>
              <w:bottom w:w="28" w:type="dxa"/>
            </w:tcMar>
            <w:vAlign w:val="center"/>
          </w:tcPr>
          <w:p>
            <w:pPr>
              <w:pStyle w:val="TableContents"/>
              <w:bidi w:val="0"/>
              <w:spacing w:before="0" w:after="283"/>
              <w:jc w:val="left"/>
              <w:rPr/>
            </w:pPr>
            <w:r>
              <w:rPr/>
              <w:t>​</w:t>
            </w:r>
          </w:p>
        </w:tc>
        <w:tc>
          <w:tcPr>
            <w:tcW w:w="157"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304" w:type="dxa"/>
            <w:tcBorders>
              <w:bottom w:val="single" w:sz="2" w:space="0" w:color="CBCAC8"/>
            </w:tcBorders>
            <w:tcMar>
              <w:bottom w:w="28" w:type="dxa"/>
            </w:tcMar>
            <w:vAlign w:val="center"/>
          </w:tcPr>
          <w:p>
            <w:pPr>
              <w:pStyle w:val="TableContents"/>
              <w:bidi w:val="0"/>
              <w:spacing w:lineRule="atLeast" w:line="216" w:before="0" w:after="0"/>
              <w:ind w:left="180" w:right="0" w:hanging="0"/>
              <w:jc w:val="left"/>
              <w:rPr/>
            </w:pPr>
            <w:r>
              <w:rPr>
                <w:b/>
                <w:spacing w:val="0"/>
              </w:rPr>
              <w:t>Plus/(Minus):</w:t>
            </w:r>
            <w:r>
              <w:rPr>
                <w:spacing w:val="-1"/>
              </w:rPr>
              <w:t xml:space="preserve"> Change in Fair Value of Outstanding and Unvested Option and Stock </w:t>
              <w:br/>
              <w:t xml:space="preserve">Awards Granted in Prior Fiscal Years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28" w:type="dxa"/>
            </w:tcMar>
            <w:vAlign w:val="center"/>
          </w:tcPr>
          <w:p>
            <w:pPr>
              <w:pStyle w:val="TableContents"/>
              <w:bidi w:val="0"/>
              <w:spacing w:before="0" w:after="283"/>
              <w:jc w:val="right"/>
              <w:rPr/>
            </w:pPr>
            <w:r>
              <w:rPr/>
              <w:t>$</w:t>
            </w:r>
          </w:p>
        </w:tc>
        <w:tc>
          <w:tcPr>
            <w:tcW w:w="1165" w:type="dxa"/>
            <w:tcBorders>
              <w:bottom w:val="single" w:sz="2" w:space="0" w:color="CBCAC8"/>
            </w:tcBorders>
            <w:tcMar>
              <w:bottom w:w="28" w:type="dxa"/>
            </w:tcMar>
            <w:vAlign w:val="center"/>
          </w:tcPr>
          <w:p>
            <w:pPr>
              <w:pStyle w:val="TableContents"/>
              <w:bidi w:val="0"/>
              <w:spacing w:before="0" w:after="283"/>
              <w:jc w:val="right"/>
              <w:rPr/>
            </w:pPr>
            <w:r>
              <w:rPr/>
              <w:t>126,891</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3" w:type="dxa"/>
            <w:tcBorders>
              <w:bottom w:val="single" w:sz="2" w:space="0" w:color="CBCAC8"/>
            </w:tcBorders>
            <w:tcMar>
              <w:bottom w:w="28" w:type="dxa"/>
            </w:tcMar>
            <w:vAlign w:val="center"/>
          </w:tcPr>
          <w:p>
            <w:pPr>
              <w:pStyle w:val="TableContents"/>
              <w:bidi w:val="0"/>
              <w:spacing w:before="0" w:after="283"/>
              <w:jc w:val="left"/>
              <w:rPr/>
            </w:pPr>
            <w:r>
              <w:rPr/>
              <w:t>​</w:t>
            </w:r>
          </w:p>
        </w:tc>
        <w:tc>
          <w:tcPr>
            <w:tcW w:w="234" w:type="dxa"/>
            <w:tcBorders>
              <w:bottom w:val="single" w:sz="2" w:space="0" w:color="CBCAC8"/>
            </w:tcBorders>
            <w:tcMar>
              <w:bottom w:w="28" w:type="dxa"/>
            </w:tcMar>
            <w:vAlign w:val="center"/>
          </w:tcPr>
          <w:p>
            <w:pPr>
              <w:pStyle w:val="TableContents"/>
              <w:bidi w:val="0"/>
              <w:spacing w:before="0" w:after="283"/>
              <w:jc w:val="right"/>
              <w:rPr/>
            </w:pPr>
            <w:r>
              <w:rPr/>
              <w:t>$</w:t>
            </w:r>
          </w:p>
        </w:tc>
        <w:tc>
          <w:tcPr>
            <w:tcW w:w="1214" w:type="dxa"/>
            <w:tcBorders>
              <w:bottom w:val="single" w:sz="2" w:space="0" w:color="CBCAC8"/>
            </w:tcBorders>
            <w:tcMar>
              <w:bottom w:w="28" w:type="dxa"/>
            </w:tcMar>
            <w:vAlign w:val="center"/>
          </w:tcPr>
          <w:p>
            <w:pPr>
              <w:pStyle w:val="TableContents"/>
              <w:bidi w:val="0"/>
              <w:spacing w:before="0" w:after="283"/>
              <w:jc w:val="right"/>
              <w:rPr/>
            </w:pPr>
            <w:r>
              <w:rPr/>
              <w:t>35,467</w:t>
            </w:r>
          </w:p>
        </w:tc>
        <w:tc>
          <w:tcPr>
            <w:tcW w:w="113" w:type="dxa"/>
            <w:tcBorders>
              <w:bottom w:val="single" w:sz="2" w:space="0" w:color="CBCAC8"/>
            </w:tcBorders>
            <w:tcMar>
              <w:bottom w:w="28" w:type="dxa"/>
            </w:tcMar>
            <w:vAlign w:val="center"/>
          </w:tcPr>
          <w:p>
            <w:pPr>
              <w:pStyle w:val="TableContents"/>
              <w:bidi w:val="0"/>
              <w:spacing w:before="0" w:after="283"/>
              <w:jc w:val="left"/>
              <w:rPr/>
            </w:pPr>
            <w:r>
              <w:rPr/>
              <w:t>​</w:t>
            </w:r>
          </w:p>
        </w:tc>
        <w:tc>
          <w:tcPr>
            <w:tcW w:w="157"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304" w:type="dxa"/>
            <w:tcBorders>
              <w:bottom w:val="single" w:sz="2" w:space="0" w:color="CBCAC8"/>
            </w:tcBorders>
            <w:tcMar>
              <w:bottom w:w="28" w:type="dxa"/>
            </w:tcMar>
            <w:vAlign w:val="center"/>
          </w:tcPr>
          <w:p>
            <w:pPr>
              <w:pStyle w:val="TableContents"/>
              <w:bidi w:val="0"/>
              <w:spacing w:lineRule="atLeast" w:line="216" w:before="0" w:after="0"/>
              <w:ind w:left="180" w:right="0" w:hanging="0"/>
              <w:jc w:val="left"/>
              <w:rPr/>
            </w:pPr>
            <w:r>
              <w:rPr>
                <w:b/>
                <w:spacing w:val="0"/>
              </w:rPr>
              <w:t>Plus:</w:t>
            </w:r>
            <w:r>
              <w:rPr>
                <w:spacing w:val="-1"/>
              </w:rPr>
              <w:t xml:space="preserve"> Fair Value at Vesting of Option and Stock Awards Granted in Fiscal Year That </w:t>
              <w:br/>
              <w:t xml:space="preserve">Vested During Fiscal Year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28" w:type="dxa"/>
            </w:tcMar>
            <w:vAlign w:val="center"/>
          </w:tcPr>
          <w:p>
            <w:pPr>
              <w:pStyle w:val="TableContents"/>
              <w:bidi w:val="0"/>
              <w:spacing w:before="0" w:after="283"/>
              <w:jc w:val="right"/>
              <w:rPr/>
            </w:pPr>
            <w:r>
              <w:rPr/>
              <w:t>$</w:t>
            </w:r>
          </w:p>
        </w:tc>
        <w:tc>
          <w:tcPr>
            <w:tcW w:w="1165" w:type="dxa"/>
            <w:tcBorders>
              <w:bottom w:val="single" w:sz="2" w:space="0" w:color="CBCAC8"/>
            </w:tcBorders>
            <w:tcMar>
              <w:bottom w:w="28" w:type="dxa"/>
            </w:tcMar>
            <w:vAlign w:val="center"/>
          </w:tcPr>
          <w:p>
            <w:pPr>
              <w:pStyle w:val="TableContents"/>
              <w:bidi w:val="0"/>
              <w:spacing w:before="0" w:after="283"/>
              <w:jc w:val="right"/>
              <w:rPr/>
            </w:pPr>
            <w:r>
              <w:rPr/>
              <w:t>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3" w:type="dxa"/>
            <w:tcBorders>
              <w:bottom w:val="single" w:sz="2" w:space="0" w:color="CBCAC8"/>
            </w:tcBorders>
            <w:tcMar>
              <w:bottom w:w="28" w:type="dxa"/>
            </w:tcMar>
            <w:vAlign w:val="center"/>
          </w:tcPr>
          <w:p>
            <w:pPr>
              <w:pStyle w:val="TableContents"/>
              <w:bidi w:val="0"/>
              <w:spacing w:before="0" w:after="283"/>
              <w:jc w:val="left"/>
              <w:rPr/>
            </w:pPr>
            <w:r>
              <w:rPr/>
              <w:t>​</w:t>
            </w:r>
          </w:p>
        </w:tc>
        <w:tc>
          <w:tcPr>
            <w:tcW w:w="234" w:type="dxa"/>
            <w:tcBorders>
              <w:bottom w:val="single" w:sz="2" w:space="0" w:color="CBCAC8"/>
            </w:tcBorders>
            <w:tcMar>
              <w:bottom w:w="28" w:type="dxa"/>
            </w:tcMar>
            <w:vAlign w:val="center"/>
          </w:tcPr>
          <w:p>
            <w:pPr>
              <w:pStyle w:val="TableContents"/>
              <w:bidi w:val="0"/>
              <w:spacing w:before="0" w:after="283"/>
              <w:jc w:val="right"/>
              <w:rPr/>
            </w:pPr>
            <w:r>
              <w:rPr/>
              <w:t>$</w:t>
            </w:r>
          </w:p>
        </w:tc>
        <w:tc>
          <w:tcPr>
            <w:tcW w:w="1214" w:type="dxa"/>
            <w:tcBorders>
              <w:bottom w:val="single" w:sz="2" w:space="0" w:color="CBCAC8"/>
            </w:tcBorders>
            <w:tcMar>
              <w:bottom w:w="28" w:type="dxa"/>
            </w:tcMar>
            <w:vAlign w:val="center"/>
          </w:tcPr>
          <w:p>
            <w:pPr>
              <w:pStyle w:val="TableContents"/>
              <w:bidi w:val="0"/>
              <w:spacing w:before="0" w:after="283"/>
              <w:jc w:val="right"/>
              <w:rPr/>
            </w:pPr>
            <w:r>
              <w:rPr/>
              <w:t>204,525</w:t>
            </w:r>
          </w:p>
        </w:tc>
        <w:tc>
          <w:tcPr>
            <w:tcW w:w="113" w:type="dxa"/>
            <w:tcBorders>
              <w:bottom w:val="single" w:sz="2" w:space="0" w:color="CBCAC8"/>
            </w:tcBorders>
            <w:tcMar>
              <w:bottom w:w="28" w:type="dxa"/>
            </w:tcMar>
            <w:vAlign w:val="center"/>
          </w:tcPr>
          <w:p>
            <w:pPr>
              <w:pStyle w:val="TableContents"/>
              <w:bidi w:val="0"/>
              <w:spacing w:before="0" w:after="283"/>
              <w:jc w:val="left"/>
              <w:rPr/>
            </w:pPr>
            <w:r>
              <w:rPr/>
              <w:t>​</w:t>
            </w:r>
          </w:p>
        </w:tc>
        <w:tc>
          <w:tcPr>
            <w:tcW w:w="157"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304" w:type="dxa"/>
            <w:tcBorders>
              <w:bottom w:val="single" w:sz="2" w:space="0" w:color="CBCAC8"/>
            </w:tcBorders>
            <w:tcMar>
              <w:bottom w:w="28" w:type="dxa"/>
            </w:tcMar>
            <w:vAlign w:val="center"/>
          </w:tcPr>
          <w:p>
            <w:pPr>
              <w:pStyle w:val="TableContents"/>
              <w:bidi w:val="0"/>
              <w:spacing w:lineRule="atLeast" w:line="216" w:before="0" w:after="0"/>
              <w:ind w:left="180" w:right="0" w:hanging="0"/>
              <w:jc w:val="left"/>
              <w:rPr/>
            </w:pPr>
            <w:r>
              <w:rPr>
                <w:b/>
                <w:spacing w:val="0"/>
              </w:rPr>
              <w:t>Plus/(Minus):</w:t>
            </w:r>
            <w:r>
              <w:rPr>
                <w:spacing w:val="-1"/>
              </w:rPr>
              <w:t xml:space="preserve"> Change in Fair Value as of Vesting Date of Option and Stock Awards </w:t>
              <w:br/>
              <w:t xml:space="preserve">Granted in Prior Fiscal Years For Which Applicable Vesting Conditions Were </w:t>
              <w:br/>
              <w:t xml:space="preserve">Satisfied During Fiscal Year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28" w:type="dxa"/>
            </w:tcMar>
            <w:vAlign w:val="center"/>
          </w:tcPr>
          <w:p>
            <w:pPr>
              <w:pStyle w:val="TableContents"/>
              <w:bidi w:val="0"/>
              <w:spacing w:before="0" w:after="283"/>
              <w:jc w:val="right"/>
              <w:rPr/>
            </w:pPr>
            <w:r>
              <w:rPr/>
              <w:t>$</w:t>
            </w:r>
          </w:p>
        </w:tc>
        <w:tc>
          <w:tcPr>
            <w:tcW w:w="1165" w:type="dxa"/>
            <w:tcBorders>
              <w:bottom w:val="single" w:sz="2" w:space="0" w:color="CBCAC8"/>
            </w:tcBorders>
            <w:tcMar>
              <w:bottom w:w="28" w:type="dxa"/>
            </w:tcMar>
            <w:vAlign w:val="center"/>
          </w:tcPr>
          <w:p>
            <w:pPr>
              <w:pStyle w:val="TableContents"/>
              <w:bidi w:val="0"/>
              <w:spacing w:before="0" w:after="283"/>
              <w:jc w:val="right"/>
              <w:rPr/>
            </w:pPr>
            <w:r>
              <w:rPr/>
              <w:t>726,523</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3" w:type="dxa"/>
            <w:tcBorders>
              <w:bottom w:val="single" w:sz="2" w:space="0" w:color="CBCAC8"/>
            </w:tcBorders>
            <w:tcMar>
              <w:bottom w:w="28" w:type="dxa"/>
            </w:tcMar>
            <w:vAlign w:val="center"/>
          </w:tcPr>
          <w:p>
            <w:pPr>
              <w:pStyle w:val="TableContents"/>
              <w:bidi w:val="0"/>
              <w:spacing w:before="0" w:after="283"/>
              <w:jc w:val="left"/>
              <w:rPr/>
            </w:pPr>
            <w:r>
              <w:rPr/>
              <w:t>​</w:t>
            </w:r>
          </w:p>
        </w:tc>
        <w:tc>
          <w:tcPr>
            <w:tcW w:w="234" w:type="dxa"/>
            <w:tcBorders>
              <w:bottom w:val="single" w:sz="2" w:space="0" w:color="CBCAC8"/>
            </w:tcBorders>
            <w:tcMar>
              <w:bottom w:w="28" w:type="dxa"/>
            </w:tcMar>
            <w:vAlign w:val="center"/>
          </w:tcPr>
          <w:p>
            <w:pPr>
              <w:pStyle w:val="TableContents"/>
              <w:bidi w:val="0"/>
              <w:spacing w:before="0" w:after="283"/>
              <w:jc w:val="right"/>
              <w:rPr/>
            </w:pPr>
            <w:r>
              <w:rPr/>
              <w:t>$</w:t>
            </w:r>
          </w:p>
        </w:tc>
        <w:tc>
          <w:tcPr>
            <w:tcW w:w="1214" w:type="dxa"/>
            <w:tcBorders>
              <w:bottom w:val="single" w:sz="2" w:space="0" w:color="CBCAC8"/>
            </w:tcBorders>
            <w:tcMar>
              <w:bottom w:w="28" w:type="dxa"/>
            </w:tcMar>
            <w:vAlign w:val="center"/>
          </w:tcPr>
          <w:p>
            <w:pPr>
              <w:pStyle w:val="TableContents"/>
              <w:bidi w:val="0"/>
              <w:spacing w:before="0" w:after="283"/>
              <w:jc w:val="right"/>
              <w:rPr/>
            </w:pPr>
            <w:r>
              <w:rPr/>
              <w:t>116,999</w:t>
            </w:r>
          </w:p>
        </w:tc>
        <w:tc>
          <w:tcPr>
            <w:tcW w:w="113" w:type="dxa"/>
            <w:tcBorders>
              <w:bottom w:val="single" w:sz="2" w:space="0" w:color="CBCAC8"/>
            </w:tcBorders>
            <w:tcMar>
              <w:bottom w:w="28" w:type="dxa"/>
            </w:tcMar>
            <w:vAlign w:val="center"/>
          </w:tcPr>
          <w:p>
            <w:pPr>
              <w:pStyle w:val="TableContents"/>
              <w:bidi w:val="0"/>
              <w:spacing w:before="0" w:after="283"/>
              <w:jc w:val="left"/>
              <w:rPr/>
            </w:pPr>
            <w:r>
              <w:rPr/>
              <w:t>​</w:t>
            </w:r>
          </w:p>
        </w:tc>
        <w:tc>
          <w:tcPr>
            <w:tcW w:w="157"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304" w:type="dxa"/>
            <w:tcBorders>
              <w:bottom w:val="single" w:sz="2" w:space="0" w:color="CBCAC8"/>
            </w:tcBorders>
            <w:tcMar>
              <w:bottom w:w="28" w:type="dxa"/>
            </w:tcMar>
            <w:vAlign w:val="center"/>
          </w:tcPr>
          <w:p>
            <w:pPr>
              <w:pStyle w:val="TableContents"/>
              <w:bidi w:val="0"/>
              <w:spacing w:lineRule="atLeast" w:line="216" w:before="0" w:after="0"/>
              <w:ind w:left="180" w:right="0" w:hanging="0"/>
              <w:jc w:val="left"/>
              <w:rPr/>
            </w:pPr>
            <w:r>
              <w:rPr>
                <w:b/>
                <w:spacing w:val="0"/>
              </w:rPr>
              <w:t>(Minus):</w:t>
            </w:r>
            <w:r>
              <w:rPr>
                <w:spacing w:val="-1"/>
              </w:rPr>
              <w:t xml:space="preserve"> Fair Value as of Prior Fiscal Year-End of Option and Stock Awards Granted </w:t>
              <w:br/>
              <w:t xml:space="preserve">in Prior Fiscal Years That Failed to Meet Applicable Vesting Conditions During Fiscal </w:t>
              <w:br/>
              <w:t xml:space="preserve">Year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28" w:type="dxa"/>
            </w:tcMar>
            <w:vAlign w:val="center"/>
          </w:tcPr>
          <w:p>
            <w:pPr>
              <w:pStyle w:val="TableContents"/>
              <w:bidi w:val="0"/>
              <w:spacing w:before="0" w:after="283"/>
              <w:jc w:val="right"/>
              <w:rPr/>
            </w:pPr>
            <w:r>
              <w:rPr/>
              <w:t>$</w:t>
            </w:r>
          </w:p>
        </w:tc>
        <w:tc>
          <w:tcPr>
            <w:tcW w:w="1165" w:type="dxa"/>
            <w:tcBorders>
              <w:bottom w:val="single" w:sz="2" w:space="0" w:color="CBCAC8"/>
            </w:tcBorders>
            <w:tcMar>
              <w:bottom w:w="28" w:type="dxa"/>
            </w:tcMar>
            <w:vAlign w:val="center"/>
          </w:tcPr>
          <w:p>
            <w:pPr>
              <w:pStyle w:val="TableContents"/>
              <w:bidi w:val="0"/>
              <w:spacing w:before="0" w:after="283"/>
              <w:jc w:val="right"/>
              <w:rPr/>
            </w:pPr>
            <w:r>
              <w:rPr/>
              <w:t>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3" w:type="dxa"/>
            <w:tcBorders>
              <w:bottom w:val="single" w:sz="2" w:space="0" w:color="CBCAC8"/>
            </w:tcBorders>
            <w:tcMar>
              <w:bottom w:w="28" w:type="dxa"/>
            </w:tcMar>
            <w:vAlign w:val="center"/>
          </w:tcPr>
          <w:p>
            <w:pPr>
              <w:pStyle w:val="TableContents"/>
              <w:bidi w:val="0"/>
              <w:spacing w:before="0" w:after="283"/>
              <w:jc w:val="left"/>
              <w:rPr/>
            </w:pPr>
            <w:r>
              <w:rPr/>
              <w:t>​</w:t>
            </w:r>
          </w:p>
        </w:tc>
        <w:tc>
          <w:tcPr>
            <w:tcW w:w="234" w:type="dxa"/>
            <w:tcBorders>
              <w:bottom w:val="single" w:sz="2" w:space="0" w:color="CBCAC8"/>
            </w:tcBorders>
            <w:tcMar>
              <w:bottom w:w="28" w:type="dxa"/>
            </w:tcMar>
            <w:vAlign w:val="center"/>
          </w:tcPr>
          <w:p>
            <w:pPr>
              <w:pStyle w:val="TableContents"/>
              <w:bidi w:val="0"/>
              <w:spacing w:before="0" w:after="283"/>
              <w:jc w:val="right"/>
              <w:rPr/>
            </w:pPr>
            <w:r>
              <w:rPr/>
              <w:t>$</w:t>
            </w:r>
          </w:p>
        </w:tc>
        <w:tc>
          <w:tcPr>
            <w:tcW w:w="1214" w:type="dxa"/>
            <w:tcBorders>
              <w:bottom w:val="single" w:sz="2" w:space="0" w:color="CBCAC8"/>
            </w:tcBorders>
            <w:tcMar>
              <w:bottom w:w="28" w:type="dxa"/>
            </w:tcMar>
            <w:vAlign w:val="center"/>
          </w:tcPr>
          <w:p>
            <w:pPr>
              <w:pStyle w:val="TableContents"/>
              <w:bidi w:val="0"/>
              <w:spacing w:before="0" w:after="283"/>
              <w:jc w:val="right"/>
              <w:rPr/>
            </w:pPr>
            <w:r>
              <w:rPr/>
              <w:t>0</w:t>
            </w:r>
          </w:p>
        </w:tc>
        <w:tc>
          <w:tcPr>
            <w:tcW w:w="113" w:type="dxa"/>
            <w:tcBorders>
              <w:bottom w:val="single" w:sz="2" w:space="0" w:color="CBCAC8"/>
            </w:tcBorders>
            <w:tcMar>
              <w:bottom w:w="28" w:type="dxa"/>
            </w:tcMar>
            <w:vAlign w:val="center"/>
          </w:tcPr>
          <w:p>
            <w:pPr>
              <w:pStyle w:val="TableContents"/>
              <w:bidi w:val="0"/>
              <w:spacing w:before="0" w:after="283"/>
              <w:jc w:val="left"/>
              <w:rPr/>
            </w:pPr>
            <w:r>
              <w:rPr/>
              <w:t>​</w:t>
            </w:r>
          </w:p>
        </w:tc>
        <w:tc>
          <w:tcPr>
            <w:tcW w:w="157"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304" w:type="dxa"/>
            <w:tcBorders>
              <w:bottom w:val="single" w:sz="2" w:space="0" w:color="CBCAC8"/>
            </w:tcBorders>
            <w:tcMar>
              <w:bottom w:w="28" w:type="dxa"/>
            </w:tcMar>
            <w:vAlign w:val="center"/>
          </w:tcPr>
          <w:p>
            <w:pPr>
              <w:pStyle w:val="TableContents"/>
              <w:bidi w:val="0"/>
              <w:spacing w:lineRule="atLeast" w:line="216" w:before="0" w:after="0"/>
              <w:ind w:left="180" w:right="0" w:hanging="0"/>
              <w:jc w:val="left"/>
              <w:rPr>
                <w:b/>
              </w:rPr>
            </w:pPr>
            <w:r>
              <w:rPr>
                <w:b/>
                <w:spacing w:val="0"/>
              </w:rPr>
              <w:t>Plus/(Minus)</w:t>
            </w:r>
            <w:r>
              <w:rPr>
                <w:b/>
                <w:spacing w:val="-2"/>
              </w:rPr>
              <w:t>:</w:t>
            </w:r>
            <w:r>
              <w:rPr>
                <w:b/>
                <w:spacing w:val="-1"/>
              </w:rPr>
              <w:t xml:space="preserve"> </w:t>
            </w:r>
            <w:r>
              <w:rPr>
                <w:b w:val="false"/>
                <w:spacing w:val="-1"/>
              </w:rPr>
              <w:t xml:space="preserve">Value of Dividends or Other Earnings Paid on Option and Stock Awards Not Otherwise Reflected in Total Compensation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28" w:type="dxa"/>
            </w:tcMar>
            <w:vAlign w:val="center"/>
          </w:tcPr>
          <w:p>
            <w:pPr>
              <w:pStyle w:val="TableContents"/>
              <w:bidi w:val="0"/>
              <w:spacing w:before="0" w:after="283"/>
              <w:jc w:val="right"/>
              <w:rPr/>
            </w:pPr>
            <w:r>
              <w:rPr/>
              <w:t>$</w:t>
            </w:r>
          </w:p>
        </w:tc>
        <w:tc>
          <w:tcPr>
            <w:tcW w:w="1165" w:type="dxa"/>
            <w:tcBorders>
              <w:bottom w:val="single" w:sz="2" w:space="0" w:color="CBCAC8"/>
            </w:tcBorders>
            <w:tcMar>
              <w:bottom w:w="28" w:type="dxa"/>
            </w:tcMar>
            <w:vAlign w:val="center"/>
          </w:tcPr>
          <w:p>
            <w:pPr>
              <w:pStyle w:val="TableContents"/>
              <w:bidi w:val="0"/>
              <w:spacing w:before="0" w:after="283"/>
              <w:jc w:val="right"/>
              <w:rPr/>
            </w:pPr>
            <w:r>
              <w:rPr/>
              <w:t>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3" w:type="dxa"/>
            <w:tcBorders>
              <w:bottom w:val="single" w:sz="2" w:space="0" w:color="CBCAC8"/>
            </w:tcBorders>
            <w:tcMar>
              <w:bottom w:w="28" w:type="dxa"/>
            </w:tcMar>
            <w:vAlign w:val="center"/>
          </w:tcPr>
          <w:p>
            <w:pPr>
              <w:pStyle w:val="TableContents"/>
              <w:bidi w:val="0"/>
              <w:spacing w:before="0" w:after="283"/>
              <w:jc w:val="left"/>
              <w:rPr/>
            </w:pPr>
            <w:r>
              <w:rPr/>
              <w:t>​</w:t>
            </w:r>
          </w:p>
        </w:tc>
        <w:tc>
          <w:tcPr>
            <w:tcW w:w="234" w:type="dxa"/>
            <w:tcBorders>
              <w:bottom w:val="single" w:sz="2" w:space="0" w:color="CBCAC8"/>
            </w:tcBorders>
            <w:tcMar>
              <w:bottom w:w="28" w:type="dxa"/>
            </w:tcMar>
            <w:vAlign w:val="center"/>
          </w:tcPr>
          <w:p>
            <w:pPr>
              <w:pStyle w:val="TableContents"/>
              <w:bidi w:val="0"/>
              <w:spacing w:before="0" w:after="283"/>
              <w:jc w:val="right"/>
              <w:rPr/>
            </w:pPr>
            <w:r>
              <w:rPr/>
              <w:t>$</w:t>
            </w:r>
          </w:p>
        </w:tc>
        <w:tc>
          <w:tcPr>
            <w:tcW w:w="1214" w:type="dxa"/>
            <w:tcBorders>
              <w:bottom w:val="single" w:sz="2" w:space="0" w:color="CBCAC8"/>
            </w:tcBorders>
            <w:tcMar>
              <w:bottom w:w="28" w:type="dxa"/>
            </w:tcMar>
            <w:vAlign w:val="center"/>
          </w:tcPr>
          <w:p>
            <w:pPr>
              <w:pStyle w:val="TableContents"/>
              <w:bidi w:val="0"/>
              <w:spacing w:before="0" w:after="283"/>
              <w:jc w:val="right"/>
              <w:rPr/>
            </w:pPr>
            <w:r>
              <w:rPr/>
              <w:t>0</w:t>
            </w:r>
          </w:p>
        </w:tc>
        <w:tc>
          <w:tcPr>
            <w:tcW w:w="113" w:type="dxa"/>
            <w:tcBorders>
              <w:bottom w:val="single" w:sz="2" w:space="0" w:color="CBCAC8"/>
            </w:tcBorders>
            <w:tcMar>
              <w:bottom w:w="28" w:type="dxa"/>
            </w:tcMar>
            <w:vAlign w:val="center"/>
          </w:tcPr>
          <w:p>
            <w:pPr>
              <w:pStyle w:val="TableContents"/>
              <w:bidi w:val="0"/>
              <w:spacing w:before="0" w:after="283"/>
              <w:jc w:val="left"/>
              <w:rPr/>
            </w:pPr>
            <w:r>
              <w:rPr/>
              <w:t>​</w:t>
            </w:r>
          </w:p>
        </w:tc>
        <w:tc>
          <w:tcPr>
            <w:tcW w:w="157"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5304" w:type="dxa"/>
            <w:tcBorders>
              <w:bottom w:val="single" w:sz="2" w:space="0" w:color="CBCAC8"/>
            </w:tcBorders>
            <w:tcMar>
              <w:bottom w:w="80" w:type="dxa"/>
            </w:tcMar>
            <w:vAlign w:val="center"/>
          </w:tcPr>
          <w:p>
            <w:pPr>
              <w:pStyle w:val="TableContents"/>
              <w:bidi w:val="0"/>
              <w:spacing w:before="0" w:after="283"/>
              <w:jc w:val="left"/>
              <w:rPr/>
            </w:pPr>
            <w:r>
              <w:rPr>
                <w:spacing w:val="0"/>
              </w:rPr>
              <w:t>Compensation Actually Paid</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80" w:type="dxa"/>
            </w:tcMar>
            <w:vAlign w:val="center"/>
          </w:tcPr>
          <w:p>
            <w:pPr>
              <w:pStyle w:val="TableContents"/>
              <w:bidi w:val="0"/>
              <w:spacing w:before="0" w:after="283"/>
              <w:jc w:val="right"/>
              <w:rPr/>
            </w:pPr>
            <w:r>
              <w:rPr/>
              <w:t>$</w:t>
            </w:r>
          </w:p>
        </w:tc>
        <w:tc>
          <w:tcPr>
            <w:tcW w:w="1165" w:type="dxa"/>
            <w:tcBorders>
              <w:bottom w:val="single" w:sz="2" w:space="0" w:color="CBCAC8"/>
            </w:tcBorders>
            <w:tcMar>
              <w:bottom w:w="80" w:type="dxa"/>
            </w:tcMar>
            <w:vAlign w:val="center"/>
          </w:tcPr>
          <w:p>
            <w:pPr>
              <w:pStyle w:val="TableContents"/>
              <w:bidi w:val="0"/>
              <w:spacing w:before="0" w:after="283"/>
              <w:jc w:val="right"/>
              <w:rPr/>
            </w:pPr>
            <w:r>
              <w:rPr/>
              <w:t>6,366,790</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3" w:type="dxa"/>
            <w:tcBorders>
              <w:bottom w:val="single" w:sz="2" w:space="0" w:color="CBCAC8"/>
            </w:tcBorders>
            <w:tcMar>
              <w:bottom w:w="28" w:type="dxa"/>
            </w:tcMar>
            <w:vAlign w:val="center"/>
          </w:tcPr>
          <w:p>
            <w:pPr>
              <w:pStyle w:val="TableContents"/>
              <w:bidi w:val="0"/>
              <w:spacing w:before="0" w:after="283"/>
              <w:jc w:val="left"/>
              <w:rPr/>
            </w:pPr>
            <w:r>
              <w:rPr/>
              <w:t>​</w:t>
            </w:r>
          </w:p>
        </w:tc>
        <w:tc>
          <w:tcPr>
            <w:tcW w:w="234" w:type="dxa"/>
            <w:tcBorders>
              <w:bottom w:val="single" w:sz="2" w:space="0" w:color="CBCAC8"/>
            </w:tcBorders>
            <w:tcMar>
              <w:bottom w:w="80" w:type="dxa"/>
            </w:tcMar>
            <w:vAlign w:val="center"/>
          </w:tcPr>
          <w:p>
            <w:pPr>
              <w:pStyle w:val="TableContents"/>
              <w:bidi w:val="0"/>
              <w:spacing w:before="0" w:after="283"/>
              <w:jc w:val="right"/>
              <w:rPr/>
            </w:pPr>
            <w:r>
              <w:rPr/>
              <w:t>$</w:t>
            </w:r>
          </w:p>
        </w:tc>
        <w:tc>
          <w:tcPr>
            <w:tcW w:w="1214" w:type="dxa"/>
            <w:tcBorders>
              <w:bottom w:val="single" w:sz="2" w:space="0" w:color="CBCAC8"/>
            </w:tcBorders>
            <w:tcMar>
              <w:bottom w:w="80" w:type="dxa"/>
            </w:tcMar>
            <w:vAlign w:val="center"/>
          </w:tcPr>
          <w:p>
            <w:pPr>
              <w:pStyle w:val="TableContents"/>
              <w:bidi w:val="0"/>
              <w:spacing w:before="0" w:after="283"/>
              <w:jc w:val="right"/>
              <w:rPr/>
            </w:pPr>
            <w:r>
              <w:rPr/>
              <w:t>2,740,948</w:t>
            </w:r>
          </w:p>
        </w:tc>
        <w:tc>
          <w:tcPr>
            <w:tcW w:w="113" w:type="dxa"/>
            <w:tcBorders>
              <w:bottom w:val="single" w:sz="2" w:space="0" w:color="CBCAC8"/>
            </w:tcBorders>
            <w:tcMar>
              <w:bottom w:w="28" w:type="dxa"/>
            </w:tcMar>
            <w:vAlign w:val="center"/>
          </w:tcPr>
          <w:p>
            <w:pPr>
              <w:pStyle w:val="TableContents"/>
              <w:bidi w:val="0"/>
              <w:spacing w:before="0" w:after="283"/>
              <w:jc w:val="left"/>
              <w:rPr/>
            </w:pPr>
            <w:r>
              <w:rPr/>
              <w:t>​</w:t>
            </w:r>
          </w:p>
        </w:tc>
        <w:tc>
          <w:tcPr>
            <w:tcW w:w="157" w:type="dxa"/>
            <w:tcBorders>
              <w:bottom w:val="single" w:sz="2" w:space="0" w:color="CBCAC8"/>
            </w:tcBorders>
            <w:tcMar>
              <w:bottom w:w="28" w:type="dxa"/>
            </w:tcMar>
            <w:vAlign w:val="center"/>
          </w:tcPr>
          <w:p>
            <w:pPr>
              <w:pStyle w:val="TableContents"/>
              <w:bidi w:val="0"/>
              <w:spacing w:before="0" w:after="283"/>
              <w:jc w:val="left"/>
              <w:rPr/>
            </w:pPr>
            <w:r>
              <w:rPr/>
              <w:t>​</w:t>
            </w:r>
          </w:p>
        </w:tc>
      </w:tr>
    </w:tbl>
    <w:p>
      <w:pPr>
        <w:pStyle w:val="TextBody"/>
        <w:bidi w:val="0"/>
        <w:spacing w:lineRule="atLeast" w:line="220" w:before="60" w:after="283"/>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purposes of the above adjustments, the fair value of equity awards on the applicable date was determined in accordance with FASB’s ASC Topic 718, using valuation methodologies that are generally consistent with those used to determine the grant-date fair value for accounting purposes.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80" w:after="283"/>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table below contains ranges of assumptions used in the valuation of outstanding equity awards for fiscal year 2025. For more information, please see the notes to our financial statements in our Annual Report on Form 10-K and the footnotes to the Summary Compensation Table of this proxy statement.</w:t>
      </w:r>
      <w:r>
        <w:rPr>
          <w:rFonts w:ascii="Arial;Helvetica;sans-serif" w:hAnsi="Arial;Helvetica;sans-serif"/>
          <w:b w:val="false"/>
          <w:i w:val="false"/>
          <w:caps w:val="false"/>
          <w:smallCaps w:val="false"/>
          <w:color w:val="000000"/>
          <w:spacing w:val="4"/>
          <w:sz w:val="18"/>
        </w:rPr>
        <w:t xml:space="preserve"> </w:t>
      </w:r>
    </w:p>
    <w:tbl>
      <w:tblPr>
        <w:tblW w:w="4623" w:type="dxa"/>
        <w:jc w:val="left"/>
        <w:tblInd w:w="901" w:type="dxa"/>
        <w:tblLayout w:type="fixed"/>
        <w:tblCellMar>
          <w:top w:w="0" w:type="dxa"/>
          <w:left w:w="0" w:type="dxa"/>
          <w:bottom w:w="0" w:type="dxa"/>
          <w:right w:w="0" w:type="dxa"/>
        </w:tblCellMar>
      </w:tblPr>
      <w:tblGrid>
        <w:gridCol w:w="124"/>
        <w:gridCol w:w="2305"/>
        <w:gridCol w:w="109"/>
        <w:gridCol w:w="109"/>
        <w:gridCol w:w="1822"/>
        <w:gridCol w:w="154"/>
      </w:tblGrid>
      <w:tr>
        <w:trPr/>
        <w:tc>
          <w:tcPr>
            <w:tcW w:w="124" w:type="dxa"/>
            <w:tcBorders/>
            <w:shd w:fill="BAD8EA" w:val="clear"/>
            <w:vAlign w:val="center"/>
          </w:tcPr>
          <w:p>
            <w:pPr>
              <w:pStyle w:val="TableContents"/>
              <w:bidi w:val="0"/>
              <w:spacing w:before="0" w:after="283"/>
              <w:jc w:val="left"/>
              <w:rPr/>
            </w:pPr>
            <w:r>
              <w:rPr/>
              <w:t>​</w:t>
            </w:r>
          </w:p>
        </w:tc>
        <w:tc>
          <w:tcPr>
            <w:tcW w:w="2305"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822" w:type="dxa"/>
            <w:tcBorders/>
            <w:shd w:fill="BAD8EA" w:val="clear"/>
            <w:vAlign w:val="center"/>
          </w:tcPr>
          <w:p>
            <w:pPr>
              <w:pStyle w:val="TableContents"/>
              <w:bidi w:val="0"/>
              <w:spacing w:before="0" w:after="0"/>
              <w:jc w:val="center"/>
              <w:rPr>
                <w:spacing w:val="0"/>
              </w:rPr>
            </w:pPr>
            <w:r>
              <w:rPr>
                <w:spacing w:val="0"/>
              </w:rPr>
              <w:t xml:space="preserve">Fiscal Year 2025 </w:t>
            </w:r>
          </w:p>
        </w:tc>
        <w:tc>
          <w:tcPr>
            <w:tcW w:w="154"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305" w:type="dxa"/>
            <w:tcBorders>
              <w:bottom w:val="single" w:sz="2" w:space="0" w:color="CBCAC8"/>
            </w:tcBorders>
            <w:tcMar>
              <w:bottom w:w="50" w:type="dxa"/>
            </w:tcMar>
            <w:vAlign w:val="center"/>
          </w:tcPr>
          <w:p>
            <w:pPr>
              <w:pStyle w:val="TableContents"/>
              <w:bidi w:val="0"/>
              <w:spacing w:before="0" w:after="283"/>
              <w:jc w:val="left"/>
              <w:rPr/>
            </w:pPr>
            <w:r>
              <w:rPr>
                <w:spacing w:val="0"/>
              </w:rPr>
              <w:t>Restricted Stock Units</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822" w:type="dxa"/>
            <w:tcBorders>
              <w:bottom w:val="single" w:sz="2" w:space="0" w:color="CBCAC8"/>
            </w:tcBorders>
            <w:tcMar>
              <w:bottom w:w="50" w:type="dxa"/>
            </w:tcMar>
            <w:vAlign w:val="center"/>
          </w:tcPr>
          <w:p>
            <w:pPr>
              <w:pStyle w:val="TableContents"/>
              <w:bidi w:val="0"/>
              <w:spacing w:before="0" w:after="283"/>
              <w:jc w:val="center"/>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305"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Stock Price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822" w:type="dxa"/>
            <w:tcBorders>
              <w:bottom w:val="single" w:sz="2" w:space="0" w:color="CBCAC8"/>
            </w:tcBorders>
            <w:tcMar>
              <w:bottom w:w="50" w:type="dxa"/>
            </w:tcMar>
            <w:vAlign w:val="center"/>
          </w:tcPr>
          <w:p>
            <w:pPr>
              <w:pStyle w:val="TableContents"/>
              <w:bidi w:val="0"/>
              <w:spacing w:before="0" w:after="0"/>
              <w:jc w:val="center"/>
              <w:rPr>
                <w:spacing w:val="-2"/>
              </w:rPr>
            </w:pPr>
            <w:r>
              <w:rPr>
                <w:spacing w:val="-2"/>
              </w:rPr>
              <w:t xml:space="preserve">$67.50 – $89.53 </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305" w:type="dxa"/>
            <w:tcBorders>
              <w:bottom w:val="single" w:sz="2" w:space="0" w:color="CBCAC8"/>
            </w:tcBorders>
            <w:tcMar>
              <w:bottom w:w="50" w:type="dxa"/>
            </w:tcMar>
            <w:vAlign w:val="center"/>
          </w:tcPr>
          <w:p>
            <w:pPr>
              <w:pStyle w:val="TableContents"/>
              <w:bidi w:val="0"/>
              <w:spacing w:before="0" w:after="283"/>
              <w:jc w:val="left"/>
              <w:rPr/>
            </w:pPr>
            <w:r>
              <w:rPr>
                <w:spacing w:val="0"/>
              </w:rPr>
              <w:t>Stock Options</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822" w:type="dxa"/>
            <w:tcBorders>
              <w:bottom w:val="single" w:sz="2" w:space="0" w:color="CBCAC8"/>
            </w:tcBorders>
            <w:tcMar>
              <w:bottom w:w="50" w:type="dxa"/>
            </w:tcMar>
            <w:vAlign w:val="center"/>
          </w:tcPr>
          <w:p>
            <w:pPr>
              <w:pStyle w:val="TableContents"/>
              <w:bidi w:val="0"/>
              <w:spacing w:before="0" w:after="283"/>
              <w:jc w:val="center"/>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305"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Expected Term (years)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822" w:type="dxa"/>
            <w:tcBorders>
              <w:bottom w:val="single" w:sz="2" w:space="0" w:color="CBCAC8"/>
            </w:tcBorders>
            <w:tcMar>
              <w:bottom w:w="50" w:type="dxa"/>
            </w:tcMar>
            <w:vAlign w:val="center"/>
          </w:tcPr>
          <w:p>
            <w:pPr>
              <w:pStyle w:val="TableContents"/>
              <w:bidi w:val="0"/>
              <w:spacing w:before="0" w:after="0"/>
              <w:jc w:val="center"/>
              <w:rPr>
                <w:spacing w:val="-2"/>
              </w:rPr>
            </w:pPr>
            <w:r>
              <w:rPr>
                <w:spacing w:val="-2"/>
              </w:rPr>
              <w:t xml:space="preserve">1.80 – 4.42 </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305"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Strike Price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822" w:type="dxa"/>
            <w:tcBorders>
              <w:bottom w:val="single" w:sz="2" w:space="0" w:color="CBCAC8"/>
            </w:tcBorders>
            <w:tcMar>
              <w:bottom w:w="50" w:type="dxa"/>
            </w:tcMar>
            <w:vAlign w:val="center"/>
          </w:tcPr>
          <w:p>
            <w:pPr>
              <w:pStyle w:val="TableContents"/>
              <w:bidi w:val="0"/>
              <w:spacing w:before="0" w:after="0"/>
              <w:jc w:val="center"/>
              <w:rPr>
                <w:spacing w:val="-2"/>
              </w:rPr>
            </w:pPr>
            <w:r>
              <w:rPr>
                <w:spacing w:val="-2"/>
              </w:rPr>
              <w:t xml:space="preserve">$27.44 – $66.25 </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305"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Volatility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822" w:type="dxa"/>
            <w:tcBorders>
              <w:bottom w:val="single" w:sz="2" w:space="0" w:color="CBCAC8"/>
            </w:tcBorders>
            <w:tcMar>
              <w:bottom w:w="50" w:type="dxa"/>
            </w:tcMar>
            <w:vAlign w:val="center"/>
          </w:tcPr>
          <w:p>
            <w:pPr>
              <w:pStyle w:val="TableContents"/>
              <w:bidi w:val="0"/>
              <w:spacing w:before="0" w:after="0"/>
              <w:jc w:val="center"/>
              <w:rPr>
                <w:spacing w:val="-2"/>
              </w:rPr>
            </w:pPr>
            <w:r>
              <w:rPr>
                <w:spacing w:val="-2"/>
              </w:rPr>
              <w:t xml:space="preserve">30.15% – 44.18% </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305"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Dividend Yield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822" w:type="dxa"/>
            <w:tcBorders>
              <w:bottom w:val="single" w:sz="2" w:space="0" w:color="CBCAC8"/>
            </w:tcBorders>
            <w:tcMar>
              <w:bottom w:w="50" w:type="dxa"/>
            </w:tcMar>
            <w:vAlign w:val="center"/>
          </w:tcPr>
          <w:p>
            <w:pPr>
              <w:pStyle w:val="TableContents"/>
              <w:bidi w:val="0"/>
              <w:spacing w:before="0" w:after="0"/>
              <w:jc w:val="center"/>
              <w:rPr>
                <w:spacing w:val="-2"/>
              </w:rPr>
            </w:pPr>
            <w:r>
              <w:rPr>
                <w:spacing w:val="-2"/>
              </w:rPr>
              <w:t xml:space="preserve">0% </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2305" w:type="dxa"/>
            <w:tcBorders>
              <w:bottom w:val="single" w:sz="2" w:space="0" w:color="CBCAC8"/>
            </w:tcBorders>
            <w:tcMar>
              <w:bottom w:w="50" w:type="dxa"/>
            </w:tcMar>
            <w:vAlign w:val="center"/>
          </w:tcPr>
          <w:p>
            <w:pPr>
              <w:pStyle w:val="TableContents"/>
              <w:bidi w:val="0"/>
              <w:spacing w:before="0" w:after="0"/>
              <w:ind w:left="200" w:right="0" w:hanging="0"/>
              <w:jc w:val="left"/>
              <w:rPr>
                <w:spacing w:val="-2"/>
              </w:rPr>
            </w:pPr>
            <w:r>
              <w:rPr>
                <w:spacing w:val="-2"/>
              </w:rPr>
              <w:t xml:space="preserve">Risk-Free Interest Rate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822" w:type="dxa"/>
            <w:tcBorders>
              <w:bottom w:val="single" w:sz="2" w:space="0" w:color="CBCAC8"/>
            </w:tcBorders>
            <w:tcMar>
              <w:bottom w:w="50" w:type="dxa"/>
            </w:tcMar>
            <w:vAlign w:val="center"/>
          </w:tcPr>
          <w:p>
            <w:pPr>
              <w:pStyle w:val="TableContents"/>
              <w:bidi w:val="0"/>
              <w:spacing w:before="0" w:after="0"/>
              <w:jc w:val="center"/>
              <w:rPr/>
            </w:pPr>
            <w:r>
              <w:rPr>
                <w:spacing w:val="-2"/>
              </w:rPr>
              <w:t>3.44% – 3.69%</w:t>
            </w:r>
            <w:r>
              <w:rPr/>
              <w:t xml:space="preserve"> </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Total Shareholder Return (TSR) represents the cumulative return on a fixed investment of $100 in the Company’s common stock, for the period beginning on the last trading day of fiscal year 2020 through the end of the applicable fiscal year, assuming reinvestment of dividends.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617">
                <wp:simplePos x="0" y="0"/>
                <wp:positionH relativeFrom="column">
                  <wp:align>left</wp:align>
                </wp:positionH>
                <wp:positionV relativeFrom="line">
                  <wp:align>top</wp:align>
                </wp:positionV>
                <wp:extent cx="254000" cy="350520"/>
                <wp:effectExtent l="0" t="0" r="0" b="0"/>
                <wp:wrapSquare wrapText="right"/>
                <wp:docPr id="630" name="Frame5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(4)</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Peer Group TSR represents the cumulative return on a fixed investment of $100 in the S&amp;P 500 Real Estate Index for the period beginning on the last trading day of fiscal year 2020 through the end of the applicable fiscal year, assuming reinvestment of dividends. The S&amp;P 500 Real Estate Index is the peer group used by the Company for purposes of Item 201(e) of Regulation S-K in the Company’s annual report on Form 10-K for the year ended December 31,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18">
                <wp:simplePos x="0" y="0"/>
                <wp:positionH relativeFrom="column">
                  <wp:align>left</wp:align>
                </wp:positionH>
                <wp:positionV relativeFrom="line">
                  <wp:align>top</wp:align>
                </wp:positionV>
                <wp:extent cx="254000" cy="350520"/>
                <wp:effectExtent l="0" t="0" r="0" b="0"/>
                <wp:wrapSquare wrapText="right"/>
                <wp:docPr id="631" name="Frame5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1"/>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(5)</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dollar amounts reported represent the net income reflected in the Company’s audited financial statements for the applicable year.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19">
                <wp:simplePos x="0" y="0"/>
                <wp:positionH relativeFrom="column">
                  <wp:align>left</wp:align>
                </wp:positionH>
                <wp:positionV relativeFrom="line">
                  <wp:align>top</wp:align>
                </wp:positionV>
                <wp:extent cx="254000" cy="350520"/>
                <wp:effectExtent l="0" t="0" r="0" b="0"/>
                <wp:wrapSquare wrapText="right"/>
                <wp:docPr id="632" name="Frame5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1"/>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1"/>
                        </w:rPr>
                        <w:t>(6)</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01"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See Annex A for additional information regarding Total Segment EBT. </w:t>
      </w:r>
      <w:r>
        <mc:AlternateContent>
          <mc:Choice Requires="wps">
            <w:drawing>
              <wp:anchor behindDoc="0" distT="76200" distB="0" distL="0" distR="0" simplePos="0" locked="0" layoutInCell="1" allowOverlap="1" relativeHeight="620">
                <wp:simplePos x="0" y="0"/>
                <wp:positionH relativeFrom="column">
                  <wp:align>left</wp:align>
                </wp:positionH>
                <wp:positionV relativeFrom="line">
                  <wp:align>top</wp:align>
                </wp:positionV>
                <wp:extent cx="254000" cy="350520"/>
                <wp:effectExtent l="0" t="0" r="0" b="0"/>
                <wp:wrapSquare wrapText="right"/>
                <wp:docPr id="633" name="Frame5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1"/>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(7)</w:t>
                      </w:r>
                      <w:r>
                        <w:rPr/>
                        <w:t xml:space="preserve"> </w:t>
                        <w:br/>
                      </w:r>
                    </w:p>
                  </w:txbxContent>
                </v:textbox>
                <w10:wrap type="square" side="right"/>
              </v:rect>
            </w:pict>
          </mc:Fallback>
        </mc:AlternateContent>
      </w:r>
    </w:p>
    <w:p>
      <w:pPr>
        <w:pStyle w:val="TextBody"/>
        <w:bidi w:val="0"/>
        <w:spacing w:before="0" w:after="0"/>
        <w:ind w:left="901"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/ 89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lef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Executive Compensation</w:t>
      </w:r>
      <w:r>
        <w:rPr>
          <w:rFonts w:ascii="Arial;Helvetica;sans-serif" w:hAnsi="Arial;Helvetica;sans-serif"/>
          <w:b/>
          <w:i w:val="false"/>
          <w:caps w:val="false"/>
          <w:smallCaps w:val="false"/>
          <w:color w:val="7F7F7F"/>
          <w:spacing w:val="-3"/>
          <w:sz w:val="22"/>
        </w:rPr>
        <w:t xml:space="preserve"> </w:t>
      </w:r>
    </w:p>
    <w:p>
      <w:pPr>
        <w:pStyle w:val="TextBody"/>
        <w:bidi w:val="0"/>
        <w:spacing w:lineRule="atLeast" w:line="240" w:before="120" w:after="283"/>
        <w:ind w:left="901"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Relationship between CAP vs. Cumulative TSR of Company and the Peer Group</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chart illustrates the relationship between CAP for our PEO and the average CAP for our Non-PEO NEOs against the Company’s TSR, as well as the relationship between our TSR and the TSR of our peer group:</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5781675" cy="3267075"/>
            <wp:effectExtent l="0" t="0" r="0" b="0"/>
            <wp:docPr id="634"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Image109" descr=""/>
                    <pic:cNvPicPr>
                      <a:picLocks noChangeAspect="1" noChangeArrowheads="1"/>
                    </pic:cNvPicPr>
                  </pic:nvPicPr>
                  <pic:blipFill>
                    <a:blip r:embed="rId131"/>
                    <a:stretch>
                      <a:fillRect/>
                    </a:stretch>
                  </pic:blipFill>
                  <pic:spPr bwMode="auto">
                    <a:xfrm>
                      <a:off x="0" y="0"/>
                      <a:ext cx="5781675" cy="32670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74"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Relationship between CAP vs. Net Income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chart illustrates the relationship between CAP for our PEO and the average CAP for our Non-PEO NEOs against the Company’s net income:</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5781675" cy="3267075"/>
            <wp:effectExtent l="0" t="0" r="0" b="0"/>
            <wp:docPr id="635"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Image110" descr=""/>
                    <pic:cNvPicPr>
                      <a:picLocks noChangeAspect="1" noChangeArrowheads="1"/>
                    </pic:cNvPicPr>
                  </pic:nvPicPr>
                  <pic:blipFill>
                    <a:blip r:embed="rId132"/>
                    <a:stretch>
                      <a:fillRect/>
                    </a:stretch>
                  </pic:blipFill>
                  <pic:spPr bwMode="auto">
                    <a:xfrm>
                      <a:off x="0" y="0"/>
                      <a:ext cx="5781675" cy="32670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90 \ 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317" w:after="283"/>
        <w:ind w:left="901" w:right="0" w:hanging="0"/>
        <w:jc w:val="right"/>
        <w:rPr>
          <w:rFonts w:ascii="Arial;Helvetica;sans-serif" w:hAnsi="Arial;Helvetica;sans-serif"/>
          <w:b/>
          <w:i w:val="false"/>
          <w:caps w:val="false"/>
          <w:smallCaps w:val="false"/>
          <w:color w:val="7F7F7F"/>
          <w:sz w:val="22"/>
        </w:rPr>
      </w:pPr>
      <w:r>
        <w:rPr>
          <w:rFonts w:ascii="Arial;Helvetica;sans-serif" w:hAnsi="Arial;Helvetica;sans-serif"/>
          <w:b/>
          <w:i w:val="false"/>
          <w:caps/>
          <w:color w:val="7F7F7F"/>
          <w:spacing w:val="-3"/>
          <w:sz w:val="22"/>
        </w:rPr>
        <w:t>Executive Compensation</w:t>
      </w:r>
      <w:r>
        <w:rPr>
          <w:rFonts w:ascii="Arial;Helvetica;sans-serif" w:hAnsi="Arial;Helvetica;sans-serif"/>
          <w:b/>
          <w:i w:val="false"/>
          <w:caps w:val="false"/>
          <w:smallCaps w:val="false"/>
          <w:color w:val="7F7F7F"/>
          <w:sz w:val="22"/>
        </w:rPr>
        <w:t>​</w:t>
      </w:r>
    </w:p>
    <w:p>
      <w:pPr>
        <w:pStyle w:val="TextBody"/>
        <w:bidi w:val="0"/>
        <w:spacing w:lineRule="atLeast" w:line="240" w:before="120" w:after="2480"/>
        <w:ind w:left="901"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Relationship between CAP vs. Total Segment EBT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chart illustrates the relationship between CAP for our PEO and the average CAP for our Non-PEO NEOs against the Company’s Total Segment EBT:</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781675" cy="3267075"/>
            <wp:effectExtent l="0" t="0" r="0" b="0"/>
            <wp:docPr id="636"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Image111" descr=""/>
                    <pic:cNvPicPr>
                      <a:picLocks noChangeAspect="1" noChangeArrowheads="1"/>
                    </pic:cNvPicPr>
                  </pic:nvPicPr>
                  <pic:blipFill>
                    <a:blip r:embed="rId133"/>
                    <a:stretch>
                      <a:fillRect/>
                    </a:stretch>
                  </pic:blipFill>
                  <pic:spPr bwMode="auto">
                    <a:xfrm>
                      <a:off x="0" y="0"/>
                      <a:ext cx="5781675" cy="32670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Most Important Performance Measures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Following is an unranked list of the five most important financial performance measures used in linking company performance and compensation actually paid to our NEOs for the most recently completed fiscal year. Further information on our performance measures is described in our Compensation Discussion &amp; Analysis (CD&amp;A) above. </w:t>
      </w:r>
    </w:p>
    <w:tbl>
      <w:tblPr>
        <w:tblW w:w="3534" w:type="dxa"/>
        <w:jc w:val="left"/>
        <w:tblInd w:w="901" w:type="dxa"/>
        <w:tblLayout w:type="fixed"/>
        <w:tblCellMar>
          <w:top w:w="0" w:type="dxa"/>
          <w:left w:w="0" w:type="dxa"/>
          <w:bottom w:w="28" w:type="dxa"/>
          <w:right w:w="0" w:type="dxa"/>
        </w:tblCellMar>
      </w:tblPr>
      <w:tblGrid>
        <w:gridCol w:w="124"/>
        <w:gridCol w:w="3256"/>
        <w:gridCol w:w="154"/>
      </w:tblGrid>
      <w:tr>
        <w:trPr/>
        <w:tc>
          <w:tcPr>
            <w:tcW w:w="124" w:type="dxa"/>
            <w:tcBorders>
              <w:bottom w:val="single" w:sz="2" w:space="0" w:color="CBCAC8"/>
            </w:tcBorders>
            <w:shd w:fill="CCEEFF" w:val="clear"/>
            <w:vAlign w:val="center"/>
          </w:tcPr>
          <w:p>
            <w:pPr>
              <w:pStyle w:val="TableContents"/>
              <w:bidi w:val="0"/>
              <w:spacing w:before="0" w:after="283"/>
              <w:jc w:val="left"/>
              <w:rPr/>
            </w:pPr>
            <w:r>
              <w:rPr/>
              <w:t>​</w:t>
            </w:r>
          </w:p>
        </w:tc>
        <w:tc>
          <w:tcPr>
            <w:tcW w:w="3256" w:type="dxa"/>
            <w:tcBorders>
              <w:bottom w:val="single" w:sz="2" w:space="0" w:color="CBCAC8"/>
            </w:tcBorders>
            <w:shd w:fill="CCEEFF" w:val="clear"/>
            <w:tcMar>
              <w:bottom w:w="50" w:type="dxa"/>
            </w:tcMar>
            <w:vAlign w:val="center"/>
          </w:tcPr>
          <w:p>
            <w:pPr>
              <w:pStyle w:val="TableContents"/>
              <w:bidi w:val="0"/>
              <w:spacing w:before="0" w:after="0"/>
              <w:jc w:val="center"/>
              <w:rPr>
                <w:spacing w:val="0"/>
              </w:rPr>
            </w:pPr>
            <w:r>
              <w:rPr>
                <w:spacing w:val="0"/>
              </w:rPr>
              <w:t xml:space="preserve">Financial Performance Measures </w:t>
            </w:r>
          </w:p>
        </w:tc>
        <w:tc>
          <w:tcPr>
            <w:tcW w:w="154" w:type="dxa"/>
            <w:tcBorders>
              <w:bottom w:val="single" w:sz="2" w:space="0" w:color="CBCAC8"/>
            </w:tcBorders>
            <w:shd w:fill="CCEEFF" w:val="clear"/>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3256" w:type="dxa"/>
            <w:tcBorders>
              <w:bottom w:val="single" w:sz="2" w:space="0" w:color="CBCAC8"/>
            </w:tcBorders>
            <w:tcMar>
              <w:bottom w:w="50" w:type="dxa"/>
            </w:tcMar>
            <w:vAlign w:val="center"/>
          </w:tcPr>
          <w:p>
            <w:pPr>
              <w:pStyle w:val="TableContents"/>
              <w:bidi w:val="0"/>
              <w:spacing w:before="0" w:after="0"/>
              <w:jc w:val="center"/>
              <w:rPr>
                <w:spacing w:val="-2"/>
              </w:rPr>
            </w:pPr>
            <w:r>
              <w:rPr>
                <w:spacing w:val="-2"/>
              </w:rPr>
              <w:t xml:space="preserve">Total Segment EBT </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shd w:fill="CCEEFF" w:val="clear"/>
            <w:vAlign w:val="center"/>
          </w:tcPr>
          <w:p>
            <w:pPr>
              <w:pStyle w:val="TableContents"/>
              <w:bidi w:val="0"/>
              <w:spacing w:before="0" w:after="283"/>
              <w:jc w:val="left"/>
              <w:rPr/>
            </w:pPr>
            <w:r>
              <w:rPr/>
              <w:t>​</w:t>
            </w:r>
          </w:p>
        </w:tc>
        <w:tc>
          <w:tcPr>
            <w:tcW w:w="3256" w:type="dxa"/>
            <w:tcBorders>
              <w:bottom w:val="single" w:sz="2" w:space="0" w:color="CBCAC8"/>
            </w:tcBorders>
            <w:shd w:fill="CCEEFF" w:val="clear"/>
            <w:tcMar>
              <w:bottom w:w="50" w:type="dxa"/>
            </w:tcMar>
            <w:vAlign w:val="center"/>
          </w:tcPr>
          <w:p>
            <w:pPr>
              <w:pStyle w:val="TableContents"/>
              <w:bidi w:val="0"/>
              <w:spacing w:before="0" w:after="0"/>
              <w:jc w:val="center"/>
              <w:rPr>
                <w:spacing w:val="-2"/>
              </w:rPr>
            </w:pPr>
            <w:r>
              <w:rPr>
                <w:spacing w:val="-2"/>
              </w:rPr>
              <w:t xml:space="preserve">Operating Assets NOI </w:t>
            </w:r>
          </w:p>
        </w:tc>
        <w:tc>
          <w:tcPr>
            <w:tcW w:w="154" w:type="dxa"/>
            <w:tcBorders>
              <w:bottom w:val="single" w:sz="2" w:space="0" w:color="CBCAC8"/>
            </w:tcBorders>
            <w:shd w:fill="CCEEFF" w:val="clear"/>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3256" w:type="dxa"/>
            <w:tcBorders>
              <w:bottom w:val="single" w:sz="2" w:space="0" w:color="CBCAC8"/>
            </w:tcBorders>
            <w:tcMar>
              <w:bottom w:w="50" w:type="dxa"/>
            </w:tcMar>
            <w:vAlign w:val="center"/>
          </w:tcPr>
          <w:p>
            <w:pPr>
              <w:pStyle w:val="TableContents"/>
              <w:bidi w:val="0"/>
              <w:spacing w:before="0" w:after="0"/>
              <w:jc w:val="center"/>
              <w:rPr>
                <w:spacing w:val="-2"/>
              </w:rPr>
            </w:pPr>
            <w:r>
              <w:rPr>
                <w:spacing w:val="-2"/>
              </w:rPr>
              <w:t xml:space="preserve">Corporate Cash G&amp;A </w:t>
            </w:r>
          </w:p>
        </w:tc>
        <w:tc>
          <w:tcPr>
            <w:tcW w:w="154" w:type="dxa"/>
            <w:tcBorders>
              <w:bottom w:val="single" w:sz="2" w:space="0" w:color="CBCAC8"/>
            </w:tcBorders>
            <w:vAlign w:val="center"/>
          </w:tcPr>
          <w:p>
            <w:pPr>
              <w:pStyle w:val="TableContents"/>
              <w:bidi w:val="0"/>
              <w:spacing w:before="0" w:after="283"/>
              <w:jc w:val="left"/>
              <w:rPr/>
            </w:pPr>
            <w:r>
              <w:rPr/>
              <w:t>​</w:t>
            </w:r>
          </w:p>
        </w:tc>
      </w:tr>
      <w:tr>
        <w:trPr/>
        <w:tc>
          <w:tcPr>
            <w:tcW w:w="124" w:type="dxa"/>
            <w:tcBorders>
              <w:bottom w:val="single" w:sz="2" w:space="0" w:color="CBCAC8"/>
            </w:tcBorders>
            <w:shd w:fill="CCEEFF" w:val="clear"/>
            <w:vAlign w:val="center"/>
          </w:tcPr>
          <w:p>
            <w:pPr>
              <w:pStyle w:val="TableContents"/>
              <w:bidi w:val="0"/>
              <w:spacing w:before="0" w:after="283"/>
              <w:jc w:val="left"/>
              <w:rPr/>
            </w:pPr>
            <w:r>
              <w:rPr/>
              <w:t>​</w:t>
            </w:r>
          </w:p>
        </w:tc>
        <w:tc>
          <w:tcPr>
            <w:tcW w:w="3256" w:type="dxa"/>
            <w:tcBorders>
              <w:bottom w:val="single" w:sz="2" w:space="0" w:color="CBCAC8"/>
            </w:tcBorders>
            <w:shd w:fill="CCEEFF" w:val="clear"/>
            <w:tcMar>
              <w:bottom w:w="50" w:type="dxa"/>
            </w:tcMar>
            <w:vAlign w:val="center"/>
          </w:tcPr>
          <w:p>
            <w:pPr>
              <w:pStyle w:val="TableContents"/>
              <w:bidi w:val="0"/>
              <w:spacing w:before="0" w:after="0"/>
              <w:jc w:val="center"/>
              <w:rPr>
                <w:spacing w:val="-2"/>
              </w:rPr>
            </w:pPr>
            <w:r>
              <w:rPr>
                <w:spacing w:val="-2"/>
              </w:rPr>
              <w:t xml:space="preserve">MPC EBT </w:t>
            </w:r>
          </w:p>
        </w:tc>
        <w:tc>
          <w:tcPr>
            <w:tcW w:w="154" w:type="dxa"/>
            <w:tcBorders>
              <w:bottom w:val="single" w:sz="2" w:space="0" w:color="CBCAC8"/>
            </w:tcBorders>
            <w:shd w:fill="CCEEFF" w:val="clear"/>
            <w:vAlign w:val="center"/>
          </w:tcPr>
          <w:p>
            <w:pPr>
              <w:pStyle w:val="TableContents"/>
              <w:bidi w:val="0"/>
              <w:spacing w:before="0" w:after="283"/>
              <w:jc w:val="left"/>
              <w:rPr/>
            </w:pPr>
            <w:r>
              <w:rPr/>
              <w:t>​</w:t>
            </w:r>
          </w:p>
        </w:tc>
      </w:tr>
      <w:tr>
        <w:trPr/>
        <w:tc>
          <w:tcPr>
            <w:tcW w:w="124" w:type="dxa"/>
            <w:tcBorders>
              <w:bottom w:val="single" w:sz="2" w:space="0" w:color="CBCAC8"/>
            </w:tcBorders>
            <w:vAlign w:val="center"/>
          </w:tcPr>
          <w:p>
            <w:pPr>
              <w:pStyle w:val="TableContents"/>
              <w:bidi w:val="0"/>
              <w:spacing w:before="0" w:after="283"/>
              <w:jc w:val="left"/>
              <w:rPr/>
            </w:pPr>
            <w:r>
              <w:rPr/>
              <w:t>​</w:t>
            </w:r>
          </w:p>
        </w:tc>
        <w:tc>
          <w:tcPr>
            <w:tcW w:w="3256" w:type="dxa"/>
            <w:tcBorders>
              <w:bottom w:val="single" w:sz="2" w:space="0" w:color="CBCAC8"/>
            </w:tcBorders>
            <w:tcMar>
              <w:bottom w:w="50" w:type="dxa"/>
            </w:tcMar>
            <w:vAlign w:val="center"/>
          </w:tcPr>
          <w:p>
            <w:pPr>
              <w:pStyle w:val="TableContents"/>
              <w:bidi w:val="0"/>
              <w:spacing w:before="0" w:after="0"/>
              <w:jc w:val="center"/>
              <w:rPr/>
            </w:pPr>
            <w:r>
              <w:rPr>
                <w:spacing w:val="-2"/>
              </w:rPr>
              <w:t>Total Stockholder Return</w:t>
            </w:r>
            <w:r>
              <w:rPr/>
              <w:t xml:space="preserve"> </w:t>
            </w:r>
          </w:p>
        </w:tc>
        <w:tc>
          <w:tcPr>
            <w:tcW w:w="154" w:type="dxa"/>
            <w:tcBorders>
              <w:bottom w:val="single" w:sz="2" w:space="0" w:color="CBCAC8"/>
            </w:tcBorders>
            <w:vAlign w:val="center"/>
          </w:tcPr>
          <w:p>
            <w:pPr>
              <w:pStyle w:val="TableContents"/>
              <w:bidi w:val="0"/>
              <w:spacing w:before="0" w:after="283"/>
              <w:jc w:val="left"/>
              <w:rPr/>
            </w:pPr>
            <w:r>
              <w:rPr/>
              <w:t>​</w:t>
            </w:r>
          </w:p>
        </w:tc>
      </w:tr>
    </w:tbl>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60" w:after="283"/>
        <w:ind w:left="901"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for the 2026 Annual Meeting of Stockholders </w:t>
      </w:r>
      <w:r>
        <w:rPr>
          <w:rFonts w:ascii="Arial;Helvetica;sans-serif" w:hAnsi="Arial;Helvetica;sans-serif"/>
          <w:b/>
          <w:i w:val="false"/>
          <w:caps w:val="false"/>
          <w:smallCaps w:val="false"/>
          <w:color w:val="000000"/>
          <w:spacing w:val="-3"/>
          <w:sz w:val="24"/>
        </w:rPr>
        <w:t>/ 91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1" w:name="tSPFT"/>
      <w:bookmarkEnd w:id="81"/>
      <w:r>
        <w:rPr>
          <w:rFonts w:ascii="calibri;arial;sans-serif" w:hAnsi="calibri;arial;sans-serif"/>
          <w:b w:val="false"/>
          <w:i w:val="false"/>
          <w:caps w:val="false"/>
          <w:smallCaps w:val="false"/>
          <w:color w:val="000000"/>
          <w:sz w:val="16"/>
        </w:rPr>
        <w:t>​</w:t>
      </w:r>
      <w:bookmarkStart w:id="82" w:name="tOTMA"/>
      <w:bookmarkEnd w:id="82"/>
      <w:r>
        <w:rPr>
          <w:rFonts w:ascii="calibri;arial;sans-serif" w:hAnsi="calibri;arial;sans-serif"/>
          <w:b w:val="false"/>
          <w:i w:val="false"/>
          <w:caps w:val="false"/>
          <w:smallCaps w:val="false"/>
          <w:color w:val="000000"/>
          <w:sz w:val="16"/>
        </w:rPr>
        <w:t xml:space="preserve">​ </w:t>
      </w:r>
    </w:p>
    <w:p>
      <w:pPr>
        <w:pStyle w:val="TextBody"/>
        <w:bidi w:val="0"/>
        <w:spacing w:lineRule="atLeast" w:line="480" w:before="200" w:after="283"/>
        <w:ind w:left="800" w:right="0" w:hanging="0"/>
        <w:jc w:val="left"/>
        <w:rPr>
          <w:caps w:val="false"/>
          <w:smallCaps w:val="false"/>
          <w:color w:val="000000"/>
          <w:spacing w:val="-3"/>
        </w:rPr>
      </w:pPr>
      <w:r>
        <w:rPr>
          <w:caps w:val="false"/>
          <w:smallCaps w:val="false"/>
          <w:color w:val="000000"/>
          <w:spacing w:val="-3"/>
        </w:rPr>
        <w:t xml:space="preserve">  </w:t>
      </w:r>
    </w:p>
    <w:p>
      <w:pPr>
        <w:pStyle w:val="TextBody"/>
        <w:bidi w:val="0"/>
        <w:spacing w:lineRule="atLeast" w:line="480" w:before="360" w:after="283"/>
        <w:ind w:left="800" w:right="0" w:hanging="0"/>
        <w:jc w:val="left"/>
        <w:rPr>
          <w:rFonts w:ascii="Arial;Helvetica;sans-serif" w:hAnsi="Arial;Helvetica;sans-serif"/>
          <w:b/>
          <w:i w:val="false"/>
          <w:caps w:val="false"/>
          <w:smallCaps w:val="false"/>
          <w:color w:val="000000"/>
          <w:sz w:val="44"/>
        </w:rPr>
      </w:pPr>
      <w:r>
        <w:rPr>
          <w:rFonts w:ascii="Arial;Helvetica;sans-serif" w:hAnsi="Arial;Helvetica;sans-serif"/>
          <w:b/>
          <w:i w:val="false"/>
          <w:caps w:val="false"/>
          <w:smallCaps w:val="false"/>
          <w:color w:val="000000"/>
          <w:spacing w:val="-1"/>
          <w:sz w:val="44"/>
        </w:rPr>
        <w:t xml:space="preserve">Stockholder Proposals for the 2027 Annual </w:t>
        <w:br/>
        <w:t>Meeting of Stockholders</w:t>
      </w:r>
      <w:r>
        <w:rPr>
          <w:rFonts w:ascii="Arial;Helvetica;sans-serif" w:hAnsi="Arial;Helvetica;sans-serif"/>
          <w:b/>
          <w:i w:val="false"/>
          <w:caps w:val="false"/>
          <w:smallCaps w:val="false"/>
          <w:color w:val="000000"/>
          <w:spacing w:val="-3"/>
          <w:sz w:val="44"/>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621">
                <wp:simplePos x="0" y="0"/>
                <wp:positionH relativeFrom="column">
                  <wp:align>left</wp:align>
                </wp:positionH>
                <wp:positionV relativeFrom="line">
                  <wp:posOffset>635</wp:posOffset>
                </wp:positionV>
                <wp:extent cx="3054350" cy="4658360"/>
                <wp:effectExtent l="0" t="0" r="0" b="0"/>
                <wp:wrapSquare wrapText="right"/>
                <wp:docPr id="637" name="Frame505"/>
                <a:graphic xmlns:a="http://schemas.openxmlformats.org/drawingml/2006/main">
                  <a:graphicData uri="http://schemas.microsoft.com/office/word/2010/wordprocessingShape">
                    <wps:wsp>
                      <wps:cNvSpPr txBox="1"/>
                      <wps:spPr>
                        <a:xfrm>
                          <a:off x="0" y="0"/>
                          <a:ext cx="3054350" cy="4658360"/>
                        </a:xfrm>
                        <a:prstGeom prst="rect"/>
                        <a:solidFill>
                          <a:srgbClr val="FFFFFF"/>
                        </a:solidFill>
                      </wps:spPr>
                      <wps:txbx>
                        <w:txbxContent>
                          <w:p>
                            <w:pPr>
                              <w:pStyle w:val="TextBody"/>
                              <w:bidi w:val="0"/>
                              <w:spacing w:lineRule="atLeast" w:line="230" w:before="0" w:after="0"/>
                              <w:jc w:val="both"/>
                              <w:rPr>
                                <w:spacing w:val="-2"/>
                              </w:rPr>
                            </w:pPr>
                            <w:r>
                              <w:rPr>
                                <w:spacing w:val="-2"/>
                              </w:rPr>
                              <w:t xml:space="preserve">In order to be included in the Company’s proxy materials for the 2027 Annual Meeting, a stockholder proposal (other than director nominations) must be received in writing by the Company at Howard Hughes Holdings Inc., 9950 Woodloch Forest Dr., Suite 1100 The Woodlands, Texas 77380, Attention: Corporate Secretary, by April 5, 2027, and otherwise comply with all requirements of the SEC for stockholder proposals. </w:t>
                            </w:r>
                          </w:p>
                          <w:p>
                            <w:pPr>
                              <w:pStyle w:val="TextBody"/>
                              <w:bidi w:val="0"/>
                              <w:spacing w:lineRule="atLeast" w:line="230" w:before="160" w:after="283"/>
                              <w:jc w:val="both"/>
                              <w:rPr>
                                <w:spacing w:val="-2"/>
                              </w:rPr>
                            </w:pPr>
                            <w:r>
                              <w:rPr>
                                <w:spacing w:val="-2"/>
                              </w:rPr>
                              <w:t xml:space="preserve">If you do not wish to submit a proposal for inclusion in next year’s proxy materials but instead wish to present it directly at the 2027 Annual Meeting, you must give timely written notice of the proposal to the Company’s Corporate Secretary. To be timely, the notice (including a notice recommending a director candidate) must be delivered to the above address no earlier than the close of business 120 days (May 20, 2027) nor later than the close of business 90 days prior (June 19, 2027) to the first anniversary date of the preceding year’s annual meeting or, if the first public announcement of the date of such annual meeting is less than one hundred (100) days prior to the date of such annual meeting, not later than the tenth (10th) day following the day on which </w:t>
                            </w:r>
                          </w:p>
                        </w:txbxContent>
                      </wps:txbx>
                      <wps:bodyPr anchor="t" lIns="0" tIns="0" rIns="0" bIns="0">
                        <a:noAutofit/>
                      </wps:bodyPr>
                    </wps:wsp>
                  </a:graphicData>
                </a:graphic>
              </wp:anchor>
            </w:drawing>
          </mc:Choice>
          <mc:Fallback>
            <w:pict>
              <v:rect style="position:absolute;rotation:-0;width:240.5pt;height:366.8pt;mso-wrap-distance-left:45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lineRule="atLeast" w:line="230" w:before="0" w:after="0"/>
                        <w:jc w:val="both"/>
                        <w:rPr>
                          <w:spacing w:val="-2"/>
                        </w:rPr>
                      </w:pPr>
                      <w:r>
                        <w:rPr>
                          <w:spacing w:val="-2"/>
                        </w:rPr>
                        <w:t xml:space="preserve">In order to be included in the Company’s proxy materials for the 2027 Annual Meeting, a stockholder proposal (other than director nominations) must be received in writing by the Company at Howard Hughes Holdings Inc., 9950 Woodloch Forest Dr., Suite 1100 The Woodlands, Texas 77380, Attention: Corporate Secretary, by April 5, 2027, and otherwise comply with all requirements of the SEC for stockholder proposals. </w:t>
                      </w:r>
                    </w:p>
                    <w:p>
                      <w:pPr>
                        <w:pStyle w:val="TextBody"/>
                        <w:bidi w:val="0"/>
                        <w:spacing w:lineRule="atLeast" w:line="230" w:before="160" w:after="283"/>
                        <w:jc w:val="both"/>
                        <w:rPr>
                          <w:spacing w:val="-2"/>
                        </w:rPr>
                      </w:pPr>
                      <w:r>
                        <w:rPr>
                          <w:spacing w:val="-2"/>
                        </w:rPr>
                        <w:t xml:space="preserve">If you do not wish to submit a proposal for inclusion in next year’s proxy materials but instead wish to present it directly at the 2027 Annual Meeting, you must give timely written notice of the proposal to the Company’s Corporate Secretary. To be timely, the notice (including a notice recommending a director candidate) must be delivered to the above address no earlier than the close of business 120 days (May 20, 2027) nor later than the close of business 90 days prior (June 19, 2027) to the first anniversary date of the preceding year’s annual meeting or, if the first public announcement of the date of such annual meeting is less than one hundred (100) days prior to the date of such annual meeting, not later than the tenth (10th) day following the day on which </w:t>
                      </w:r>
                    </w:p>
                  </w:txbxContent>
                </v:textbox>
                <w10:wrap type="square" side="right"/>
              </v:rect>
            </w:pict>
          </mc:Fallback>
        </mc:AlternateContent>
      </w:r>
      <w:r>
        <mc:AlternateContent>
          <mc:Choice Requires="wps">
            <w:drawing>
              <wp:anchor behindDoc="0" distT="0" distB="0" distL="304800" distR="0" simplePos="0" locked="0" layoutInCell="1" allowOverlap="1" relativeHeight="622">
                <wp:simplePos x="0" y="0"/>
                <wp:positionH relativeFrom="column">
                  <wp:align>left</wp:align>
                </wp:positionH>
                <wp:positionV relativeFrom="line">
                  <wp:posOffset>635</wp:posOffset>
                </wp:positionV>
                <wp:extent cx="3054350" cy="4307840"/>
                <wp:effectExtent l="0" t="0" r="0" b="0"/>
                <wp:wrapSquare wrapText="right"/>
                <wp:docPr id="638" name="Frame506"/>
                <a:graphic xmlns:a="http://schemas.openxmlformats.org/drawingml/2006/main">
                  <a:graphicData uri="http://schemas.microsoft.com/office/word/2010/wordprocessingShape">
                    <wps:wsp>
                      <wps:cNvSpPr txBox="1"/>
                      <wps:spPr>
                        <a:xfrm>
                          <a:off x="0" y="0"/>
                          <a:ext cx="3054350" cy="4307840"/>
                        </a:xfrm>
                        <a:prstGeom prst="rect"/>
                        <a:solidFill>
                          <a:srgbClr val="FFFFFF"/>
                        </a:solidFill>
                      </wps:spPr>
                      <wps:txbx>
                        <w:txbxContent>
                          <w:p>
                            <w:pPr>
                              <w:pStyle w:val="TextBody"/>
                              <w:bidi w:val="0"/>
                              <w:spacing w:lineRule="atLeast" w:line="250" w:before="0" w:after="0"/>
                              <w:jc w:val="both"/>
                              <w:rPr/>
                            </w:pPr>
                            <w:r>
                              <w:rPr>
                                <w:spacing w:val="-2"/>
                              </w:rPr>
                              <w:t>public announcement of the date of such meeting is first made by the Corporation). The notice must describe the stockholder proposal in reasonable detail and provide certain other information required by the Company’s amended and restated bylaws. A copy of the Company’s bylaws is available upon request from the Company’s Corporate Secretary.</w:t>
                            </w:r>
                            <w:r>
                              <w:rPr>
                                <w:spacing w:val="4"/>
                              </w:rPr>
                              <w:t xml:space="preserve"> </w:t>
                            </w:r>
                          </w:p>
                          <w:p>
                            <w:pPr>
                              <w:pStyle w:val="TextBody"/>
                              <w:bidi w:val="0"/>
                              <w:spacing w:lineRule="atLeast" w:line="240" w:before="160" w:after="283"/>
                              <w:jc w:val="both"/>
                              <w:rPr/>
                            </w:pPr>
                            <w:r>
                              <w:rPr>
                                <w:spacing w:val="-2"/>
                              </w:rPr>
                              <w:t>In addition to the notice and informational requirements contained in our bylaws, to comply with the universal proxy rules, stockholders who intend to solicit proxies in support of director nominees other than the company’s nominees for the 2027 Annual Meeting must provide notice that sets forth the information required by Rule 14a-19 under the Exchange Act no later than July 19, 2027. If the date of the 2027 Annual Meeting changes by more than 30 calendar days from the date of the 2026 Annual Meeting, such notice must instead be provided by the later of 60 calendar days prior to the date of the 2027 Annual Meeting or the 10th calendar day following public announcement by the Company of the date of the 2027 Annual Meeting.</w:t>
                            </w:r>
                            <w:r>
                              <w:rPr/>
                              <w:t xml:space="preserve"> </w:t>
                            </w:r>
                          </w:p>
                        </w:txbxContent>
                      </wps:txbx>
                      <wps:bodyPr anchor="t" lIns="0" tIns="0" rIns="0" bIns="0">
                        <a:noAutofit/>
                      </wps:bodyPr>
                    </wps:wsp>
                  </a:graphicData>
                </a:graphic>
              </wp:anchor>
            </w:drawing>
          </mc:Choice>
          <mc:Fallback>
            <w:pict>
              <v:rect style="position:absolute;rotation:-0;width:240.5pt;height:339.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50" w:before="0" w:after="0"/>
                        <w:jc w:val="both"/>
                        <w:rPr/>
                      </w:pPr>
                      <w:r>
                        <w:rPr>
                          <w:spacing w:val="-2"/>
                        </w:rPr>
                        <w:t>public announcement of the date of such meeting is first made by the Corporation). The notice must describe the stockholder proposal in reasonable detail and provide certain other information required by the Company’s amended and restated bylaws. A copy of the Company’s bylaws is available upon request from the Company’s Corporate Secretary.</w:t>
                      </w:r>
                      <w:r>
                        <w:rPr>
                          <w:spacing w:val="4"/>
                        </w:rPr>
                        <w:t xml:space="preserve"> </w:t>
                      </w:r>
                    </w:p>
                    <w:p>
                      <w:pPr>
                        <w:pStyle w:val="TextBody"/>
                        <w:bidi w:val="0"/>
                        <w:spacing w:lineRule="atLeast" w:line="240" w:before="160" w:after="283"/>
                        <w:jc w:val="both"/>
                        <w:rPr/>
                      </w:pPr>
                      <w:r>
                        <w:rPr>
                          <w:spacing w:val="-2"/>
                        </w:rPr>
                        <w:t>In addition to the notice and informational requirements contained in our bylaws, to comply with the universal proxy rules, stockholders who intend to solicit proxies in support of director nominees other than the company’s nominees for the 2027 Annual Meeting must provide notice that sets forth the information required by Rule 14a-19 under the Exchange Act no later than July 19, 2027. If the date of the 2027 Annual Meeting changes by more than 30 calendar days from the date of the 2026 Annual Meeting, such notice must instead be provided by the later of 60 calendar days prior to the date of the 2027 Annual Meeting or the 10th calendar day following public announcement by the Company of the date of the 2027 Annual Meeting.</w:t>
                      </w:r>
                      <w:r>
                        <w:rPr/>
                        <w:t xml:space="preserve"> </w:t>
                      </w:r>
                    </w:p>
                  </w:txbxContent>
                </v:textbox>
                <w10:wrap type="square" side="right"/>
              </v:rect>
            </w:pict>
          </mc:Fallback>
        </mc:AlternateContent>
      </w:r>
    </w:p>
    <w:p>
      <w:pPr>
        <w:pStyle w:val="TextBody"/>
        <w:bidi w:val="0"/>
        <w:spacing w:lineRule="atLeast" w:line="480" w:before="300" w:after="283"/>
        <w:ind w:left="90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480" w:before="240" w:after="283"/>
        <w:jc w:val="left"/>
        <w:rPr>
          <w:rFonts w:ascii="Arial;Helvetica;sans-serif" w:hAnsi="Arial;Helvetica;sans-serif"/>
          <w:b/>
          <w:i w:val="false"/>
          <w:caps w:val="false"/>
          <w:smallCaps w:val="false"/>
          <w:color w:val="000000"/>
          <w:sz w:val="44"/>
        </w:rPr>
      </w:pPr>
      <w:r>
        <w:rPr>
          <w:rFonts w:ascii="Arial;Helvetica;sans-serif" w:hAnsi="Arial;Helvetica;sans-serif"/>
          <w:b/>
          <w:i w:val="false"/>
          <w:caps w:val="false"/>
          <w:smallCaps w:val="false"/>
          <w:color w:val="000000"/>
          <w:spacing w:val="-1"/>
          <w:sz w:val="44"/>
        </w:rPr>
        <w:t>Other Matters</w:t>
      </w:r>
      <w:r>
        <w:rPr>
          <w:rFonts w:ascii="Arial;Helvetica;sans-serif" w:hAnsi="Arial;Helvetica;sans-serif"/>
          <w:b/>
          <w:i w:val="false"/>
          <w:caps w:val="false"/>
          <w:smallCaps w:val="false"/>
          <w:color w:val="000000"/>
          <w:spacing w:val="9"/>
          <w:sz w:val="44"/>
        </w:rPr>
        <w:t xml:space="preserve"> </w:t>
      </w:r>
    </w:p>
    <w:p>
      <w:pPr>
        <w:pStyle w:val="TextBody"/>
        <w:bidi w:val="0"/>
        <w:spacing w:lineRule="atLeast" w:line="240" w:before="40" w:after="283"/>
        <w:jc w:val="both"/>
        <w:rPr>
          <w:caps w:val="false"/>
          <w:smallCaps w:val="false"/>
          <w:color w:val="000000"/>
        </w:rPr>
      </w:pPr>
      <w:r>
        <w:rPr>
          <w:caps w:val="false"/>
          <w:smallCaps w:val="false"/>
          <w:color w:val="000000"/>
          <w:spacing w:val="-2"/>
        </w:rPr>
        <w:t> </w:t>
      </w:r>
      <w:r>
        <w:rPr>
          <w:caps w:val="false"/>
          <w:smallCaps w:val="false"/>
          <w:color w:val="000000"/>
          <w:spacing w:val="4"/>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304800" distR="0" simplePos="0" locked="0" layoutInCell="1" allowOverlap="1" relativeHeight="103">
                <wp:simplePos x="0" y="0"/>
                <wp:positionH relativeFrom="column">
                  <wp:align>left</wp:align>
                </wp:positionH>
                <wp:positionV relativeFrom="line">
                  <wp:posOffset>635</wp:posOffset>
                </wp:positionV>
                <wp:extent cx="3054350" cy="3797300"/>
                <wp:effectExtent l="0" t="0" r="0" b="0"/>
                <wp:wrapSquare wrapText="right"/>
                <wp:docPr id="639" name="Frame508"/>
                <a:graphic xmlns:a="http://schemas.openxmlformats.org/drawingml/2006/main">
                  <a:graphicData uri="http://schemas.microsoft.com/office/word/2010/wordprocessingShape">
                    <wps:wsp>
                      <wps:cNvSpPr txBox="1"/>
                      <wps:spPr>
                        <a:xfrm>
                          <a:off x="0" y="0"/>
                          <a:ext cx="3054350" cy="3797300"/>
                        </a:xfrm>
                        <a:prstGeom prst="rect"/>
                        <a:solidFill>
                          <a:srgbClr val="FFFFFF"/>
                        </a:solidFill>
                      </wps:spPr>
                      <wps:txbx>
                        <w:txbxContent>
                          <w:p>
                            <w:pPr>
                              <w:pStyle w:val="TextBody"/>
                              <w:bidi w:val="0"/>
                              <w:spacing w:lineRule="atLeast" w:line="230" w:before="0" w:after="0"/>
                              <w:jc w:val="both"/>
                              <w:rPr/>
                            </w:pPr>
                            <w:r>
                              <w:rPr>
                                <w:spacing w:val="-2"/>
                              </w:rPr>
                              <w:t>The Board is not aware of any other business that may be brought before the Annual Meeting. If any other matters are properly brought before the Annual Meeting, it is intended that the enclosed proxy will be voted in accordance with the judgment of the persons voting the proxy.</w:t>
                            </w:r>
                            <w:r>
                              <w:rPr>
                                <w:spacing w:val="4"/>
                              </w:rPr>
                              <w:t xml:space="preserve"> </w:t>
                            </w:r>
                          </w:p>
                          <w:p>
                            <w:pPr>
                              <w:pStyle w:val="TextBody"/>
                              <w:bidi w:val="0"/>
                              <w:spacing w:lineRule="atLeast" w:line="240" w:before="144" w:after="283"/>
                              <w:jc w:val="both"/>
                              <w:rPr/>
                            </w:pPr>
                            <w:r>
                              <w:rPr>
                                <w:spacing w:val="-2"/>
                              </w:rPr>
                              <w:t>By Order of the Board of Directors,</w:t>
                            </w:r>
                            <w:r>
                              <w:rPr>
                                <w:spacing w:val="4"/>
                              </w:rPr>
                              <w:t xml:space="preserve"> </w:t>
                            </w:r>
                          </w:p>
                          <w:p>
                            <w:pPr>
                              <w:pStyle w:val="TextBody"/>
                              <w:bidi w:val="0"/>
                              <w:spacing w:before="142" w:after="283"/>
                              <w:jc w:val="left"/>
                              <w:rPr/>
                            </w:pPr>
                            <w:r>
                              <w:rPr/>
                              <w:drawing>
                                <wp:inline distT="0" distB="0" distL="0" distR="0">
                                  <wp:extent cx="2076450" cy="704850"/>
                                  <wp:effectExtent l="0" t="0" r="0" b="0"/>
                                  <wp:docPr id="640"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Image112" descr=""/>
                                          <pic:cNvPicPr>
                                            <a:picLocks noChangeAspect="1" noChangeArrowheads="1"/>
                                          </pic:cNvPicPr>
                                        </pic:nvPicPr>
                                        <pic:blipFill>
                                          <a:blip r:embed="rId134"/>
                                          <a:stretch>
                                            <a:fillRect/>
                                          </a:stretch>
                                        </pic:blipFill>
                                        <pic:spPr bwMode="auto">
                                          <a:xfrm>
                                            <a:off x="0" y="0"/>
                                            <a:ext cx="2076450" cy="704850"/>
                                          </a:xfrm>
                                          <a:prstGeom prst="rect">
                                            <a:avLst/>
                                          </a:prstGeom>
                                        </pic:spPr>
                                      </pic:pic>
                                    </a:graphicData>
                                  </a:graphic>
                                </wp:inline>
                              </w:drawing>
                            </w:r>
                            <w:r>
                              <w:rPr/>
                              <w:t xml:space="preserve"> </w:t>
                            </w:r>
                          </w:p>
                          <w:p>
                            <w:pPr>
                              <w:pStyle w:val="TextBody"/>
                              <w:bidi w:val="0"/>
                              <w:spacing w:lineRule="atLeast" w:line="230" w:before="80" w:after="283"/>
                              <w:jc w:val="left"/>
                              <w:rPr/>
                            </w:pPr>
                            <w:r>
                              <w:rPr>
                                <w:b/>
                                <w:spacing w:val="0"/>
                              </w:rPr>
                              <w:t>David O’Reilly</w:t>
                            </w:r>
                            <w:r>
                              <w:rPr/>
                              <w:t xml:space="preserve"> </w:t>
                              <w:br/>
                            </w:r>
                            <w:r>
                              <w:rPr>
                                <w:spacing w:val="-2"/>
                              </w:rPr>
                              <w:t>Chief Executive Officer</w:t>
                            </w:r>
                            <w:r>
                              <w:rPr>
                                <w:spacing w:val="4"/>
                              </w:rPr>
                              <w:t xml:space="preserve"> </w:t>
                            </w:r>
                          </w:p>
                          <w:p>
                            <w:pPr>
                              <w:pStyle w:val="TextBody"/>
                              <w:bidi w:val="0"/>
                              <w:spacing w:lineRule="atLeast" w:line="240" w:before="142" w:after="283"/>
                              <w:jc w:val="both"/>
                              <w:rPr/>
                            </w:pPr>
                            <w:r>
                              <w:rPr>
                                <w:spacing w:val="-2"/>
                              </w:rPr>
                              <w:t>The Woodlands, Texas</w:t>
                            </w:r>
                            <w:r>
                              <w:rPr>
                                <w:spacing w:val="4"/>
                              </w:rPr>
                              <w:t xml:space="preserve"> </w:t>
                            </w:r>
                          </w:p>
                          <w:p>
                            <w:pPr>
                              <w:pStyle w:val="TextBody"/>
                              <w:bidi w:val="0"/>
                              <w:spacing w:lineRule="atLeast" w:line="240" w:before="142" w:after="283"/>
                              <w:jc w:val="both"/>
                              <w:rPr/>
                            </w:pPr>
                            <w:r>
                              <w:rPr>
                                <w:spacing w:val="-2"/>
                              </w:rPr>
                              <w:t>August 19, 2026</w:t>
                            </w:r>
                            <w:r>
                              <w:rPr/>
                              <w:t xml:space="preserve"> </w:t>
                            </w:r>
                          </w:p>
                        </w:txbxContent>
                      </wps:txbx>
                      <wps:bodyPr anchor="t" lIns="0" tIns="0" rIns="0" bIns="0">
                        <a:noAutofit/>
                      </wps:bodyPr>
                    </wps:wsp>
                  </a:graphicData>
                </a:graphic>
              </wp:anchor>
            </w:drawing>
          </mc:Choice>
          <mc:Fallback>
            <w:pict>
              <v:rect style="position:absolute;rotation:-0;width:240.5pt;height:299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30" w:before="0" w:after="0"/>
                        <w:jc w:val="both"/>
                        <w:rPr/>
                      </w:pPr>
                      <w:r>
                        <w:rPr>
                          <w:spacing w:val="-2"/>
                        </w:rPr>
                        <w:t>The Board is not aware of any other business that may be brought before the Annual Meeting. If any other matters are properly brought before the Annual Meeting, it is intended that the enclosed proxy will be voted in accordance with the judgment of the persons voting the proxy.</w:t>
                      </w:r>
                      <w:r>
                        <w:rPr>
                          <w:spacing w:val="4"/>
                        </w:rPr>
                        <w:t xml:space="preserve"> </w:t>
                      </w:r>
                    </w:p>
                    <w:p>
                      <w:pPr>
                        <w:pStyle w:val="TextBody"/>
                        <w:bidi w:val="0"/>
                        <w:spacing w:lineRule="atLeast" w:line="240" w:before="144" w:after="283"/>
                        <w:jc w:val="both"/>
                        <w:rPr/>
                      </w:pPr>
                      <w:r>
                        <w:rPr>
                          <w:spacing w:val="-2"/>
                        </w:rPr>
                        <w:t>By Order of the Board of Directors,</w:t>
                      </w:r>
                      <w:r>
                        <w:rPr>
                          <w:spacing w:val="4"/>
                        </w:rPr>
                        <w:t xml:space="preserve"> </w:t>
                      </w:r>
                    </w:p>
                    <w:p>
                      <w:pPr>
                        <w:pStyle w:val="TextBody"/>
                        <w:bidi w:val="0"/>
                        <w:spacing w:before="142" w:after="283"/>
                        <w:jc w:val="left"/>
                        <w:rPr/>
                      </w:pPr>
                      <w:r>
                        <w:rPr/>
                        <w:drawing>
                          <wp:inline distT="0" distB="0" distL="0" distR="0">
                            <wp:extent cx="2076450" cy="704850"/>
                            <wp:effectExtent l="0" t="0" r="0" b="0"/>
                            <wp:docPr id="641"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 name="Image112" descr=""/>
                                    <pic:cNvPicPr>
                                      <a:picLocks noChangeAspect="1" noChangeArrowheads="1"/>
                                    </pic:cNvPicPr>
                                  </pic:nvPicPr>
                                  <pic:blipFill>
                                    <a:blip r:embed="rId135"/>
                                    <a:stretch>
                                      <a:fillRect/>
                                    </a:stretch>
                                  </pic:blipFill>
                                  <pic:spPr bwMode="auto">
                                    <a:xfrm>
                                      <a:off x="0" y="0"/>
                                      <a:ext cx="2076450" cy="704850"/>
                                    </a:xfrm>
                                    <a:prstGeom prst="rect">
                                      <a:avLst/>
                                    </a:prstGeom>
                                  </pic:spPr>
                                </pic:pic>
                              </a:graphicData>
                            </a:graphic>
                          </wp:inline>
                        </w:drawing>
                      </w:r>
                      <w:r>
                        <w:rPr/>
                        <w:t xml:space="preserve"> </w:t>
                      </w:r>
                    </w:p>
                    <w:p>
                      <w:pPr>
                        <w:pStyle w:val="TextBody"/>
                        <w:bidi w:val="0"/>
                        <w:spacing w:lineRule="atLeast" w:line="230" w:before="80" w:after="283"/>
                        <w:jc w:val="left"/>
                        <w:rPr/>
                      </w:pPr>
                      <w:r>
                        <w:rPr>
                          <w:b/>
                          <w:spacing w:val="0"/>
                        </w:rPr>
                        <w:t>David O’Reilly</w:t>
                      </w:r>
                      <w:r>
                        <w:rPr/>
                        <w:t xml:space="preserve"> </w:t>
                        <w:br/>
                      </w:r>
                      <w:r>
                        <w:rPr>
                          <w:spacing w:val="-2"/>
                        </w:rPr>
                        <w:t>Chief Executive Officer</w:t>
                      </w:r>
                      <w:r>
                        <w:rPr>
                          <w:spacing w:val="4"/>
                        </w:rPr>
                        <w:t xml:space="preserve"> </w:t>
                      </w:r>
                    </w:p>
                    <w:p>
                      <w:pPr>
                        <w:pStyle w:val="TextBody"/>
                        <w:bidi w:val="0"/>
                        <w:spacing w:lineRule="atLeast" w:line="240" w:before="142" w:after="283"/>
                        <w:jc w:val="both"/>
                        <w:rPr/>
                      </w:pPr>
                      <w:r>
                        <w:rPr>
                          <w:spacing w:val="-2"/>
                        </w:rPr>
                        <w:t>The Woodlands, Texas</w:t>
                      </w:r>
                      <w:r>
                        <w:rPr>
                          <w:spacing w:val="4"/>
                        </w:rPr>
                        <w:t xml:space="preserve"> </w:t>
                      </w:r>
                    </w:p>
                    <w:p>
                      <w:pPr>
                        <w:pStyle w:val="TextBody"/>
                        <w:bidi w:val="0"/>
                        <w:spacing w:lineRule="atLeast" w:line="240" w:before="142" w:after="283"/>
                        <w:jc w:val="both"/>
                        <w:rPr/>
                      </w:pPr>
                      <w:r>
                        <w:rPr>
                          <w:spacing w:val="-2"/>
                        </w:rPr>
                        <w:t>August 19, 2026</w:t>
                      </w:r>
                      <w:r>
                        <w:rPr/>
                        <w:t xml:space="preserve"> </w:t>
                      </w:r>
                    </w:p>
                  </w:txbxContent>
                </v:textbox>
                <w10:wrap type="square" side="right"/>
              </v:rect>
            </w:pict>
          </mc:Fallback>
        </mc:AlternateContent>
      </w:r>
      <w:r>
        <mc:AlternateContent>
          <mc:Choice Requires="wps">
            <w:drawing>
              <wp:anchor behindDoc="0" distT="0" distB="0" distL="571500" distR="0" simplePos="0" locked="0" layoutInCell="1" allowOverlap="1" relativeHeight="623">
                <wp:simplePos x="0" y="0"/>
                <wp:positionH relativeFrom="column">
                  <wp:align>left</wp:align>
                </wp:positionH>
                <wp:positionV relativeFrom="line">
                  <wp:posOffset>635</wp:posOffset>
                </wp:positionV>
                <wp:extent cx="3054350" cy="2453640"/>
                <wp:effectExtent l="0" t="0" r="0" b="0"/>
                <wp:wrapSquare wrapText="right"/>
                <wp:docPr id="642" name="Frame507"/>
                <a:graphic xmlns:a="http://schemas.openxmlformats.org/drawingml/2006/main">
                  <a:graphicData uri="http://schemas.microsoft.com/office/word/2010/wordprocessingShape">
                    <wps:wsp>
                      <wps:cNvSpPr txBox="1"/>
                      <wps:spPr>
                        <a:xfrm>
                          <a:off x="0" y="0"/>
                          <a:ext cx="3054350" cy="2453640"/>
                        </a:xfrm>
                        <a:prstGeom prst="rect"/>
                        <a:solidFill>
                          <a:srgbClr val="FFFFFF"/>
                        </a:solidFill>
                      </wps:spPr>
                      <wps:txbx>
                        <w:txbxContent>
                          <w:p>
                            <w:pPr>
                              <w:pStyle w:val="TextBody"/>
                              <w:bidi w:val="0"/>
                              <w:spacing w:lineRule="atLeast" w:line="250" w:before="0" w:after="0"/>
                              <w:jc w:val="both"/>
                              <w:rPr>
                                <w:spacing w:val="-2"/>
                              </w:rPr>
                            </w:pPr>
                            <w:r>
                              <w:rPr>
                                <w:spacing w:val="-2"/>
                              </w:rPr>
                              <w:t xml:space="preserve">This Proxy Statement is being furnished in connection with the solicitation of proxies by the Company. All the expenses involved in soliciting proxies for the Annual Meeting will be paid by the Company. We may reimburse banks, brokerage firms and other custodians, nominees and fiduciaries for expenses reasonably incurred by them in sending proxy materials to beneficial owners of our common stock. The solicitation of proxies will be conducted primarily by mail, but may include telephone, email, or oral communications by directors, officers, or regular employees of the Company, acting without special compensation. </w:t>
                            </w:r>
                          </w:p>
                        </w:txbxContent>
                      </wps:txbx>
                      <wps:bodyPr anchor="t" lIns="0" tIns="0" rIns="0" bIns="0">
                        <a:noAutofit/>
                      </wps:bodyPr>
                    </wps:wsp>
                  </a:graphicData>
                </a:graphic>
              </wp:anchor>
            </w:drawing>
          </mc:Choice>
          <mc:Fallback>
            <w:pict>
              <v:rect style="position:absolute;rotation:-0;width:240.5pt;height:193.2pt;mso-wrap-distance-left:45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lineRule="atLeast" w:line="250" w:before="0" w:after="0"/>
                        <w:jc w:val="both"/>
                        <w:rPr>
                          <w:spacing w:val="-2"/>
                        </w:rPr>
                      </w:pPr>
                      <w:r>
                        <w:rPr>
                          <w:spacing w:val="-2"/>
                        </w:rPr>
                        <w:t xml:space="preserve">This Proxy Statement is being furnished in connection with the solicitation of proxies by the Company. All the expenses involved in soliciting proxies for the Annual Meeting will be paid by the Company. We may reimburse banks, brokerage firms and other custodians, nominees and fiduciaries for expenses reasonably incurred by them in sending proxy materials to beneficial owners of our common stock. The solicitation of proxies will be conducted primarily by mail, but may include telephone, email, or oral communications by directors, officers, or regular employees of the Company, acting without special compensation. </w:t>
                      </w:r>
                    </w:p>
                  </w:txbxContent>
                </v:textbox>
                <w10:wrap type="square" side="right"/>
              </v:rect>
            </w:pict>
          </mc:Fallback>
        </mc:AlternateContent>
      </w:r>
    </w:p>
    <w:p>
      <w:pPr>
        <w:pStyle w:val="TextBody"/>
        <w:bidi w:val="0"/>
        <w:spacing w:lineRule="atLeast" w:line="240" w:before="100" w:after="283"/>
        <w:ind w:left="901"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60" w:after="283"/>
        <w:ind w:left="901"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4"/>
        </w:rPr>
        <w:t>92 \ </w:t>
      </w:r>
      <w:r>
        <w:rPr>
          <w:rFonts w:ascii="Arial;Helvetica;sans-serif" w:hAnsi="Arial;Helvetica;sans-serif"/>
          <w:b w:val="false"/>
          <w:i w:val="false"/>
          <w:caps w:val="false"/>
          <w:smallCaps w:val="false"/>
          <w:color w:val="000000"/>
          <w:spacing w:val="-2"/>
          <w:sz w:val="20"/>
        </w:rPr>
        <w:t xml:space="preserve">Howard Hughes Holdings Inc. </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2"/>
          <w:sz w:val="20"/>
        </w:rPr>
        <w:t xml:space="preserve"> investor.howardhughes.com</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AABU"/>
      <w:bookmarkEnd w:id="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437" w:after="517"/>
        <w:ind w:left="889"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ANNEX A</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Reconciliation of Non-GAAP Measures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Below are GAAP to non-GAAP reconciliations of certain financial measures, as required under Regulation G of the Securities Exchange Act of 1934. Non-GAAP information should be considered by the reader in addition to, but not instead of, the financial statements prepared in accordance with GAAP. The non-GAAP financial information presented may be determined or calculated differently by other companies and may not be comparable to similarly titled measures.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has three business segments, Operating Assets, MPC, and Strategic Developments. Earnings before tax (EBT), as it relates to each business segment, includes the revenues and expenses of each segment, as shown below. EBT excludes corporate expenses and other items that are not allocable to the segments.</w:t>
      </w:r>
      <w:r>
        <w:rPr>
          <w:rFonts w:ascii="Arial;Helvetica;sans-serif" w:hAnsi="Arial;Helvetica;sans-serif"/>
          <w:b w:val="false"/>
          <w:i w:val="false"/>
          <w:caps w:val="false"/>
          <w:smallCaps w:val="false"/>
          <w:color w:val="000000"/>
          <w:spacing w:val="4"/>
          <w:sz w:val="20"/>
        </w:rPr>
        <w:t xml:space="preserve"> </w:t>
      </w:r>
    </w:p>
    <w:tbl>
      <w:tblPr>
        <w:tblW w:w="9316" w:type="dxa"/>
        <w:jc w:val="left"/>
        <w:tblInd w:w="889" w:type="dxa"/>
        <w:tblLayout w:type="fixed"/>
        <w:tblCellMar>
          <w:top w:w="0" w:type="dxa"/>
          <w:left w:w="0" w:type="dxa"/>
          <w:bottom w:w="0" w:type="dxa"/>
          <w:right w:w="0" w:type="dxa"/>
        </w:tblCellMar>
      </w:tblPr>
      <w:tblGrid>
        <w:gridCol w:w="124"/>
        <w:gridCol w:w="3925"/>
        <w:gridCol w:w="109"/>
        <w:gridCol w:w="109"/>
        <w:gridCol w:w="109"/>
        <w:gridCol w:w="226"/>
        <w:gridCol w:w="1031"/>
        <w:gridCol w:w="109"/>
        <w:gridCol w:w="109"/>
        <w:gridCol w:w="109"/>
        <w:gridCol w:w="109"/>
        <w:gridCol w:w="226"/>
        <w:gridCol w:w="1031"/>
        <w:gridCol w:w="109"/>
        <w:gridCol w:w="109"/>
        <w:gridCol w:w="109"/>
        <w:gridCol w:w="109"/>
        <w:gridCol w:w="226"/>
        <w:gridCol w:w="1063"/>
        <w:gridCol w:w="109"/>
        <w:gridCol w:w="156"/>
      </w:tblGrid>
      <w:tr>
        <w:trPr/>
        <w:tc>
          <w:tcPr>
            <w:tcW w:w="124" w:type="dxa"/>
            <w:tcBorders/>
            <w:shd w:fill="BAD8EA" w:val="clear"/>
            <w:vAlign w:val="center"/>
          </w:tcPr>
          <w:p>
            <w:pPr>
              <w:pStyle w:val="TableContents"/>
              <w:bidi w:val="0"/>
              <w:spacing w:before="0" w:after="283"/>
              <w:jc w:val="left"/>
              <w:rPr/>
            </w:pPr>
            <w:r>
              <w:rPr/>
              <w:t>​</w:t>
            </w:r>
          </w:p>
        </w:tc>
        <w:tc>
          <w:tcPr>
            <w:tcW w:w="3925" w:type="dxa"/>
            <w:tcBorders/>
            <w:shd w:fill="BAD8EA" w:val="clear"/>
            <w:vAlign w:val="center"/>
          </w:tcPr>
          <w:p>
            <w:pPr>
              <w:pStyle w:val="TableContents"/>
              <w:bidi w:val="0"/>
              <w:spacing w:before="0" w:after="0"/>
              <w:jc w:val="left"/>
              <w:rPr>
                <w:b w:val="false"/>
                <w:i/>
              </w:rPr>
            </w:pPr>
            <w:r>
              <w:rPr>
                <w:b w:val="false"/>
                <w:i/>
              </w:rPr>
              <w:t>thousands</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475" w:type="dxa"/>
            <w:gridSpan w:val="4"/>
            <w:tcBorders/>
            <w:shd w:fill="BAD8EA" w:val="clear"/>
            <w:vAlign w:val="center"/>
          </w:tcPr>
          <w:p>
            <w:pPr>
              <w:pStyle w:val="TableContents"/>
              <w:bidi w:val="0"/>
              <w:spacing w:before="0" w:after="0"/>
              <w:jc w:val="center"/>
              <w:rPr/>
            </w:pPr>
            <w:r>
              <w:rPr>
                <w:spacing w:val="0"/>
              </w:rPr>
              <w:t xml:space="preserve">Operating </w:t>
              <w:br/>
              <w:t xml:space="preserve">Assets </w:t>
              <w:br/>
              <w:t>Segment</w:t>
            </w:r>
            <w:r>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475" w:type="dxa"/>
            <w:gridSpan w:val="4"/>
            <w:tcBorders/>
            <w:shd w:fill="BAD8EA" w:val="clear"/>
            <w:vAlign w:val="center"/>
          </w:tcPr>
          <w:p>
            <w:pPr>
              <w:pStyle w:val="TableContents"/>
              <w:bidi w:val="0"/>
              <w:spacing w:before="0" w:after="0"/>
              <w:jc w:val="center"/>
              <w:rPr/>
            </w:pPr>
            <w:r>
              <w:rPr>
                <w:spacing w:val="-2"/>
              </w:rPr>
              <w:t>MPC</w:t>
            </w:r>
            <w:r>
              <w:rPr/>
              <w:t xml:space="preserve"> </w:t>
              <w:br/>
            </w:r>
            <w:r>
              <w:rPr>
                <w:spacing w:val="0"/>
              </w:rPr>
              <w:t>Segment</w:t>
            </w:r>
            <w:r>
              <w:rPr/>
              <w:t xml:space="preserve"> </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507" w:type="dxa"/>
            <w:gridSpan w:val="4"/>
            <w:tcBorders/>
            <w:shd w:fill="BAD8EA" w:val="clear"/>
            <w:vAlign w:val="center"/>
          </w:tcPr>
          <w:p>
            <w:pPr>
              <w:pStyle w:val="TableContents"/>
              <w:bidi w:val="0"/>
              <w:spacing w:before="0" w:after="0"/>
              <w:jc w:val="center"/>
              <w:rPr/>
            </w:pPr>
            <w:r>
              <w:rPr>
                <w:spacing w:val="0"/>
              </w:rPr>
              <w:t xml:space="preserve">Strategic </w:t>
              <w:br/>
              <w:t xml:space="preserve">Developments </w:t>
              <w:br/>
              <w:t>Segment</w:t>
            </w:r>
            <w:r>
              <w:rPr/>
              <w:t xml:space="preserve"> </w:t>
            </w:r>
          </w:p>
        </w:tc>
        <w:tc>
          <w:tcPr>
            <w:tcW w:w="156"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925" w:type="dxa"/>
            <w:tcBorders>
              <w:bottom w:val="single" w:sz="2" w:space="0" w:color="CBCAC8"/>
            </w:tcBorders>
            <w:tcMar>
              <w:bottom w:w="50" w:type="dxa"/>
            </w:tcMar>
            <w:vAlign w:val="center"/>
          </w:tcPr>
          <w:p>
            <w:pPr>
              <w:pStyle w:val="TableContents"/>
              <w:bidi w:val="0"/>
              <w:spacing w:before="0" w:after="283"/>
              <w:jc w:val="left"/>
              <w:rPr/>
            </w:pPr>
            <w:r>
              <w:rPr>
                <w:spacing w:val="0"/>
              </w:rPr>
              <w:t>Year ended December 31, 2025</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63" w:type="dxa"/>
            <w:tcBorders>
              <w:bottom w:val="single" w:sz="2" w:space="0" w:color="CBCAC8"/>
            </w:tcBorders>
            <w:tcMar>
              <w:bottom w:w="50" w:type="dxa"/>
            </w:tcMar>
            <w:vAlign w:val="center"/>
          </w:tcPr>
          <w:p>
            <w:pPr>
              <w:pStyle w:val="TableContents"/>
              <w:bidi w:val="0"/>
              <w:spacing w:before="0" w:after="283"/>
              <w:jc w:val="righ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6"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925" w:type="dxa"/>
            <w:tcBorders>
              <w:bottom w:val="single" w:sz="2" w:space="0" w:color="CBCAC8"/>
            </w:tcBorders>
            <w:tcMar>
              <w:bottom w:w="50" w:type="dxa"/>
            </w:tcMar>
            <w:vAlign w:val="center"/>
          </w:tcPr>
          <w:p>
            <w:pPr>
              <w:pStyle w:val="TableContents"/>
              <w:bidi w:val="0"/>
              <w:spacing w:before="0" w:after="283"/>
              <w:jc w:val="left"/>
              <w:rPr/>
            </w:pPr>
            <w:r>
              <w:rPr>
                <w:spacing w:val="-2"/>
              </w:rPr>
              <w:t>Total revenues</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 xml:space="preserve">465,568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 xml:space="preserve">634,856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63" w:type="dxa"/>
            <w:tcBorders>
              <w:bottom w:val="single" w:sz="2" w:space="0" w:color="CBCAC8"/>
            </w:tcBorders>
            <w:tcMar>
              <w:bottom w:w="50" w:type="dxa"/>
            </w:tcMar>
            <w:vAlign w:val="center"/>
          </w:tcPr>
          <w:p>
            <w:pPr>
              <w:pStyle w:val="TableContents"/>
              <w:bidi w:val="0"/>
              <w:spacing w:before="0" w:after="283"/>
              <w:jc w:val="right"/>
              <w:rPr/>
            </w:pPr>
            <w:r>
              <w:rPr/>
              <w:t xml:space="preserve">374,363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6"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925" w:type="dxa"/>
            <w:tcBorders>
              <w:bottom w:val="single" w:sz="2" w:space="0" w:color="CBCAC8"/>
            </w:tcBorders>
            <w:tcMar>
              <w:bottom w:w="50" w:type="dxa"/>
            </w:tcMar>
            <w:vAlign w:val="center"/>
          </w:tcPr>
          <w:p>
            <w:pPr>
              <w:pStyle w:val="TableContents"/>
              <w:bidi w:val="0"/>
              <w:spacing w:before="0" w:after="283"/>
              <w:jc w:val="left"/>
              <w:rPr/>
            </w:pPr>
            <w:r>
              <w:rPr>
                <w:spacing w:val="-2"/>
              </w:rPr>
              <w:t>Total operating expenses</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 xml:space="preserve">(204,273)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 xml:space="preserve">(234,002)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63" w:type="dxa"/>
            <w:tcBorders>
              <w:bottom w:val="single" w:sz="2" w:space="0" w:color="CBCAC8"/>
            </w:tcBorders>
            <w:tcMar>
              <w:bottom w:w="50" w:type="dxa"/>
            </w:tcMar>
            <w:vAlign w:val="center"/>
          </w:tcPr>
          <w:p>
            <w:pPr>
              <w:pStyle w:val="TableContents"/>
              <w:bidi w:val="0"/>
              <w:spacing w:before="0" w:after="283"/>
              <w:jc w:val="right"/>
              <w:rPr/>
            </w:pPr>
            <w:r>
              <w:rPr/>
              <w:t xml:space="preserve">(394,089)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6"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925" w:type="dxa"/>
            <w:tcBorders>
              <w:bottom w:val="single" w:sz="2" w:space="0" w:color="CBCAC8"/>
            </w:tcBorders>
            <w:tcMar>
              <w:bottom w:w="50" w:type="dxa"/>
            </w:tcMar>
            <w:vAlign w:val="center"/>
          </w:tcPr>
          <w:p>
            <w:pPr>
              <w:pStyle w:val="TableContents"/>
              <w:bidi w:val="0"/>
              <w:spacing w:before="0" w:after="283"/>
              <w:jc w:val="left"/>
              <w:rPr/>
            </w:pPr>
            <w:r>
              <w:rPr>
                <w:spacing w:val="-2"/>
              </w:rPr>
              <w:t>Segment operating income (loss)</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 xml:space="preserve">261,295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 xml:space="preserve">400,854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63" w:type="dxa"/>
            <w:tcBorders>
              <w:bottom w:val="single" w:sz="2" w:space="0" w:color="CBCAC8"/>
            </w:tcBorders>
            <w:tcMar>
              <w:bottom w:w="50" w:type="dxa"/>
            </w:tcMar>
            <w:vAlign w:val="center"/>
          </w:tcPr>
          <w:p>
            <w:pPr>
              <w:pStyle w:val="TableContents"/>
              <w:bidi w:val="0"/>
              <w:spacing w:before="0" w:after="283"/>
              <w:jc w:val="right"/>
              <w:rPr/>
            </w:pPr>
            <w:r>
              <w:rPr/>
              <w:t xml:space="preserve">(19,726)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6"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925" w:type="dxa"/>
            <w:tcBorders>
              <w:bottom w:val="single" w:sz="2" w:space="0" w:color="CBCAC8"/>
            </w:tcBorders>
            <w:tcMar>
              <w:bottom w:w="50" w:type="dxa"/>
            </w:tcMar>
            <w:vAlign w:val="center"/>
          </w:tcPr>
          <w:p>
            <w:pPr>
              <w:pStyle w:val="TableContents"/>
              <w:bidi w:val="0"/>
              <w:spacing w:before="0" w:after="283"/>
              <w:jc w:val="left"/>
              <w:rPr/>
            </w:pPr>
            <w:r>
              <w:rPr>
                <w:spacing w:val="-2"/>
              </w:rPr>
              <w:t>Depreciation and amortization</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 xml:space="preserve">(172,835)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 xml:space="preserve">(408)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63" w:type="dxa"/>
            <w:tcBorders>
              <w:bottom w:val="single" w:sz="2" w:space="0" w:color="CBCAC8"/>
            </w:tcBorders>
            <w:tcMar>
              <w:bottom w:w="50" w:type="dxa"/>
            </w:tcMar>
            <w:vAlign w:val="center"/>
          </w:tcPr>
          <w:p>
            <w:pPr>
              <w:pStyle w:val="TableContents"/>
              <w:bidi w:val="0"/>
              <w:spacing w:before="0" w:after="283"/>
              <w:jc w:val="right"/>
              <w:rPr/>
            </w:pPr>
            <w:r>
              <w:rPr/>
              <w:t xml:space="preserve">(6,579)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6"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925" w:type="dxa"/>
            <w:tcBorders>
              <w:bottom w:val="single" w:sz="2" w:space="0" w:color="CBCAC8"/>
            </w:tcBorders>
            <w:tcMar>
              <w:bottom w:w="50" w:type="dxa"/>
            </w:tcMar>
            <w:vAlign w:val="center"/>
          </w:tcPr>
          <w:p>
            <w:pPr>
              <w:pStyle w:val="TableContents"/>
              <w:bidi w:val="0"/>
              <w:spacing w:before="0" w:after="283"/>
              <w:jc w:val="left"/>
              <w:rPr/>
            </w:pPr>
            <w:r>
              <w:rPr>
                <w:spacing w:val="-2"/>
              </w:rPr>
              <w:t>Interest income (expense), net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 xml:space="preserve">(136,637)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 xml:space="preserve">75,160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63" w:type="dxa"/>
            <w:tcBorders>
              <w:bottom w:val="single" w:sz="2" w:space="0" w:color="CBCAC8"/>
            </w:tcBorders>
            <w:tcMar>
              <w:bottom w:w="50" w:type="dxa"/>
            </w:tcMar>
            <w:vAlign w:val="center"/>
          </w:tcPr>
          <w:p>
            <w:pPr>
              <w:pStyle w:val="TableContents"/>
              <w:bidi w:val="0"/>
              <w:spacing w:before="0" w:after="283"/>
              <w:jc w:val="right"/>
              <w:rPr/>
            </w:pPr>
            <w:r>
              <w:rPr/>
              <w:t xml:space="preserve">18,851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6"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925" w:type="dxa"/>
            <w:tcBorders>
              <w:bottom w:val="single" w:sz="2" w:space="0" w:color="CBCAC8"/>
            </w:tcBorders>
            <w:tcMar>
              <w:bottom w:w="50" w:type="dxa"/>
            </w:tcMar>
            <w:vAlign w:val="center"/>
          </w:tcPr>
          <w:p>
            <w:pPr>
              <w:pStyle w:val="TableContents"/>
              <w:bidi w:val="0"/>
              <w:spacing w:before="0" w:after="283"/>
              <w:jc w:val="left"/>
              <w:rPr/>
            </w:pPr>
            <w:r>
              <w:rPr>
                <w:spacing w:val="-2"/>
              </w:rPr>
              <w:t>Other income (loss), net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 xml:space="preserve">2,266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 xml:space="preserve">120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63" w:type="dxa"/>
            <w:tcBorders>
              <w:bottom w:val="single" w:sz="2" w:space="0" w:color="CBCAC8"/>
            </w:tcBorders>
            <w:tcMar>
              <w:bottom w:w="50" w:type="dxa"/>
            </w:tcMar>
            <w:vAlign w:val="center"/>
          </w:tcPr>
          <w:p>
            <w:pPr>
              <w:pStyle w:val="TableContents"/>
              <w:bidi w:val="0"/>
              <w:spacing w:before="0" w:after="283"/>
              <w:jc w:val="right"/>
              <w:rPr/>
            </w:pPr>
            <w:r>
              <w:rPr/>
              <w:t xml:space="preserve">(18,487)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6"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925" w:type="dxa"/>
            <w:tcBorders>
              <w:bottom w:val="single" w:sz="2" w:space="0" w:color="CBCAC8"/>
            </w:tcBorders>
            <w:tcMar>
              <w:bottom w:w="50" w:type="dxa"/>
            </w:tcMar>
            <w:vAlign w:val="center"/>
          </w:tcPr>
          <w:p>
            <w:pPr>
              <w:pStyle w:val="TableContents"/>
              <w:bidi w:val="0"/>
              <w:spacing w:before="0" w:after="283"/>
              <w:jc w:val="left"/>
              <w:rPr/>
            </w:pPr>
            <w:r>
              <w:rPr>
                <w:spacing w:val="-2"/>
              </w:rPr>
              <w:t>Equity in earnings (losses) from unconsolidated ventures</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 xml:space="preserve">4,829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 xml:space="preserve">(3,374)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63" w:type="dxa"/>
            <w:tcBorders>
              <w:bottom w:val="single" w:sz="2" w:space="0" w:color="CBCAC8"/>
            </w:tcBorders>
            <w:tcMar>
              <w:bottom w:w="50" w:type="dxa"/>
            </w:tcMar>
            <w:vAlign w:val="center"/>
          </w:tcPr>
          <w:p>
            <w:pPr>
              <w:pStyle w:val="TableContents"/>
              <w:bidi w:val="0"/>
              <w:spacing w:before="0" w:after="283"/>
              <w:jc w:val="right"/>
              <w:rPr/>
            </w:pPr>
            <w:r>
              <w:rPr/>
              <w:t xml:space="preserve">317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6"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925" w:type="dxa"/>
            <w:tcBorders>
              <w:bottom w:val="single" w:sz="2" w:space="0" w:color="CBCAC8"/>
            </w:tcBorders>
            <w:tcMar>
              <w:bottom w:w="50" w:type="dxa"/>
            </w:tcMar>
            <w:vAlign w:val="center"/>
          </w:tcPr>
          <w:p>
            <w:pPr>
              <w:pStyle w:val="TableContents"/>
              <w:bidi w:val="0"/>
              <w:spacing w:before="0" w:after="283"/>
              <w:jc w:val="left"/>
              <w:rPr/>
            </w:pPr>
            <w:r>
              <w:rPr>
                <w:spacing w:val="-2"/>
              </w:rPr>
              <w:t>Gain (loss) on sale or disposal of real estate and other assets, net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 xml:space="preserve">14,354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 xml:space="preserve">3,750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63" w:type="dxa"/>
            <w:tcBorders>
              <w:bottom w:val="single" w:sz="2" w:space="0" w:color="CBCAC8"/>
            </w:tcBorders>
            <w:tcMar>
              <w:bottom w:w="50" w:type="dxa"/>
            </w:tcMar>
            <w:vAlign w:val="center"/>
          </w:tcPr>
          <w:p>
            <w:pPr>
              <w:pStyle w:val="TableContents"/>
              <w:bidi w:val="0"/>
              <w:spacing w:before="0" w:after="283"/>
              <w:jc w:val="right"/>
              <w:rPr/>
            </w:pPr>
            <w:r>
              <w:rPr/>
              <w:t xml:space="preserve">11,721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6"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925" w:type="dxa"/>
            <w:tcBorders>
              <w:bottom w:val="single" w:sz="2" w:space="0" w:color="CBCAC8"/>
            </w:tcBorders>
            <w:tcMar>
              <w:bottom w:w="50" w:type="dxa"/>
            </w:tcMar>
            <w:vAlign w:val="center"/>
          </w:tcPr>
          <w:p>
            <w:pPr>
              <w:pStyle w:val="TableContents"/>
              <w:bidi w:val="0"/>
              <w:spacing w:before="0" w:after="283"/>
              <w:jc w:val="left"/>
              <w:rPr/>
            </w:pPr>
            <w:r>
              <w:rPr>
                <w:spacing w:val="-2"/>
              </w:rPr>
              <w:t>Gain (loss) on extinguishment of debt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 xml:space="preserve">(698)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63" w:type="dxa"/>
            <w:tcBorders>
              <w:bottom w:val="single" w:sz="2" w:space="0" w:color="CBCAC8"/>
            </w:tcBorders>
            <w:tcMar>
              <w:bottom w:w="50" w:type="dxa"/>
            </w:tcMar>
            <w:vAlign w:val="center"/>
          </w:tcPr>
          <w:p>
            <w:pPr>
              <w:pStyle w:val="TableContents"/>
              <w:bidi w:val="0"/>
              <w:spacing w:before="0" w:after="283"/>
              <w:jc w:val="right"/>
              <w:rPr/>
            </w:pP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6"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925" w:type="dxa"/>
            <w:tcBorders>
              <w:bottom w:val="single" w:sz="2" w:space="0" w:color="CBCAC8"/>
            </w:tcBorders>
            <w:tcMar>
              <w:bottom w:w="50" w:type="dxa"/>
            </w:tcMar>
            <w:vAlign w:val="center"/>
          </w:tcPr>
          <w:p>
            <w:pPr>
              <w:pStyle w:val="TableContents"/>
              <w:bidi w:val="0"/>
              <w:spacing w:before="0" w:after="283"/>
              <w:jc w:val="left"/>
              <w:rPr/>
            </w:pPr>
            <w:r>
              <w:rPr>
                <w:spacing w:val="-2"/>
              </w:rPr>
              <w:t>Segment EBT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 xml:space="preserve">(27,426)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 xml:space="preserve">476,102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63" w:type="dxa"/>
            <w:tcBorders>
              <w:bottom w:val="single" w:sz="2" w:space="0" w:color="CBCAC8"/>
            </w:tcBorders>
            <w:tcMar>
              <w:bottom w:w="50" w:type="dxa"/>
            </w:tcMar>
            <w:vAlign w:val="center"/>
          </w:tcPr>
          <w:p>
            <w:pPr>
              <w:pStyle w:val="TableContents"/>
              <w:bidi w:val="0"/>
              <w:spacing w:before="0" w:after="283"/>
              <w:jc w:val="right"/>
              <w:rPr/>
            </w:pPr>
            <w:r>
              <w:rPr/>
              <w:t>(13,903)</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6" w:type="dxa"/>
            <w:tcBorders>
              <w:bottom w:val="single" w:sz="2" w:space="0" w:color="CBCAC8"/>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42" w:after="283"/>
        <w:ind w:left="889"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The following represents the reconciliation of segment EBT to Net income (loss) from continuing operations before income taxes in the Consolidated Statements of Operations for the year ended December 31:</w:t>
      </w:r>
      <w:r>
        <w:rPr>
          <w:rFonts w:ascii="Arial;Helvetica;sans-serif" w:hAnsi="Arial;Helvetica;sans-serif"/>
          <w:b/>
          <w:i w:val="false"/>
          <w:caps w:val="false"/>
          <w:smallCaps w:val="false"/>
          <w:color w:val="000000"/>
          <w:spacing w:val="4"/>
          <w:sz w:val="20"/>
        </w:rPr>
        <w:t xml:space="preserve"> </w:t>
      </w:r>
    </w:p>
    <w:tbl>
      <w:tblPr>
        <w:tblW w:w="8386" w:type="dxa"/>
        <w:jc w:val="left"/>
        <w:tblInd w:w="889" w:type="dxa"/>
        <w:tblLayout w:type="fixed"/>
        <w:tblCellMar>
          <w:top w:w="0" w:type="dxa"/>
          <w:left w:w="0" w:type="dxa"/>
          <w:bottom w:w="0" w:type="dxa"/>
          <w:right w:w="0" w:type="dxa"/>
        </w:tblCellMar>
      </w:tblPr>
      <w:tblGrid>
        <w:gridCol w:w="124"/>
        <w:gridCol w:w="6391"/>
        <w:gridCol w:w="109"/>
        <w:gridCol w:w="109"/>
        <w:gridCol w:w="110"/>
        <w:gridCol w:w="229"/>
        <w:gridCol w:w="1050"/>
        <w:gridCol w:w="110"/>
        <w:gridCol w:w="154"/>
      </w:tblGrid>
      <w:tr>
        <w:trPr/>
        <w:tc>
          <w:tcPr>
            <w:tcW w:w="124" w:type="dxa"/>
            <w:tcBorders/>
            <w:shd w:fill="BAD8EA" w:val="clear"/>
            <w:vAlign w:val="center"/>
          </w:tcPr>
          <w:p>
            <w:pPr>
              <w:pStyle w:val="TableContents"/>
              <w:bidi w:val="0"/>
              <w:spacing w:before="0" w:after="283"/>
              <w:jc w:val="left"/>
              <w:rPr/>
            </w:pPr>
            <w:r>
              <w:rPr/>
              <w:t>​</w:t>
            </w:r>
          </w:p>
        </w:tc>
        <w:tc>
          <w:tcPr>
            <w:tcW w:w="6391" w:type="dxa"/>
            <w:tcBorders/>
            <w:shd w:fill="BAD8EA" w:val="clear"/>
            <w:vAlign w:val="center"/>
          </w:tcPr>
          <w:p>
            <w:pPr>
              <w:pStyle w:val="TableContents"/>
              <w:bidi w:val="0"/>
              <w:spacing w:before="0" w:after="0"/>
              <w:jc w:val="left"/>
              <w:rPr>
                <w:b w:val="false"/>
                <w:i/>
              </w:rPr>
            </w:pPr>
            <w:r>
              <w:rPr>
                <w:b w:val="false"/>
                <w:i/>
              </w:rPr>
              <w:t>thousands</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499" w:type="dxa"/>
            <w:gridSpan w:val="4"/>
            <w:tcBorders/>
            <w:shd w:fill="BAD8EA" w:val="clear"/>
            <w:vAlign w:val="center"/>
          </w:tcPr>
          <w:p>
            <w:pPr>
              <w:pStyle w:val="TableContents"/>
              <w:bidi w:val="0"/>
              <w:spacing w:before="0" w:after="0"/>
              <w:jc w:val="center"/>
              <w:rPr/>
            </w:pPr>
            <w:r>
              <w:rPr>
                <w:spacing w:val="0"/>
              </w:rPr>
              <w:t>December 31,</w:t>
            </w:r>
            <w:r>
              <w:rPr/>
              <w:t xml:space="preserve"> </w:t>
              <w:br/>
            </w:r>
            <w:r>
              <w:rPr>
                <w:spacing w:val="-2"/>
              </w:rPr>
              <w:t>2025</w:t>
            </w:r>
            <w:r>
              <w:rPr/>
              <w:t xml:space="preserve"> </w:t>
            </w:r>
          </w:p>
        </w:tc>
        <w:tc>
          <w:tcPr>
            <w:tcW w:w="154"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391" w:type="dxa"/>
            <w:tcBorders>
              <w:bottom w:val="single" w:sz="2" w:space="0" w:color="CBCAC8"/>
            </w:tcBorders>
            <w:tcMar>
              <w:bottom w:w="50" w:type="dxa"/>
            </w:tcMar>
            <w:vAlign w:val="center"/>
          </w:tcPr>
          <w:p>
            <w:pPr>
              <w:pStyle w:val="TableContents"/>
              <w:bidi w:val="0"/>
              <w:spacing w:before="0" w:after="283"/>
              <w:jc w:val="left"/>
              <w:rPr/>
            </w:pPr>
            <w:r>
              <w:rPr>
                <w:spacing w:val="0"/>
              </w:rPr>
              <w:t>Operating Assets EBT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0" w:type="dxa"/>
            <w:tcBorders>
              <w:bottom w:val="single" w:sz="2" w:space="0" w:color="CBCAC8"/>
            </w:tcBorders>
            <w:tcMar>
              <w:bottom w:w="28" w:type="dxa"/>
            </w:tcMar>
            <w:vAlign w:val="center"/>
          </w:tcPr>
          <w:p>
            <w:pPr>
              <w:pStyle w:val="TableContents"/>
              <w:bidi w:val="0"/>
              <w:spacing w:before="0" w:after="283"/>
              <w:jc w:val="left"/>
              <w:rPr/>
            </w:pPr>
            <w:r>
              <w:rPr/>
              <w:t>​</w:t>
            </w:r>
          </w:p>
        </w:tc>
        <w:tc>
          <w:tcPr>
            <w:tcW w:w="229" w:type="dxa"/>
            <w:tcBorders>
              <w:bottom w:val="single" w:sz="2" w:space="0" w:color="CBCAC8"/>
            </w:tcBorders>
            <w:tcMar>
              <w:bottom w:w="50" w:type="dxa"/>
            </w:tcMar>
            <w:vAlign w:val="center"/>
          </w:tcPr>
          <w:p>
            <w:pPr>
              <w:pStyle w:val="TableContents"/>
              <w:bidi w:val="0"/>
              <w:spacing w:before="0" w:after="283"/>
              <w:jc w:val="right"/>
              <w:rPr/>
            </w:pPr>
            <w:r>
              <w:rPr/>
              <w:t>$</w:t>
            </w:r>
          </w:p>
        </w:tc>
        <w:tc>
          <w:tcPr>
            <w:tcW w:w="1050" w:type="dxa"/>
            <w:tcBorders>
              <w:bottom w:val="single" w:sz="2" w:space="0" w:color="CBCAC8"/>
            </w:tcBorders>
            <w:tcMar>
              <w:bottom w:w="50" w:type="dxa"/>
            </w:tcMar>
            <w:vAlign w:val="center"/>
          </w:tcPr>
          <w:p>
            <w:pPr>
              <w:pStyle w:val="TableContents"/>
              <w:bidi w:val="0"/>
              <w:spacing w:before="0" w:after="283"/>
              <w:jc w:val="right"/>
              <w:rPr/>
            </w:pPr>
            <w:r>
              <w:rPr/>
              <w:t>(27,426)</w:t>
            </w:r>
          </w:p>
        </w:tc>
        <w:tc>
          <w:tcPr>
            <w:tcW w:w="110"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391" w:type="dxa"/>
            <w:tcBorders>
              <w:bottom w:val="single" w:sz="2" w:space="0" w:color="CBCAC8"/>
            </w:tcBorders>
            <w:tcMar>
              <w:bottom w:w="50" w:type="dxa"/>
            </w:tcMar>
            <w:vAlign w:val="center"/>
          </w:tcPr>
          <w:p>
            <w:pPr>
              <w:pStyle w:val="TableContents"/>
              <w:bidi w:val="0"/>
              <w:spacing w:before="0" w:after="283"/>
              <w:jc w:val="left"/>
              <w:rPr/>
            </w:pPr>
            <w:r>
              <w:rPr>
                <w:spacing w:val="-3"/>
              </w:rPr>
              <w:t>MPC EBT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0" w:type="dxa"/>
            <w:tcBorders>
              <w:bottom w:val="single" w:sz="2" w:space="0" w:color="CBCAC8"/>
            </w:tcBorders>
            <w:tcMar>
              <w:bottom w:w="28" w:type="dxa"/>
            </w:tcMar>
            <w:vAlign w:val="center"/>
          </w:tcPr>
          <w:p>
            <w:pPr>
              <w:pStyle w:val="TableContents"/>
              <w:bidi w:val="0"/>
              <w:spacing w:before="0" w:after="283"/>
              <w:jc w:val="left"/>
              <w:rPr/>
            </w:pPr>
            <w:r>
              <w:rPr/>
              <w:t>​</w:t>
            </w:r>
          </w:p>
        </w:tc>
        <w:tc>
          <w:tcPr>
            <w:tcW w:w="229" w:type="dxa"/>
            <w:tcBorders>
              <w:bottom w:val="single" w:sz="2" w:space="0" w:color="CBCAC8"/>
            </w:tcBorders>
            <w:tcMar>
              <w:bottom w:w="50" w:type="dxa"/>
            </w:tcMar>
            <w:vAlign w:val="center"/>
          </w:tcPr>
          <w:p>
            <w:pPr>
              <w:pStyle w:val="TableContents"/>
              <w:bidi w:val="0"/>
              <w:spacing w:before="0" w:after="283"/>
              <w:jc w:val="right"/>
              <w:rPr/>
            </w:pPr>
            <w:r>
              <w:rPr/>
              <w:t>​</w:t>
            </w:r>
          </w:p>
        </w:tc>
        <w:tc>
          <w:tcPr>
            <w:tcW w:w="1050" w:type="dxa"/>
            <w:tcBorders>
              <w:bottom w:val="single" w:sz="2" w:space="0" w:color="CBCAC8"/>
            </w:tcBorders>
            <w:tcMar>
              <w:bottom w:w="50" w:type="dxa"/>
            </w:tcMar>
            <w:vAlign w:val="center"/>
          </w:tcPr>
          <w:p>
            <w:pPr>
              <w:pStyle w:val="TableContents"/>
              <w:bidi w:val="0"/>
              <w:spacing w:before="0" w:after="283"/>
              <w:jc w:val="right"/>
              <w:rPr/>
            </w:pPr>
            <w:r>
              <w:rPr/>
              <w:t>476,102</w:t>
            </w:r>
          </w:p>
        </w:tc>
        <w:tc>
          <w:tcPr>
            <w:tcW w:w="110"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391" w:type="dxa"/>
            <w:tcBorders>
              <w:bottom w:val="single" w:sz="2" w:space="0" w:color="CBCAC8"/>
            </w:tcBorders>
            <w:tcMar>
              <w:bottom w:w="50" w:type="dxa"/>
            </w:tcMar>
            <w:vAlign w:val="center"/>
          </w:tcPr>
          <w:p>
            <w:pPr>
              <w:pStyle w:val="TableContents"/>
              <w:bidi w:val="0"/>
              <w:spacing w:before="0" w:after="283"/>
              <w:jc w:val="left"/>
              <w:rPr/>
            </w:pPr>
            <w:r>
              <w:rPr>
                <w:spacing w:val="0"/>
              </w:rPr>
              <w:t>Strategic Developments EBT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0" w:type="dxa"/>
            <w:tcBorders>
              <w:bottom w:val="single" w:sz="2" w:space="0" w:color="CBCAC8"/>
            </w:tcBorders>
            <w:tcMar>
              <w:bottom w:w="28" w:type="dxa"/>
            </w:tcMar>
            <w:vAlign w:val="center"/>
          </w:tcPr>
          <w:p>
            <w:pPr>
              <w:pStyle w:val="TableContents"/>
              <w:bidi w:val="0"/>
              <w:spacing w:before="0" w:after="283"/>
              <w:jc w:val="left"/>
              <w:rPr/>
            </w:pPr>
            <w:r>
              <w:rPr/>
              <w:t>​</w:t>
            </w:r>
          </w:p>
        </w:tc>
        <w:tc>
          <w:tcPr>
            <w:tcW w:w="229" w:type="dxa"/>
            <w:tcBorders>
              <w:bottom w:val="single" w:sz="2" w:space="0" w:color="CBCAC8"/>
            </w:tcBorders>
            <w:tcMar>
              <w:bottom w:w="50" w:type="dxa"/>
            </w:tcMar>
            <w:vAlign w:val="center"/>
          </w:tcPr>
          <w:p>
            <w:pPr>
              <w:pStyle w:val="TableContents"/>
              <w:bidi w:val="0"/>
              <w:spacing w:before="0" w:after="283"/>
              <w:jc w:val="right"/>
              <w:rPr/>
            </w:pPr>
            <w:r>
              <w:rPr/>
              <w:t>​</w:t>
            </w:r>
          </w:p>
        </w:tc>
        <w:tc>
          <w:tcPr>
            <w:tcW w:w="1050" w:type="dxa"/>
            <w:tcBorders>
              <w:bottom w:val="single" w:sz="2" w:space="0" w:color="CBCAC8"/>
            </w:tcBorders>
            <w:tcMar>
              <w:bottom w:w="50" w:type="dxa"/>
            </w:tcMar>
            <w:vAlign w:val="center"/>
          </w:tcPr>
          <w:p>
            <w:pPr>
              <w:pStyle w:val="TableContents"/>
              <w:bidi w:val="0"/>
              <w:spacing w:before="0" w:after="283"/>
              <w:jc w:val="right"/>
              <w:rPr/>
            </w:pPr>
            <w:r>
              <w:rPr/>
              <w:t>(13,903)</w:t>
            </w:r>
          </w:p>
        </w:tc>
        <w:tc>
          <w:tcPr>
            <w:tcW w:w="110"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391" w:type="dxa"/>
            <w:tcBorders>
              <w:bottom w:val="single" w:sz="2" w:space="0" w:color="CBCAC8"/>
            </w:tcBorders>
            <w:tcMar>
              <w:bottom w:w="50" w:type="dxa"/>
            </w:tcMar>
            <w:vAlign w:val="center"/>
          </w:tcPr>
          <w:p>
            <w:pPr>
              <w:pStyle w:val="TableContents"/>
              <w:bidi w:val="0"/>
              <w:spacing w:before="0" w:after="283"/>
              <w:jc w:val="left"/>
              <w:rPr/>
            </w:pPr>
            <w:r>
              <w:rPr>
                <w:spacing w:val="0"/>
              </w:rPr>
              <w:t>General and administrative expenses</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0" w:type="dxa"/>
            <w:tcBorders>
              <w:bottom w:val="single" w:sz="2" w:space="0" w:color="CBCAC8"/>
            </w:tcBorders>
            <w:tcMar>
              <w:bottom w:w="28" w:type="dxa"/>
            </w:tcMar>
            <w:vAlign w:val="center"/>
          </w:tcPr>
          <w:p>
            <w:pPr>
              <w:pStyle w:val="TableContents"/>
              <w:bidi w:val="0"/>
              <w:spacing w:before="0" w:after="283"/>
              <w:jc w:val="left"/>
              <w:rPr/>
            </w:pPr>
            <w:r>
              <w:rPr/>
              <w:t>​</w:t>
            </w:r>
          </w:p>
        </w:tc>
        <w:tc>
          <w:tcPr>
            <w:tcW w:w="229" w:type="dxa"/>
            <w:tcBorders>
              <w:bottom w:val="single" w:sz="2" w:space="0" w:color="CBCAC8"/>
            </w:tcBorders>
            <w:tcMar>
              <w:bottom w:w="50" w:type="dxa"/>
            </w:tcMar>
            <w:vAlign w:val="center"/>
          </w:tcPr>
          <w:p>
            <w:pPr>
              <w:pStyle w:val="TableContents"/>
              <w:bidi w:val="0"/>
              <w:spacing w:before="0" w:after="283"/>
              <w:jc w:val="right"/>
              <w:rPr/>
            </w:pPr>
            <w:r>
              <w:rPr/>
              <w:t>​</w:t>
            </w:r>
          </w:p>
        </w:tc>
        <w:tc>
          <w:tcPr>
            <w:tcW w:w="1050" w:type="dxa"/>
            <w:tcBorders>
              <w:bottom w:val="single" w:sz="2" w:space="0" w:color="CBCAC8"/>
            </w:tcBorders>
            <w:tcMar>
              <w:bottom w:w="50" w:type="dxa"/>
            </w:tcMar>
            <w:vAlign w:val="center"/>
          </w:tcPr>
          <w:p>
            <w:pPr>
              <w:pStyle w:val="TableContents"/>
              <w:bidi w:val="0"/>
              <w:spacing w:before="0" w:after="283"/>
              <w:jc w:val="right"/>
              <w:rPr/>
            </w:pPr>
            <w:r>
              <w:rPr/>
              <w:t>(122,240)</w:t>
            </w:r>
          </w:p>
        </w:tc>
        <w:tc>
          <w:tcPr>
            <w:tcW w:w="110"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391" w:type="dxa"/>
            <w:tcBorders>
              <w:bottom w:val="single" w:sz="2" w:space="0" w:color="CBCAC8"/>
            </w:tcBorders>
            <w:tcMar>
              <w:bottom w:w="50" w:type="dxa"/>
            </w:tcMar>
            <w:vAlign w:val="center"/>
          </w:tcPr>
          <w:p>
            <w:pPr>
              <w:pStyle w:val="TableContents"/>
              <w:bidi w:val="0"/>
              <w:spacing w:before="0" w:after="283"/>
              <w:jc w:val="left"/>
              <w:rPr/>
            </w:pPr>
            <w:r>
              <w:rPr>
                <w:spacing w:val="0"/>
              </w:rPr>
              <w:t>Gain (loss) on sale of MUD receivables</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0" w:type="dxa"/>
            <w:tcBorders>
              <w:bottom w:val="single" w:sz="2" w:space="0" w:color="CBCAC8"/>
            </w:tcBorders>
            <w:tcMar>
              <w:bottom w:w="28" w:type="dxa"/>
            </w:tcMar>
            <w:vAlign w:val="center"/>
          </w:tcPr>
          <w:p>
            <w:pPr>
              <w:pStyle w:val="TableContents"/>
              <w:bidi w:val="0"/>
              <w:spacing w:before="0" w:after="283"/>
              <w:jc w:val="left"/>
              <w:rPr/>
            </w:pPr>
            <w:r>
              <w:rPr/>
              <w:t>​</w:t>
            </w:r>
          </w:p>
        </w:tc>
        <w:tc>
          <w:tcPr>
            <w:tcW w:w="229" w:type="dxa"/>
            <w:tcBorders>
              <w:bottom w:val="single" w:sz="2" w:space="0" w:color="CBCAC8"/>
            </w:tcBorders>
            <w:tcMar>
              <w:bottom w:w="50" w:type="dxa"/>
            </w:tcMar>
            <w:vAlign w:val="center"/>
          </w:tcPr>
          <w:p>
            <w:pPr>
              <w:pStyle w:val="TableContents"/>
              <w:bidi w:val="0"/>
              <w:spacing w:before="0" w:after="283"/>
              <w:jc w:val="right"/>
              <w:rPr/>
            </w:pPr>
            <w:r>
              <w:rPr/>
              <w:t>​</w:t>
            </w:r>
          </w:p>
        </w:tc>
        <w:tc>
          <w:tcPr>
            <w:tcW w:w="1050" w:type="dxa"/>
            <w:tcBorders>
              <w:bottom w:val="single" w:sz="2" w:space="0" w:color="CBCAC8"/>
            </w:tcBorders>
            <w:tcMar>
              <w:bottom w:w="50" w:type="dxa"/>
            </w:tcMar>
            <w:vAlign w:val="center"/>
          </w:tcPr>
          <w:p>
            <w:pPr>
              <w:pStyle w:val="TableContents"/>
              <w:bidi w:val="0"/>
              <w:spacing w:before="0" w:after="283"/>
              <w:jc w:val="right"/>
              <w:rPr/>
            </w:pPr>
            <w:r>
              <w:rPr/>
              <w:t>(48,197)</w:t>
            </w:r>
          </w:p>
        </w:tc>
        <w:tc>
          <w:tcPr>
            <w:tcW w:w="110"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391" w:type="dxa"/>
            <w:tcBorders>
              <w:bottom w:val="single" w:sz="2" w:space="0" w:color="CBCAC8"/>
            </w:tcBorders>
            <w:tcMar>
              <w:bottom w:w="50" w:type="dxa"/>
            </w:tcMar>
            <w:vAlign w:val="center"/>
          </w:tcPr>
          <w:p>
            <w:pPr>
              <w:pStyle w:val="TableContents"/>
              <w:bidi w:val="0"/>
              <w:spacing w:before="0" w:after="283"/>
              <w:jc w:val="left"/>
              <w:rPr/>
            </w:pPr>
            <w:r>
              <w:rPr>
                <w:spacing w:val="0"/>
              </w:rPr>
              <w:t>Corporate interest expense, net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0" w:type="dxa"/>
            <w:tcBorders>
              <w:bottom w:val="single" w:sz="2" w:space="0" w:color="CBCAC8"/>
            </w:tcBorders>
            <w:tcMar>
              <w:bottom w:w="28" w:type="dxa"/>
            </w:tcMar>
            <w:vAlign w:val="center"/>
          </w:tcPr>
          <w:p>
            <w:pPr>
              <w:pStyle w:val="TableContents"/>
              <w:bidi w:val="0"/>
              <w:spacing w:before="0" w:after="283"/>
              <w:jc w:val="left"/>
              <w:rPr/>
            </w:pPr>
            <w:r>
              <w:rPr/>
              <w:t>​</w:t>
            </w:r>
          </w:p>
        </w:tc>
        <w:tc>
          <w:tcPr>
            <w:tcW w:w="229" w:type="dxa"/>
            <w:tcBorders>
              <w:bottom w:val="single" w:sz="2" w:space="0" w:color="CBCAC8"/>
            </w:tcBorders>
            <w:tcMar>
              <w:bottom w:w="50" w:type="dxa"/>
            </w:tcMar>
            <w:vAlign w:val="center"/>
          </w:tcPr>
          <w:p>
            <w:pPr>
              <w:pStyle w:val="TableContents"/>
              <w:bidi w:val="0"/>
              <w:spacing w:before="0" w:after="283"/>
              <w:jc w:val="right"/>
              <w:rPr/>
            </w:pPr>
            <w:r>
              <w:rPr/>
              <w:t>​</w:t>
            </w:r>
          </w:p>
        </w:tc>
        <w:tc>
          <w:tcPr>
            <w:tcW w:w="1050" w:type="dxa"/>
            <w:tcBorders>
              <w:bottom w:val="single" w:sz="2" w:space="0" w:color="CBCAC8"/>
            </w:tcBorders>
            <w:tcMar>
              <w:bottom w:w="50" w:type="dxa"/>
            </w:tcMar>
            <w:vAlign w:val="center"/>
          </w:tcPr>
          <w:p>
            <w:pPr>
              <w:pStyle w:val="TableContents"/>
              <w:bidi w:val="0"/>
              <w:spacing w:before="0" w:after="283"/>
              <w:jc w:val="right"/>
              <w:rPr/>
            </w:pPr>
            <w:r>
              <w:rPr/>
              <w:t>(80,307)</w:t>
            </w:r>
          </w:p>
        </w:tc>
        <w:tc>
          <w:tcPr>
            <w:tcW w:w="110"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7F7F7F"/>
            </w:tcBorders>
            <w:tcMar>
              <w:bottom w:w="28" w:type="dxa"/>
            </w:tcMar>
            <w:vAlign w:val="center"/>
          </w:tcPr>
          <w:p>
            <w:pPr>
              <w:pStyle w:val="TableContents"/>
              <w:bidi w:val="0"/>
              <w:spacing w:before="0" w:after="283"/>
              <w:jc w:val="left"/>
              <w:rPr/>
            </w:pPr>
            <w:r>
              <w:rPr/>
              <w:t>​</w:t>
            </w:r>
          </w:p>
        </w:tc>
        <w:tc>
          <w:tcPr>
            <w:tcW w:w="6391" w:type="dxa"/>
            <w:tcBorders>
              <w:bottom w:val="single" w:sz="2" w:space="0" w:color="7F7F7F"/>
            </w:tcBorders>
            <w:tcMar>
              <w:bottom w:w="50" w:type="dxa"/>
            </w:tcMar>
            <w:vAlign w:val="center"/>
          </w:tcPr>
          <w:p>
            <w:pPr>
              <w:pStyle w:val="TableContents"/>
              <w:bidi w:val="0"/>
              <w:spacing w:before="0" w:after="283"/>
              <w:jc w:val="left"/>
              <w:rPr/>
            </w:pPr>
            <w:r>
              <w:rPr>
                <w:spacing w:val="0"/>
              </w:rPr>
              <w:t>Corporate income, expenses, and other items</w:t>
            </w:r>
            <w:r>
              <w:rPr/>
              <w:t xml:space="preserve"> </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09" w:type="dxa"/>
            <w:tcBorders>
              <w:bottom w:val="single" w:sz="2" w:space="0" w:color="7F7F7F"/>
            </w:tcBorders>
            <w:tcMar>
              <w:bottom w:w="28" w:type="dxa"/>
            </w:tcMar>
            <w:vAlign w:val="center"/>
          </w:tcPr>
          <w:p>
            <w:pPr>
              <w:pStyle w:val="TableContents"/>
              <w:bidi w:val="0"/>
              <w:spacing w:before="0" w:after="283"/>
              <w:jc w:val="left"/>
              <w:rPr/>
            </w:pPr>
            <w:r>
              <w:rPr/>
              <w:t>​</w:t>
            </w:r>
          </w:p>
        </w:tc>
        <w:tc>
          <w:tcPr>
            <w:tcW w:w="110" w:type="dxa"/>
            <w:tcBorders>
              <w:bottom w:val="single" w:sz="2" w:space="0" w:color="7F7F7F"/>
            </w:tcBorders>
            <w:tcMar>
              <w:bottom w:w="28" w:type="dxa"/>
            </w:tcMar>
            <w:vAlign w:val="center"/>
          </w:tcPr>
          <w:p>
            <w:pPr>
              <w:pStyle w:val="TableContents"/>
              <w:bidi w:val="0"/>
              <w:spacing w:before="0" w:after="283"/>
              <w:jc w:val="left"/>
              <w:rPr/>
            </w:pPr>
            <w:r>
              <w:rPr/>
              <w:t>​</w:t>
            </w:r>
          </w:p>
        </w:tc>
        <w:tc>
          <w:tcPr>
            <w:tcW w:w="229" w:type="dxa"/>
            <w:tcBorders>
              <w:bottom w:val="single" w:sz="2" w:space="0" w:color="7F7F7F"/>
            </w:tcBorders>
            <w:tcMar>
              <w:bottom w:w="50" w:type="dxa"/>
            </w:tcMar>
            <w:vAlign w:val="center"/>
          </w:tcPr>
          <w:p>
            <w:pPr>
              <w:pStyle w:val="TableContents"/>
              <w:bidi w:val="0"/>
              <w:spacing w:before="0" w:after="283"/>
              <w:jc w:val="right"/>
              <w:rPr/>
            </w:pPr>
            <w:r>
              <w:rPr/>
              <w:t>​</w:t>
            </w:r>
          </w:p>
        </w:tc>
        <w:tc>
          <w:tcPr>
            <w:tcW w:w="1050" w:type="dxa"/>
            <w:tcBorders>
              <w:bottom w:val="single" w:sz="2" w:space="0" w:color="7F7F7F"/>
            </w:tcBorders>
            <w:tcMar>
              <w:bottom w:w="50" w:type="dxa"/>
            </w:tcMar>
            <w:vAlign w:val="center"/>
          </w:tcPr>
          <w:p>
            <w:pPr>
              <w:pStyle w:val="TableContents"/>
              <w:bidi w:val="0"/>
              <w:spacing w:before="0" w:after="283"/>
              <w:jc w:val="right"/>
              <w:rPr/>
            </w:pPr>
            <w:r>
              <w:rPr/>
              <w:t>(22,570)</w:t>
            </w:r>
          </w:p>
        </w:tc>
        <w:tc>
          <w:tcPr>
            <w:tcW w:w="110" w:type="dxa"/>
            <w:tcBorders>
              <w:bottom w:val="single" w:sz="2" w:space="0" w:color="7F7F7F"/>
            </w:tcBorders>
            <w:tcMar>
              <w:bottom w:w="28" w:type="dxa"/>
            </w:tcMar>
            <w:vAlign w:val="center"/>
          </w:tcPr>
          <w:p>
            <w:pPr>
              <w:pStyle w:val="TableContents"/>
              <w:bidi w:val="0"/>
              <w:spacing w:before="0" w:after="283"/>
              <w:jc w:val="left"/>
              <w:rPr/>
            </w:pPr>
            <w:r>
              <w:rPr/>
              <w:t>​</w:t>
            </w:r>
          </w:p>
        </w:tc>
        <w:tc>
          <w:tcPr>
            <w:tcW w:w="154" w:type="dxa"/>
            <w:tcBorders>
              <w:bottom w:val="single" w:sz="2" w:space="0" w:color="7F7F7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391" w:type="dxa"/>
            <w:tcBorders>
              <w:bottom w:val="single" w:sz="2" w:space="0" w:color="CBCAC8"/>
            </w:tcBorders>
            <w:tcMar>
              <w:bottom w:w="50" w:type="dxa"/>
            </w:tcMar>
            <w:vAlign w:val="center"/>
          </w:tcPr>
          <w:p>
            <w:pPr>
              <w:pStyle w:val="TableContents"/>
              <w:bidi w:val="0"/>
              <w:spacing w:before="0" w:after="283"/>
              <w:jc w:val="left"/>
              <w:rPr/>
            </w:pPr>
            <w:r>
              <w:rPr>
                <w:spacing w:val="0"/>
              </w:rPr>
              <w:t>Net income (loss) from continuing operations before income taxes</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0" w:type="dxa"/>
            <w:tcBorders>
              <w:bottom w:val="single" w:sz="2" w:space="0" w:color="CBCAC8"/>
            </w:tcBorders>
            <w:tcMar>
              <w:bottom w:w="28" w:type="dxa"/>
            </w:tcMar>
            <w:vAlign w:val="center"/>
          </w:tcPr>
          <w:p>
            <w:pPr>
              <w:pStyle w:val="TableContents"/>
              <w:bidi w:val="0"/>
              <w:spacing w:before="0" w:after="283"/>
              <w:jc w:val="left"/>
              <w:rPr/>
            </w:pPr>
            <w:r>
              <w:rPr/>
              <w:t>​</w:t>
            </w:r>
          </w:p>
        </w:tc>
        <w:tc>
          <w:tcPr>
            <w:tcW w:w="229" w:type="dxa"/>
            <w:tcBorders>
              <w:bottom w:val="single" w:sz="2" w:space="0" w:color="CBCAC8"/>
            </w:tcBorders>
            <w:tcMar>
              <w:bottom w:w="50" w:type="dxa"/>
            </w:tcMar>
            <w:vAlign w:val="center"/>
          </w:tcPr>
          <w:p>
            <w:pPr>
              <w:pStyle w:val="TableContents"/>
              <w:bidi w:val="0"/>
              <w:spacing w:before="0" w:after="283"/>
              <w:jc w:val="right"/>
              <w:rPr/>
            </w:pPr>
            <w:r>
              <w:rPr/>
              <w:t>$</w:t>
            </w:r>
          </w:p>
        </w:tc>
        <w:tc>
          <w:tcPr>
            <w:tcW w:w="1050" w:type="dxa"/>
            <w:tcBorders>
              <w:bottom w:val="single" w:sz="2" w:space="0" w:color="CBCAC8"/>
            </w:tcBorders>
            <w:tcMar>
              <w:bottom w:w="50" w:type="dxa"/>
            </w:tcMar>
            <w:vAlign w:val="center"/>
          </w:tcPr>
          <w:p>
            <w:pPr>
              <w:pStyle w:val="TableContents"/>
              <w:bidi w:val="0"/>
              <w:spacing w:before="0" w:after="283"/>
              <w:jc w:val="right"/>
              <w:rPr/>
            </w:pPr>
            <w:r>
              <w:rPr/>
              <w:t>161,459</w:t>
            </w:r>
          </w:p>
        </w:tc>
        <w:tc>
          <w:tcPr>
            <w:tcW w:w="110"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2" w:after="283"/>
        <w:ind w:left="889"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Net Operating Income (NOI)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define NOI as operating revenues (rental income, tenant recoveries, and other revenue) less operating expenses (real estate taxes, repairs and maintenance, marketing, and other property expenses). NOI excludes straight-line rents and amortization of tenant incentives, net; interest expense, net; ground rent amortization; demolition costs; other income (loss); depreciation and amortization; development-related marketing costs; gain on sale or disposal of real estate and other assets, net; loss on extinguishment of debt; provision for impairment; and equity in earnings from unconsolidated ventures. This amount is presented as Operating Assets NOI throughout this document. Total Operating Assets NOI represents NOI as defined above with the addition of our share of NOI from unconsolidated ventures.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We believe that NOI is a useful supplemental measure of the performance of our Operating Assets segment because it provides a performance measure that reflects the revenues and expenses directly associated with owning and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437" w:after="517"/>
        <w:ind w:left="889"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operating real estate properties. We use NOI to evaluate our operating performance on a property-by-property basis because NOI allows us to evaluate the impact that property-specific factors such as rental and occupancy rates, tenant mix, and operating costs have on our operating results, gross margins, and investment returns.</w:t>
      </w:r>
      <w:r>
        <w:rPr>
          <w:rFonts w:ascii="Arial;Helvetica;sans-serif" w:hAnsi="Arial;Helvetica;sans-serif"/>
          <w:b w:val="false"/>
          <w:i w:val="false"/>
          <w:caps w:val="false"/>
          <w:smallCaps w:val="false"/>
          <w:color w:val="000000"/>
          <w:spacing w:val="4"/>
          <w:sz w:val="20"/>
        </w:rPr>
        <w:t xml:space="preserve"> </w:t>
      </w:r>
    </w:p>
    <w:tbl>
      <w:tblPr>
        <w:tblW w:w="8105" w:type="dxa"/>
        <w:jc w:val="left"/>
        <w:tblInd w:w="889" w:type="dxa"/>
        <w:tblLayout w:type="fixed"/>
        <w:tblCellMar>
          <w:top w:w="0" w:type="dxa"/>
          <w:left w:w="0" w:type="dxa"/>
          <w:bottom w:w="0" w:type="dxa"/>
          <w:right w:w="0" w:type="dxa"/>
        </w:tblCellMar>
      </w:tblPr>
      <w:tblGrid>
        <w:gridCol w:w="124"/>
        <w:gridCol w:w="6110"/>
        <w:gridCol w:w="109"/>
        <w:gridCol w:w="109"/>
        <w:gridCol w:w="121"/>
        <w:gridCol w:w="251"/>
        <w:gridCol w:w="1004"/>
        <w:gridCol w:w="123"/>
        <w:gridCol w:w="154"/>
      </w:tblGrid>
      <w:tr>
        <w:trPr/>
        <w:tc>
          <w:tcPr>
            <w:tcW w:w="124" w:type="dxa"/>
            <w:tcBorders/>
            <w:shd w:fill="BAD8EA" w:val="clear"/>
            <w:vAlign w:val="center"/>
          </w:tcPr>
          <w:p>
            <w:pPr>
              <w:pStyle w:val="TableContents"/>
              <w:bidi w:val="0"/>
              <w:spacing w:before="0" w:after="283"/>
              <w:jc w:val="left"/>
              <w:rPr/>
            </w:pPr>
            <w:r>
              <w:rPr/>
              <w:t>​</w:t>
            </w:r>
          </w:p>
        </w:tc>
        <w:tc>
          <w:tcPr>
            <w:tcW w:w="6110" w:type="dxa"/>
            <w:tcBorders/>
            <w:shd w:fill="BAD8EA" w:val="clear"/>
            <w:vAlign w:val="center"/>
          </w:tcPr>
          <w:p>
            <w:pPr>
              <w:pStyle w:val="TableContents"/>
              <w:bidi w:val="0"/>
              <w:spacing w:before="0" w:after="0"/>
              <w:jc w:val="left"/>
              <w:rPr>
                <w:b w:val="false"/>
                <w:i/>
              </w:rPr>
            </w:pPr>
            <w:r>
              <w:rPr>
                <w:b w:val="false"/>
                <w:i/>
              </w:rPr>
              <w:t>thousands</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499" w:type="dxa"/>
            <w:gridSpan w:val="4"/>
            <w:tcBorders/>
            <w:shd w:fill="BAD8EA" w:val="clear"/>
            <w:vAlign w:val="center"/>
          </w:tcPr>
          <w:p>
            <w:pPr>
              <w:pStyle w:val="TableContents"/>
              <w:bidi w:val="0"/>
              <w:spacing w:lineRule="atLeast" w:line="202" w:before="0" w:after="0"/>
              <w:jc w:val="center"/>
              <w:rPr/>
            </w:pPr>
            <w:r>
              <w:rPr>
                <w:spacing w:val="0"/>
              </w:rPr>
              <w:t xml:space="preserve">Year Ended </w:t>
              <w:br/>
              <w:t>December 31,</w:t>
            </w:r>
            <w:r>
              <w:rPr/>
              <w:t xml:space="preserve"> </w:t>
              <w:br/>
            </w:r>
            <w:r>
              <w:rPr>
                <w:spacing w:val="-2"/>
              </w:rPr>
              <w:t>2025</w:t>
            </w:r>
            <w:r>
              <w:rPr/>
              <w:t xml:space="preserve"> </w:t>
            </w:r>
          </w:p>
        </w:tc>
        <w:tc>
          <w:tcPr>
            <w:tcW w:w="154"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110" w:type="dxa"/>
            <w:tcBorders>
              <w:bottom w:val="single" w:sz="2" w:space="0" w:color="CBCAC8"/>
            </w:tcBorders>
            <w:tcMar>
              <w:bottom w:w="50" w:type="dxa"/>
            </w:tcMar>
            <w:vAlign w:val="center"/>
          </w:tcPr>
          <w:p>
            <w:pPr>
              <w:pStyle w:val="TableContents"/>
              <w:bidi w:val="0"/>
              <w:spacing w:before="0" w:after="0"/>
              <w:jc w:val="left"/>
              <w:rPr>
                <w:b/>
              </w:rPr>
            </w:pPr>
            <w:r>
              <w:rPr>
                <w:b/>
                <w:spacing w:val="0"/>
              </w:rPr>
              <w:t>Operating Assets segment EBT</w:t>
            </w:r>
            <w:r>
              <w:rPr>
                <w:b/>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1" w:type="dxa"/>
            <w:tcBorders>
              <w:bottom w:val="single" w:sz="2" w:space="0" w:color="CBCAC8"/>
            </w:tcBorders>
            <w:tcMar>
              <w:bottom w:w="28" w:type="dxa"/>
            </w:tcMar>
            <w:vAlign w:val="center"/>
          </w:tcPr>
          <w:p>
            <w:pPr>
              <w:pStyle w:val="TableContents"/>
              <w:bidi w:val="0"/>
              <w:spacing w:before="0" w:after="283"/>
              <w:jc w:val="left"/>
              <w:rPr/>
            </w:pPr>
            <w:r>
              <w:rPr/>
              <w:t>​</w:t>
            </w:r>
          </w:p>
        </w:tc>
        <w:tc>
          <w:tcPr>
            <w:tcW w:w="251" w:type="dxa"/>
            <w:tcBorders>
              <w:bottom w:val="single" w:sz="2" w:space="0" w:color="CBCAC8"/>
            </w:tcBorders>
            <w:tcMar>
              <w:bottom w:w="50" w:type="dxa"/>
            </w:tcMar>
            <w:vAlign w:val="center"/>
          </w:tcPr>
          <w:p>
            <w:pPr>
              <w:pStyle w:val="TableContents"/>
              <w:bidi w:val="0"/>
              <w:spacing w:before="0" w:after="283"/>
              <w:jc w:val="right"/>
              <w:rPr/>
            </w:pPr>
            <w:r>
              <w:rPr/>
              <w:t>$</w:t>
            </w:r>
          </w:p>
        </w:tc>
        <w:tc>
          <w:tcPr>
            <w:tcW w:w="1004" w:type="dxa"/>
            <w:tcBorders>
              <w:bottom w:val="single" w:sz="2" w:space="0" w:color="CBCAC8"/>
            </w:tcBorders>
            <w:tcMar>
              <w:bottom w:w="50" w:type="dxa"/>
            </w:tcMar>
            <w:vAlign w:val="center"/>
          </w:tcPr>
          <w:p>
            <w:pPr>
              <w:pStyle w:val="TableContents"/>
              <w:bidi w:val="0"/>
              <w:spacing w:before="0" w:after="283"/>
              <w:jc w:val="right"/>
              <w:rPr/>
            </w:pPr>
            <w:r>
              <w:rPr/>
              <w:t xml:space="preserve">(27,426) </w:t>
            </w:r>
          </w:p>
        </w:tc>
        <w:tc>
          <w:tcPr>
            <w:tcW w:w="123"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110" w:type="dxa"/>
            <w:tcBorders>
              <w:bottom w:val="single" w:sz="2" w:space="0" w:color="CBCAC8"/>
            </w:tcBorders>
            <w:tcMar>
              <w:bottom w:w="50" w:type="dxa"/>
            </w:tcMar>
            <w:vAlign w:val="center"/>
          </w:tcPr>
          <w:p>
            <w:pPr>
              <w:pStyle w:val="TableContents"/>
              <w:bidi w:val="0"/>
              <w:spacing w:before="0" w:after="283"/>
              <w:jc w:val="left"/>
              <w:rPr/>
            </w:pPr>
            <w:r>
              <w:rPr>
                <w:spacing w:val="-2"/>
              </w:rPr>
              <w:t>Add back:</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1" w:type="dxa"/>
            <w:tcBorders>
              <w:bottom w:val="single" w:sz="2" w:space="0" w:color="CBCAC8"/>
            </w:tcBorders>
            <w:tcMar>
              <w:bottom w:w="28" w:type="dxa"/>
            </w:tcMar>
            <w:vAlign w:val="center"/>
          </w:tcPr>
          <w:p>
            <w:pPr>
              <w:pStyle w:val="TableContents"/>
              <w:bidi w:val="0"/>
              <w:spacing w:before="0" w:after="283"/>
              <w:jc w:val="left"/>
              <w:rPr/>
            </w:pPr>
            <w:r>
              <w:rPr/>
              <w:t>​</w:t>
            </w:r>
          </w:p>
        </w:tc>
        <w:tc>
          <w:tcPr>
            <w:tcW w:w="251" w:type="dxa"/>
            <w:tcBorders>
              <w:bottom w:val="single" w:sz="2" w:space="0" w:color="CBCAC8"/>
            </w:tcBorders>
            <w:tcMar>
              <w:bottom w:w="50" w:type="dxa"/>
            </w:tcMar>
            <w:vAlign w:val="center"/>
          </w:tcPr>
          <w:p>
            <w:pPr>
              <w:pStyle w:val="TableContents"/>
              <w:bidi w:val="0"/>
              <w:spacing w:before="0" w:after="283"/>
              <w:jc w:val="right"/>
              <w:rPr/>
            </w:pPr>
            <w:r>
              <w:rPr/>
              <w:t>​</w:t>
            </w:r>
          </w:p>
        </w:tc>
        <w:tc>
          <w:tcPr>
            <w:tcW w:w="1004" w:type="dxa"/>
            <w:tcBorders>
              <w:bottom w:val="single" w:sz="2" w:space="0" w:color="CBCAC8"/>
            </w:tcBorders>
            <w:tcMar>
              <w:bottom w:w="50" w:type="dxa"/>
            </w:tcMar>
            <w:vAlign w:val="center"/>
          </w:tcPr>
          <w:p>
            <w:pPr>
              <w:pStyle w:val="TableContents"/>
              <w:bidi w:val="0"/>
              <w:spacing w:before="0" w:after="283"/>
              <w:jc w:val="right"/>
              <w:rPr/>
            </w:pPr>
            <w:r>
              <w:rPr/>
              <w:t>​</w:t>
            </w:r>
          </w:p>
        </w:tc>
        <w:tc>
          <w:tcPr>
            <w:tcW w:w="123"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110" w:type="dxa"/>
            <w:tcBorders>
              <w:bottom w:val="single" w:sz="2" w:space="0" w:color="CBCAC8"/>
            </w:tcBorders>
            <w:tcMar>
              <w:bottom w:w="50" w:type="dxa"/>
            </w:tcMar>
            <w:vAlign w:val="center"/>
          </w:tcPr>
          <w:p>
            <w:pPr>
              <w:pStyle w:val="TableContents"/>
              <w:bidi w:val="0"/>
              <w:spacing w:before="0" w:after="0"/>
              <w:ind w:left="200" w:right="0" w:hanging="0"/>
              <w:jc w:val="left"/>
              <w:rPr/>
            </w:pPr>
            <w:r>
              <w:rPr>
                <w:spacing w:val="-2"/>
              </w:rPr>
              <w:t>Depreciation and amortization</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1" w:type="dxa"/>
            <w:tcBorders>
              <w:bottom w:val="single" w:sz="2" w:space="0" w:color="CBCAC8"/>
            </w:tcBorders>
            <w:tcMar>
              <w:bottom w:w="28" w:type="dxa"/>
            </w:tcMar>
            <w:vAlign w:val="center"/>
          </w:tcPr>
          <w:p>
            <w:pPr>
              <w:pStyle w:val="TableContents"/>
              <w:bidi w:val="0"/>
              <w:spacing w:before="0" w:after="283"/>
              <w:jc w:val="left"/>
              <w:rPr/>
            </w:pPr>
            <w:r>
              <w:rPr/>
              <w:t>​</w:t>
            </w:r>
          </w:p>
        </w:tc>
        <w:tc>
          <w:tcPr>
            <w:tcW w:w="251" w:type="dxa"/>
            <w:tcBorders>
              <w:bottom w:val="single" w:sz="2" w:space="0" w:color="CBCAC8"/>
            </w:tcBorders>
            <w:tcMar>
              <w:bottom w:w="50" w:type="dxa"/>
            </w:tcMar>
            <w:vAlign w:val="center"/>
          </w:tcPr>
          <w:p>
            <w:pPr>
              <w:pStyle w:val="TableContents"/>
              <w:bidi w:val="0"/>
              <w:spacing w:before="0" w:after="283"/>
              <w:jc w:val="right"/>
              <w:rPr/>
            </w:pPr>
            <w:r>
              <w:rPr/>
              <w:t>​</w:t>
            </w:r>
          </w:p>
        </w:tc>
        <w:tc>
          <w:tcPr>
            <w:tcW w:w="1004" w:type="dxa"/>
            <w:tcBorders>
              <w:bottom w:val="single" w:sz="2" w:space="0" w:color="CBCAC8"/>
            </w:tcBorders>
            <w:tcMar>
              <w:bottom w:w="50" w:type="dxa"/>
            </w:tcMar>
            <w:vAlign w:val="center"/>
          </w:tcPr>
          <w:p>
            <w:pPr>
              <w:pStyle w:val="TableContents"/>
              <w:bidi w:val="0"/>
              <w:spacing w:before="0" w:after="283"/>
              <w:jc w:val="right"/>
              <w:rPr/>
            </w:pPr>
            <w:r>
              <w:rPr/>
              <w:t xml:space="preserve">172,835 </w:t>
            </w:r>
          </w:p>
        </w:tc>
        <w:tc>
          <w:tcPr>
            <w:tcW w:w="123"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110" w:type="dxa"/>
            <w:tcBorders>
              <w:bottom w:val="single" w:sz="2" w:space="0" w:color="CBCAC8"/>
            </w:tcBorders>
            <w:tcMar>
              <w:bottom w:w="50" w:type="dxa"/>
            </w:tcMar>
            <w:vAlign w:val="center"/>
          </w:tcPr>
          <w:p>
            <w:pPr>
              <w:pStyle w:val="TableContents"/>
              <w:bidi w:val="0"/>
              <w:spacing w:before="0" w:after="0"/>
              <w:ind w:left="200" w:right="0" w:hanging="0"/>
              <w:jc w:val="left"/>
              <w:rPr/>
            </w:pPr>
            <w:r>
              <w:rPr>
                <w:spacing w:val="-2"/>
              </w:rPr>
              <w:t>Interest (income) expense, net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1" w:type="dxa"/>
            <w:tcBorders>
              <w:bottom w:val="single" w:sz="2" w:space="0" w:color="CBCAC8"/>
            </w:tcBorders>
            <w:tcMar>
              <w:bottom w:w="28" w:type="dxa"/>
            </w:tcMar>
            <w:vAlign w:val="center"/>
          </w:tcPr>
          <w:p>
            <w:pPr>
              <w:pStyle w:val="TableContents"/>
              <w:bidi w:val="0"/>
              <w:spacing w:before="0" w:after="283"/>
              <w:jc w:val="left"/>
              <w:rPr/>
            </w:pPr>
            <w:r>
              <w:rPr/>
              <w:t>​</w:t>
            </w:r>
          </w:p>
        </w:tc>
        <w:tc>
          <w:tcPr>
            <w:tcW w:w="251" w:type="dxa"/>
            <w:tcBorders>
              <w:bottom w:val="single" w:sz="2" w:space="0" w:color="CBCAC8"/>
            </w:tcBorders>
            <w:tcMar>
              <w:bottom w:w="50" w:type="dxa"/>
            </w:tcMar>
            <w:vAlign w:val="center"/>
          </w:tcPr>
          <w:p>
            <w:pPr>
              <w:pStyle w:val="TableContents"/>
              <w:bidi w:val="0"/>
              <w:spacing w:before="0" w:after="283"/>
              <w:jc w:val="right"/>
              <w:rPr/>
            </w:pPr>
            <w:r>
              <w:rPr/>
              <w:t>​</w:t>
            </w:r>
          </w:p>
        </w:tc>
        <w:tc>
          <w:tcPr>
            <w:tcW w:w="1004" w:type="dxa"/>
            <w:tcBorders>
              <w:bottom w:val="single" w:sz="2" w:space="0" w:color="CBCAC8"/>
            </w:tcBorders>
            <w:tcMar>
              <w:bottom w:w="50" w:type="dxa"/>
            </w:tcMar>
            <w:vAlign w:val="center"/>
          </w:tcPr>
          <w:p>
            <w:pPr>
              <w:pStyle w:val="TableContents"/>
              <w:bidi w:val="0"/>
              <w:spacing w:before="0" w:after="283"/>
              <w:jc w:val="right"/>
              <w:rPr/>
            </w:pPr>
            <w:r>
              <w:rPr/>
              <w:t xml:space="preserve">136,637 </w:t>
            </w:r>
          </w:p>
        </w:tc>
        <w:tc>
          <w:tcPr>
            <w:tcW w:w="123"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110" w:type="dxa"/>
            <w:tcBorders>
              <w:bottom w:val="single" w:sz="2" w:space="0" w:color="CBCAC8"/>
            </w:tcBorders>
            <w:tcMar>
              <w:bottom w:w="50" w:type="dxa"/>
            </w:tcMar>
            <w:vAlign w:val="center"/>
          </w:tcPr>
          <w:p>
            <w:pPr>
              <w:pStyle w:val="TableContents"/>
              <w:bidi w:val="0"/>
              <w:spacing w:before="0" w:after="0"/>
              <w:ind w:left="200" w:right="0" w:hanging="0"/>
              <w:jc w:val="left"/>
              <w:rPr/>
            </w:pPr>
            <w:r>
              <w:rPr>
                <w:spacing w:val="-2"/>
              </w:rPr>
              <w:t>Equity in (earnings) losses from real estate and other affiliates</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1" w:type="dxa"/>
            <w:tcBorders>
              <w:bottom w:val="single" w:sz="2" w:space="0" w:color="CBCAC8"/>
            </w:tcBorders>
            <w:tcMar>
              <w:bottom w:w="28" w:type="dxa"/>
            </w:tcMar>
            <w:vAlign w:val="center"/>
          </w:tcPr>
          <w:p>
            <w:pPr>
              <w:pStyle w:val="TableContents"/>
              <w:bidi w:val="0"/>
              <w:spacing w:before="0" w:after="283"/>
              <w:jc w:val="left"/>
              <w:rPr/>
            </w:pPr>
            <w:r>
              <w:rPr/>
              <w:t>​</w:t>
            </w:r>
          </w:p>
        </w:tc>
        <w:tc>
          <w:tcPr>
            <w:tcW w:w="251" w:type="dxa"/>
            <w:tcBorders>
              <w:bottom w:val="single" w:sz="2" w:space="0" w:color="CBCAC8"/>
            </w:tcBorders>
            <w:tcMar>
              <w:bottom w:w="50" w:type="dxa"/>
            </w:tcMar>
            <w:vAlign w:val="center"/>
          </w:tcPr>
          <w:p>
            <w:pPr>
              <w:pStyle w:val="TableContents"/>
              <w:bidi w:val="0"/>
              <w:spacing w:before="0" w:after="283"/>
              <w:jc w:val="right"/>
              <w:rPr/>
            </w:pPr>
            <w:r>
              <w:rPr/>
              <w:t>​</w:t>
            </w:r>
          </w:p>
        </w:tc>
        <w:tc>
          <w:tcPr>
            <w:tcW w:w="1004" w:type="dxa"/>
            <w:tcBorders>
              <w:bottom w:val="single" w:sz="2" w:space="0" w:color="CBCAC8"/>
            </w:tcBorders>
            <w:tcMar>
              <w:bottom w:w="50" w:type="dxa"/>
            </w:tcMar>
            <w:vAlign w:val="center"/>
          </w:tcPr>
          <w:p>
            <w:pPr>
              <w:pStyle w:val="TableContents"/>
              <w:bidi w:val="0"/>
              <w:spacing w:before="0" w:after="283"/>
              <w:jc w:val="right"/>
              <w:rPr/>
            </w:pPr>
            <w:r>
              <w:rPr/>
              <w:t xml:space="preserve">(4,829) </w:t>
            </w:r>
          </w:p>
        </w:tc>
        <w:tc>
          <w:tcPr>
            <w:tcW w:w="123"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110" w:type="dxa"/>
            <w:tcBorders>
              <w:bottom w:val="single" w:sz="2" w:space="0" w:color="CBCAC8"/>
            </w:tcBorders>
            <w:tcMar>
              <w:bottom w:w="50" w:type="dxa"/>
            </w:tcMar>
            <w:vAlign w:val="center"/>
          </w:tcPr>
          <w:p>
            <w:pPr>
              <w:pStyle w:val="TableContents"/>
              <w:bidi w:val="0"/>
              <w:spacing w:before="0" w:after="0"/>
              <w:ind w:left="200" w:right="0" w:hanging="0"/>
              <w:jc w:val="left"/>
              <w:rPr/>
            </w:pPr>
            <w:r>
              <w:rPr>
                <w:spacing w:val="-2"/>
              </w:rPr>
              <w:t>(Gain) loss on sale or disposal of real estate and other assets, net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1" w:type="dxa"/>
            <w:tcBorders>
              <w:bottom w:val="single" w:sz="2" w:space="0" w:color="CBCAC8"/>
            </w:tcBorders>
            <w:tcMar>
              <w:bottom w:w="28" w:type="dxa"/>
            </w:tcMar>
            <w:vAlign w:val="center"/>
          </w:tcPr>
          <w:p>
            <w:pPr>
              <w:pStyle w:val="TableContents"/>
              <w:bidi w:val="0"/>
              <w:spacing w:before="0" w:after="283"/>
              <w:jc w:val="left"/>
              <w:rPr/>
            </w:pPr>
            <w:r>
              <w:rPr/>
              <w:t>​</w:t>
            </w:r>
          </w:p>
        </w:tc>
        <w:tc>
          <w:tcPr>
            <w:tcW w:w="251" w:type="dxa"/>
            <w:tcBorders>
              <w:bottom w:val="single" w:sz="2" w:space="0" w:color="CBCAC8"/>
            </w:tcBorders>
            <w:tcMar>
              <w:bottom w:w="50" w:type="dxa"/>
            </w:tcMar>
            <w:vAlign w:val="center"/>
          </w:tcPr>
          <w:p>
            <w:pPr>
              <w:pStyle w:val="TableContents"/>
              <w:bidi w:val="0"/>
              <w:spacing w:before="0" w:after="283"/>
              <w:jc w:val="right"/>
              <w:rPr/>
            </w:pPr>
            <w:r>
              <w:rPr/>
              <w:t>​</w:t>
            </w:r>
          </w:p>
        </w:tc>
        <w:tc>
          <w:tcPr>
            <w:tcW w:w="1004" w:type="dxa"/>
            <w:tcBorders>
              <w:bottom w:val="single" w:sz="2" w:space="0" w:color="CBCAC8"/>
            </w:tcBorders>
            <w:tcMar>
              <w:bottom w:w="50" w:type="dxa"/>
            </w:tcMar>
            <w:vAlign w:val="center"/>
          </w:tcPr>
          <w:p>
            <w:pPr>
              <w:pStyle w:val="TableContents"/>
              <w:bidi w:val="0"/>
              <w:spacing w:before="0" w:after="283"/>
              <w:jc w:val="right"/>
              <w:rPr/>
            </w:pPr>
            <w:r>
              <w:rPr/>
              <w:t xml:space="preserve">(14,354) </w:t>
            </w:r>
          </w:p>
        </w:tc>
        <w:tc>
          <w:tcPr>
            <w:tcW w:w="123"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110" w:type="dxa"/>
            <w:tcBorders>
              <w:bottom w:val="single" w:sz="2" w:space="0" w:color="CBCAC8"/>
            </w:tcBorders>
            <w:tcMar>
              <w:bottom w:w="50" w:type="dxa"/>
            </w:tcMar>
            <w:vAlign w:val="center"/>
          </w:tcPr>
          <w:p>
            <w:pPr>
              <w:pStyle w:val="TableContents"/>
              <w:bidi w:val="0"/>
              <w:spacing w:before="0" w:after="0"/>
              <w:ind w:left="200" w:right="0" w:hanging="0"/>
              <w:jc w:val="left"/>
              <w:rPr/>
            </w:pPr>
            <w:r>
              <w:rPr>
                <w:spacing w:val="-2"/>
              </w:rPr>
              <w:t>(Gain) loss on extinguishment of debt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1" w:type="dxa"/>
            <w:tcBorders>
              <w:bottom w:val="single" w:sz="2" w:space="0" w:color="CBCAC8"/>
            </w:tcBorders>
            <w:tcMar>
              <w:bottom w:w="28" w:type="dxa"/>
            </w:tcMar>
            <w:vAlign w:val="center"/>
          </w:tcPr>
          <w:p>
            <w:pPr>
              <w:pStyle w:val="TableContents"/>
              <w:bidi w:val="0"/>
              <w:spacing w:before="0" w:after="283"/>
              <w:jc w:val="left"/>
              <w:rPr/>
            </w:pPr>
            <w:r>
              <w:rPr/>
              <w:t>​</w:t>
            </w:r>
          </w:p>
        </w:tc>
        <w:tc>
          <w:tcPr>
            <w:tcW w:w="251" w:type="dxa"/>
            <w:tcBorders>
              <w:bottom w:val="single" w:sz="2" w:space="0" w:color="CBCAC8"/>
            </w:tcBorders>
            <w:tcMar>
              <w:bottom w:w="50" w:type="dxa"/>
            </w:tcMar>
            <w:vAlign w:val="center"/>
          </w:tcPr>
          <w:p>
            <w:pPr>
              <w:pStyle w:val="TableContents"/>
              <w:bidi w:val="0"/>
              <w:spacing w:before="0" w:after="283"/>
              <w:jc w:val="right"/>
              <w:rPr/>
            </w:pPr>
            <w:r>
              <w:rPr/>
              <w:t>​</w:t>
            </w:r>
          </w:p>
        </w:tc>
        <w:tc>
          <w:tcPr>
            <w:tcW w:w="1004" w:type="dxa"/>
            <w:tcBorders>
              <w:bottom w:val="single" w:sz="2" w:space="0" w:color="CBCAC8"/>
            </w:tcBorders>
            <w:tcMar>
              <w:bottom w:w="50" w:type="dxa"/>
            </w:tcMar>
            <w:vAlign w:val="center"/>
          </w:tcPr>
          <w:p>
            <w:pPr>
              <w:pStyle w:val="TableContents"/>
              <w:bidi w:val="0"/>
              <w:spacing w:before="0" w:after="283"/>
              <w:jc w:val="right"/>
              <w:rPr/>
            </w:pPr>
            <w:r>
              <w:rPr/>
              <w:t xml:space="preserve">698 </w:t>
            </w:r>
          </w:p>
        </w:tc>
        <w:tc>
          <w:tcPr>
            <w:tcW w:w="123"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110" w:type="dxa"/>
            <w:tcBorders>
              <w:bottom w:val="single" w:sz="2" w:space="0" w:color="CBCAC8"/>
            </w:tcBorders>
            <w:tcMar>
              <w:bottom w:w="50" w:type="dxa"/>
            </w:tcMar>
            <w:vAlign w:val="center"/>
          </w:tcPr>
          <w:p>
            <w:pPr>
              <w:pStyle w:val="TableContents"/>
              <w:bidi w:val="0"/>
              <w:spacing w:before="0" w:after="0"/>
              <w:ind w:left="200" w:right="0" w:hanging="0"/>
              <w:jc w:val="left"/>
              <w:rPr/>
            </w:pPr>
            <w:r>
              <w:rPr>
                <w:spacing w:val="-2"/>
              </w:rPr>
              <w:t>Impact of straight-line rent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1" w:type="dxa"/>
            <w:tcBorders>
              <w:bottom w:val="single" w:sz="2" w:space="0" w:color="CBCAC8"/>
            </w:tcBorders>
            <w:tcMar>
              <w:bottom w:w="28" w:type="dxa"/>
            </w:tcMar>
            <w:vAlign w:val="center"/>
          </w:tcPr>
          <w:p>
            <w:pPr>
              <w:pStyle w:val="TableContents"/>
              <w:bidi w:val="0"/>
              <w:spacing w:before="0" w:after="283"/>
              <w:jc w:val="left"/>
              <w:rPr/>
            </w:pPr>
            <w:r>
              <w:rPr/>
              <w:t>​</w:t>
            </w:r>
          </w:p>
        </w:tc>
        <w:tc>
          <w:tcPr>
            <w:tcW w:w="251" w:type="dxa"/>
            <w:tcBorders>
              <w:bottom w:val="single" w:sz="2" w:space="0" w:color="CBCAC8"/>
            </w:tcBorders>
            <w:tcMar>
              <w:bottom w:w="50" w:type="dxa"/>
            </w:tcMar>
            <w:vAlign w:val="center"/>
          </w:tcPr>
          <w:p>
            <w:pPr>
              <w:pStyle w:val="TableContents"/>
              <w:bidi w:val="0"/>
              <w:spacing w:before="0" w:after="283"/>
              <w:jc w:val="right"/>
              <w:rPr/>
            </w:pPr>
            <w:r>
              <w:rPr/>
              <w:t>​</w:t>
            </w:r>
          </w:p>
        </w:tc>
        <w:tc>
          <w:tcPr>
            <w:tcW w:w="1004" w:type="dxa"/>
            <w:tcBorders>
              <w:bottom w:val="single" w:sz="2" w:space="0" w:color="CBCAC8"/>
            </w:tcBorders>
            <w:tcMar>
              <w:bottom w:w="50" w:type="dxa"/>
            </w:tcMar>
            <w:vAlign w:val="center"/>
          </w:tcPr>
          <w:p>
            <w:pPr>
              <w:pStyle w:val="TableContents"/>
              <w:bidi w:val="0"/>
              <w:spacing w:before="0" w:after="283"/>
              <w:jc w:val="right"/>
              <w:rPr/>
            </w:pPr>
            <w:r>
              <w:rPr/>
              <w:t xml:space="preserve">(1,964) </w:t>
            </w:r>
          </w:p>
        </w:tc>
        <w:tc>
          <w:tcPr>
            <w:tcW w:w="123"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6110" w:type="dxa"/>
            <w:tcBorders>
              <w:bottom w:val="single" w:sz="2" w:space="0" w:color="000000"/>
            </w:tcBorders>
            <w:tcMar>
              <w:bottom w:w="50" w:type="dxa"/>
            </w:tcMar>
            <w:vAlign w:val="center"/>
          </w:tcPr>
          <w:p>
            <w:pPr>
              <w:pStyle w:val="TableContents"/>
              <w:bidi w:val="0"/>
              <w:spacing w:before="0" w:after="0"/>
              <w:ind w:left="200" w:right="0" w:hanging="0"/>
              <w:jc w:val="left"/>
              <w:rPr/>
            </w:pPr>
            <w:r>
              <w:rPr>
                <w:spacing w:val="-2"/>
              </w:rPr>
              <w:t>Other</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1" w:type="dxa"/>
            <w:tcBorders>
              <w:bottom w:val="single" w:sz="2" w:space="0" w:color="000000"/>
            </w:tcBorders>
            <w:tcMar>
              <w:bottom w:w="28" w:type="dxa"/>
            </w:tcMar>
            <w:vAlign w:val="center"/>
          </w:tcPr>
          <w:p>
            <w:pPr>
              <w:pStyle w:val="TableContents"/>
              <w:bidi w:val="0"/>
              <w:spacing w:before="0" w:after="283"/>
              <w:jc w:val="left"/>
              <w:rPr/>
            </w:pPr>
            <w:r>
              <w:rPr/>
              <w:t>​</w:t>
            </w:r>
          </w:p>
        </w:tc>
        <w:tc>
          <w:tcPr>
            <w:tcW w:w="251" w:type="dxa"/>
            <w:tcBorders>
              <w:bottom w:val="single" w:sz="2" w:space="0" w:color="000000"/>
            </w:tcBorders>
            <w:tcMar>
              <w:bottom w:w="50" w:type="dxa"/>
            </w:tcMar>
            <w:vAlign w:val="center"/>
          </w:tcPr>
          <w:p>
            <w:pPr>
              <w:pStyle w:val="TableContents"/>
              <w:bidi w:val="0"/>
              <w:spacing w:before="0" w:after="283"/>
              <w:jc w:val="right"/>
              <w:rPr/>
            </w:pPr>
            <w:r>
              <w:rPr/>
              <w:t>​</w:t>
            </w:r>
          </w:p>
        </w:tc>
        <w:tc>
          <w:tcPr>
            <w:tcW w:w="1004" w:type="dxa"/>
            <w:tcBorders>
              <w:bottom w:val="single" w:sz="2" w:space="0" w:color="000000"/>
            </w:tcBorders>
            <w:tcMar>
              <w:bottom w:w="50" w:type="dxa"/>
            </w:tcMar>
            <w:vAlign w:val="center"/>
          </w:tcPr>
          <w:p>
            <w:pPr>
              <w:pStyle w:val="TableContents"/>
              <w:bidi w:val="0"/>
              <w:spacing w:before="0" w:after="283"/>
              <w:jc w:val="right"/>
              <w:rPr/>
            </w:pPr>
            <w:r>
              <w:rPr/>
              <w:t xml:space="preserve">388 </w:t>
            </w:r>
          </w:p>
        </w:tc>
        <w:tc>
          <w:tcPr>
            <w:tcW w:w="123"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110" w:type="dxa"/>
            <w:tcBorders>
              <w:bottom w:val="single" w:sz="2" w:space="0" w:color="CBCAC8"/>
            </w:tcBorders>
            <w:tcMar>
              <w:bottom w:w="50" w:type="dxa"/>
            </w:tcMar>
            <w:vAlign w:val="center"/>
          </w:tcPr>
          <w:p>
            <w:pPr>
              <w:pStyle w:val="TableContents"/>
              <w:bidi w:val="0"/>
              <w:spacing w:before="0" w:after="0"/>
              <w:jc w:val="left"/>
              <w:rPr>
                <w:b/>
              </w:rPr>
            </w:pPr>
            <w:r>
              <w:rPr>
                <w:b/>
                <w:spacing w:val="0"/>
              </w:rPr>
              <w:t>Operating Assets NOI</w:t>
            </w:r>
            <w:r>
              <w:rPr>
                <w:b/>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1" w:type="dxa"/>
            <w:tcBorders>
              <w:bottom w:val="single" w:sz="2" w:space="0" w:color="CBCAC8"/>
            </w:tcBorders>
            <w:tcMar>
              <w:bottom w:w="28" w:type="dxa"/>
            </w:tcMar>
            <w:vAlign w:val="center"/>
          </w:tcPr>
          <w:p>
            <w:pPr>
              <w:pStyle w:val="TableContents"/>
              <w:bidi w:val="0"/>
              <w:spacing w:before="0" w:after="283"/>
              <w:jc w:val="left"/>
              <w:rPr/>
            </w:pPr>
            <w:r>
              <w:rPr/>
              <w:t>​</w:t>
            </w:r>
          </w:p>
        </w:tc>
        <w:tc>
          <w:tcPr>
            <w:tcW w:w="251" w:type="dxa"/>
            <w:tcBorders>
              <w:bottom w:val="single" w:sz="2" w:space="0" w:color="CBCAC8"/>
            </w:tcBorders>
            <w:tcMar>
              <w:bottom w:w="50" w:type="dxa"/>
            </w:tcMar>
            <w:vAlign w:val="center"/>
          </w:tcPr>
          <w:p>
            <w:pPr>
              <w:pStyle w:val="TableContents"/>
              <w:bidi w:val="0"/>
              <w:spacing w:before="0" w:after="283"/>
              <w:jc w:val="right"/>
              <w:rPr/>
            </w:pPr>
            <w:r>
              <w:rPr/>
              <w:t>$</w:t>
            </w:r>
          </w:p>
        </w:tc>
        <w:tc>
          <w:tcPr>
            <w:tcW w:w="1004" w:type="dxa"/>
            <w:tcBorders>
              <w:bottom w:val="single" w:sz="2" w:space="0" w:color="CBCAC8"/>
            </w:tcBorders>
            <w:tcMar>
              <w:bottom w:w="50" w:type="dxa"/>
            </w:tcMar>
            <w:vAlign w:val="center"/>
          </w:tcPr>
          <w:p>
            <w:pPr>
              <w:pStyle w:val="TableContents"/>
              <w:bidi w:val="0"/>
              <w:spacing w:before="0" w:after="283"/>
              <w:jc w:val="right"/>
              <w:rPr/>
            </w:pPr>
            <w:r>
              <w:rPr/>
              <w:t xml:space="preserve">261,985 </w:t>
            </w:r>
          </w:p>
        </w:tc>
        <w:tc>
          <w:tcPr>
            <w:tcW w:w="123"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110" w:type="dxa"/>
            <w:tcBorders>
              <w:bottom w:val="single" w:sz="2" w:space="0" w:color="CBCAC8"/>
            </w:tcBorders>
            <w:tcMar>
              <w:bottom w:w="50" w:type="dxa"/>
            </w:tcMar>
            <w:vAlign w:val="center"/>
          </w:tcPr>
          <w:p>
            <w:pPr>
              <w:pStyle w:val="TableContents"/>
              <w:bidi w:val="0"/>
              <w:spacing w:before="0" w:after="283"/>
              <w:jc w:val="left"/>
              <w:rPr/>
            </w:pPr>
            <w:r>
              <w:rPr>
                <w:spacing w:val="-2"/>
              </w:rPr>
              <w:t>Company’s Share NOI – Equity Investees</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1" w:type="dxa"/>
            <w:tcBorders>
              <w:bottom w:val="single" w:sz="2" w:space="0" w:color="CBCAC8"/>
            </w:tcBorders>
            <w:tcMar>
              <w:bottom w:w="28" w:type="dxa"/>
            </w:tcMar>
            <w:vAlign w:val="center"/>
          </w:tcPr>
          <w:p>
            <w:pPr>
              <w:pStyle w:val="TableContents"/>
              <w:bidi w:val="0"/>
              <w:spacing w:before="0" w:after="283"/>
              <w:jc w:val="left"/>
              <w:rPr/>
            </w:pPr>
            <w:r>
              <w:rPr/>
              <w:t>​</w:t>
            </w:r>
          </w:p>
        </w:tc>
        <w:tc>
          <w:tcPr>
            <w:tcW w:w="251" w:type="dxa"/>
            <w:tcBorders>
              <w:bottom w:val="single" w:sz="2" w:space="0" w:color="CBCAC8"/>
            </w:tcBorders>
            <w:tcMar>
              <w:bottom w:w="50" w:type="dxa"/>
            </w:tcMar>
            <w:vAlign w:val="center"/>
          </w:tcPr>
          <w:p>
            <w:pPr>
              <w:pStyle w:val="TableContents"/>
              <w:bidi w:val="0"/>
              <w:spacing w:before="0" w:after="283"/>
              <w:jc w:val="right"/>
              <w:rPr/>
            </w:pPr>
            <w:r>
              <w:rPr/>
              <w:t>​</w:t>
            </w:r>
          </w:p>
        </w:tc>
        <w:tc>
          <w:tcPr>
            <w:tcW w:w="1004" w:type="dxa"/>
            <w:tcBorders>
              <w:bottom w:val="single" w:sz="2" w:space="0" w:color="CBCAC8"/>
            </w:tcBorders>
            <w:tcMar>
              <w:bottom w:w="50" w:type="dxa"/>
            </w:tcMar>
            <w:vAlign w:val="center"/>
          </w:tcPr>
          <w:p>
            <w:pPr>
              <w:pStyle w:val="TableContents"/>
              <w:bidi w:val="0"/>
              <w:spacing w:before="0" w:after="283"/>
              <w:jc w:val="right"/>
              <w:rPr/>
            </w:pPr>
            <w:r>
              <w:rPr/>
              <w:t xml:space="preserve">8,698 </w:t>
            </w:r>
          </w:p>
        </w:tc>
        <w:tc>
          <w:tcPr>
            <w:tcW w:w="123"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6110" w:type="dxa"/>
            <w:tcBorders>
              <w:bottom w:val="single" w:sz="2" w:space="0" w:color="000000"/>
            </w:tcBorders>
            <w:tcMar>
              <w:bottom w:w="50" w:type="dxa"/>
            </w:tcMar>
            <w:vAlign w:val="center"/>
          </w:tcPr>
          <w:p>
            <w:pPr>
              <w:pStyle w:val="TableContents"/>
              <w:bidi w:val="0"/>
              <w:spacing w:before="0" w:after="283"/>
              <w:jc w:val="left"/>
              <w:rPr/>
            </w:pPr>
            <w:r>
              <w:rPr>
                <w:spacing w:val="-2"/>
              </w:rPr>
              <w:t>Distributions from Summerlin Hospital Investment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1" w:type="dxa"/>
            <w:tcBorders>
              <w:bottom w:val="single" w:sz="2" w:space="0" w:color="000000"/>
            </w:tcBorders>
            <w:tcMar>
              <w:bottom w:w="28" w:type="dxa"/>
            </w:tcMar>
            <w:vAlign w:val="center"/>
          </w:tcPr>
          <w:p>
            <w:pPr>
              <w:pStyle w:val="TableContents"/>
              <w:bidi w:val="0"/>
              <w:spacing w:before="0" w:after="283"/>
              <w:jc w:val="left"/>
              <w:rPr/>
            </w:pPr>
            <w:r>
              <w:rPr/>
              <w:t>​</w:t>
            </w:r>
          </w:p>
        </w:tc>
        <w:tc>
          <w:tcPr>
            <w:tcW w:w="251" w:type="dxa"/>
            <w:tcBorders>
              <w:bottom w:val="single" w:sz="2" w:space="0" w:color="000000"/>
            </w:tcBorders>
            <w:tcMar>
              <w:bottom w:w="50" w:type="dxa"/>
            </w:tcMar>
            <w:vAlign w:val="center"/>
          </w:tcPr>
          <w:p>
            <w:pPr>
              <w:pStyle w:val="TableContents"/>
              <w:bidi w:val="0"/>
              <w:spacing w:before="0" w:after="283"/>
              <w:jc w:val="right"/>
              <w:rPr/>
            </w:pPr>
            <w:r>
              <w:rPr/>
              <w:t>​</w:t>
            </w:r>
          </w:p>
        </w:tc>
        <w:tc>
          <w:tcPr>
            <w:tcW w:w="1004" w:type="dxa"/>
            <w:tcBorders>
              <w:bottom w:val="single" w:sz="2" w:space="0" w:color="000000"/>
            </w:tcBorders>
            <w:tcMar>
              <w:bottom w:w="50" w:type="dxa"/>
            </w:tcMar>
            <w:vAlign w:val="center"/>
          </w:tcPr>
          <w:p>
            <w:pPr>
              <w:pStyle w:val="TableContents"/>
              <w:bidi w:val="0"/>
              <w:spacing w:before="0" w:after="283"/>
              <w:jc w:val="right"/>
              <w:rPr/>
            </w:pPr>
            <w:r>
              <w:rPr/>
              <w:t xml:space="preserve">5,605 </w:t>
            </w:r>
          </w:p>
        </w:tc>
        <w:tc>
          <w:tcPr>
            <w:tcW w:w="123"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6110" w:type="dxa"/>
            <w:tcBorders>
              <w:bottom w:val="single" w:sz="2" w:space="0" w:color="CBCAC8"/>
            </w:tcBorders>
            <w:tcMar>
              <w:bottom w:w="50" w:type="dxa"/>
            </w:tcMar>
            <w:vAlign w:val="center"/>
          </w:tcPr>
          <w:p>
            <w:pPr>
              <w:pStyle w:val="TableContents"/>
              <w:bidi w:val="0"/>
              <w:spacing w:before="0" w:after="0"/>
              <w:jc w:val="left"/>
              <w:rPr>
                <w:b/>
              </w:rPr>
            </w:pPr>
            <w:r>
              <w:rPr>
                <w:b/>
                <w:spacing w:val="0"/>
              </w:rPr>
              <w:t>Total Operating Assets NOI</w:t>
            </w:r>
            <w:r>
              <w:rPr>
                <w:b/>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21" w:type="dxa"/>
            <w:tcBorders>
              <w:bottom w:val="single" w:sz="2" w:space="0" w:color="CBCAC8"/>
            </w:tcBorders>
            <w:tcMar>
              <w:bottom w:w="28" w:type="dxa"/>
            </w:tcMar>
            <w:vAlign w:val="center"/>
          </w:tcPr>
          <w:p>
            <w:pPr>
              <w:pStyle w:val="TableContents"/>
              <w:bidi w:val="0"/>
              <w:spacing w:before="0" w:after="283"/>
              <w:jc w:val="left"/>
              <w:rPr/>
            </w:pPr>
            <w:r>
              <w:rPr/>
              <w:t>​</w:t>
            </w:r>
          </w:p>
        </w:tc>
        <w:tc>
          <w:tcPr>
            <w:tcW w:w="251" w:type="dxa"/>
            <w:tcBorders>
              <w:bottom w:val="single" w:sz="2" w:space="0" w:color="CBCAC8"/>
            </w:tcBorders>
            <w:tcMar>
              <w:bottom w:w="50" w:type="dxa"/>
            </w:tcMar>
            <w:vAlign w:val="center"/>
          </w:tcPr>
          <w:p>
            <w:pPr>
              <w:pStyle w:val="TableContents"/>
              <w:bidi w:val="0"/>
              <w:spacing w:before="0" w:after="283"/>
              <w:jc w:val="right"/>
              <w:rPr/>
            </w:pPr>
            <w:r>
              <w:rPr/>
              <w:t>$</w:t>
            </w:r>
          </w:p>
        </w:tc>
        <w:tc>
          <w:tcPr>
            <w:tcW w:w="1004" w:type="dxa"/>
            <w:tcBorders>
              <w:bottom w:val="single" w:sz="2" w:space="0" w:color="CBCAC8"/>
            </w:tcBorders>
            <w:tcMar>
              <w:bottom w:w="50" w:type="dxa"/>
            </w:tcMar>
            <w:vAlign w:val="center"/>
          </w:tcPr>
          <w:p>
            <w:pPr>
              <w:pStyle w:val="TableContents"/>
              <w:bidi w:val="0"/>
              <w:spacing w:before="0" w:after="283"/>
              <w:jc w:val="right"/>
              <w:rPr/>
            </w:pPr>
            <w:r>
              <w:rPr/>
              <w:t>276,288</w:t>
            </w:r>
          </w:p>
        </w:tc>
        <w:tc>
          <w:tcPr>
            <w:tcW w:w="123"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0" w:after="283"/>
        <w:ind w:left="889"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Cash G&amp;A</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defines Cash G&amp;A as General and administrative expense less non-cash stock compensation expense. Cash G&amp;A is a non-GAAP financial measure that we believe is useful to our investors and other users of our financial statements as an indicator of overhead efficiency without regard to non-cash expenses associated with stock compensation. However, it should not be used as an alternative to general and administrative expenses in accordance with GAAP.</w:t>
      </w:r>
      <w:r>
        <w:rPr>
          <w:rFonts w:ascii="Arial;Helvetica;sans-serif" w:hAnsi="Arial;Helvetica;sans-serif"/>
          <w:b w:val="false"/>
          <w:i w:val="false"/>
          <w:caps w:val="false"/>
          <w:smallCaps w:val="false"/>
          <w:color w:val="000000"/>
          <w:spacing w:val="4"/>
          <w:sz w:val="20"/>
        </w:rPr>
        <w:t xml:space="preserve"> </w:t>
      </w:r>
    </w:p>
    <w:tbl>
      <w:tblPr>
        <w:tblW w:w="5499" w:type="dxa"/>
        <w:jc w:val="left"/>
        <w:tblInd w:w="889" w:type="dxa"/>
        <w:tblLayout w:type="fixed"/>
        <w:tblCellMar>
          <w:top w:w="0" w:type="dxa"/>
          <w:left w:w="0" w:type="dxa"/>
          <w:bottom w:w="0" w:type="dxa"/>
          <w:right w:w="0" w:type="dxa"/>
        </w:tblCellMar>
      </w:tblPr>
      <w:tblGrid>
        <w:gridCol w:w="124"/>
        <w:gridCol w:w="3504"/>
        <w:gridCol w:w="109"/>
        <w:gridCol w:w="109"/>
        <w:gridCol w:w="115"/>
        <w:gridCol w:w="238"/>
        <w:gridCol w:w="1031"/>
        <w:gridCol w:w="115"/>
        <w:gridCol w:w="154"/>
      </w:tblGrid>
      <w:tr>
        <w:trPr/>
        <w:tc>
          <w:tcPr>
            <w:tcW w:w="124" w:type="dxa"/>
            <w:tcBorders/>
            <w:shd w:fill="BAD8EA" w:val="clear"/>
            <w:vAlign w:val="center"/>
          </w:tcPr>
          <w:p>
            <w:pPr>
              <w:pStyle w:val="TableContents"/>
              <w:bidi w:val="0"/>
              <w:spacing w:before="0" w:after="283"/>
              <w:jc w:val="left"/>
              <w:rPr/>
            </w:pPr>
            <w:r>
              <w:rPr/>
              <w:t>​</w:t>
            </w:r>
          </w:p>
        </w:tc>
        <w:tc>
          <w:tcPr>
            <w:tcW w:w="3504" w:type="dxa"/>
            <w:tcBorders/>
            <w:shd w:fill="BAD8EA" w:val="clear"/>
            <w:vAlign w:val="center"/>
          </w:tcPr>
          <w:p>
            <w:pPr>
              <w:pStyle w:val="TableContents"/>
              <w:bidi w:val="0"/>
              <w:spacing w:before="0" w:after="0"/>
              <w:jc w:val="left"/>
              <w:rPr>
                <w:b w:val="false"/>
                <w:i/>
              </w:rPr>
            </w:pPr>
            <w:r>
              <w:rPr>
                <w:b w:val="false"/>
                <w:i/>
              </w:rPr>
              <w:t>thousands</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499" w:type="dxa"/>
            <w:gridSpan w:val="4"/>
            <w:tcBorders/>
            <w:shd w:fill="BAD8EA" w:val="clear"/>
            <w:vAlign w:val="center"/>
          </w:tcPr>
          <w:p>
            <w:pPr>
              <w:pStyle w:val="TableContents"/>
              <w:bidi w:val="0"/>
              <w:spacing w:lineRule="atLeast" w:line="202" w:before="0" w:after="0"/>
              <w:jc w:val="center"/>
              <w:rPr/>
            </w:pPr>
            <w:r>
              <w:rPr>
                <w:spacing w:val="0"/>
              </w:rPr>
              <w:t>Year Ended</w:t>
            </w:r>
            <w:r>
              <w:rPr>
                <w:spacing w:val="-2"/>
              </w:rPr>
              <w:t xml:space="preserve"> </w:t>
            </w:r>
            <w:r>
              <w:rPr/>
              <w:br/>
            </w:r>
            <w:r>
              <w:rPr>
                <w:spacing w:val="0"/>
              </w:rPr>
              <w:t>December 31,</w:t>
            </w:r>
            <w:r>
              <w:rPr/>
              <w:t xml:space="preserve"> </w:t>
              <w:br/>
            </w:r>
            <w:r>
              <w:rPr>
                <w:spacing w:val="-2"/>
              </w:rPr>
              <w:t>2025</w:t>
            </w:r>
            <w:r>
              <w:rPr/>
              <w:t xml:space="preserve"> </w:t>
            </w:r>
          </w:p>
        </w:tc>
        <w:tc>
          <w:tcPr>
            <w:tcW w:w="154"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504" w:type="dxa"/>
            <w:tcBorders>
              <w:bottom w:val="single" w:sz="2" w:space="0" w:color="CBCAC8"/>
            </w:tcBorders>
            <w:tcMar>
              <w:bottom w:w="50" w:type="dxa"/>
            </w:tcMar>
            <w:vAlign w:val="center"/>
          </w:tcPr>
          <w:p>
            <w:pPr>
              <w:pStyle w:val="TableContents"/>
              <w:bidi w:val="0"/>
              <w:spacing w:before="0" w:after="283"/>
              <w:jc w:val="left"/>
              <w:rPr/>
            </w:pPr>
            <w:r>
              <w:rPr>
                <w:spacing w:val="0"/>
              </w:rPr>
              <w:t>General and Administrative</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238"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504" w:type="dxa"/>
            <w:tcBorders>
              <w:bottom w:val="single" w:sz="2" w:space="0" w:color="CBCAC8"/>
            </w:tcBorders>
            <w:tcMar>
              <w:bottom w:w="50" w:type="dxa"/>
            </w:tcMar>
            <w:vAlign w:val="center"/>
          </w:tcPr>
          <w:p>
            <w:pPr>
              <w:pStyle w:val="TableContents"/>
              <w:bidi w:val="0"/>
              <w:spacing w:before="0" w:after="0"/>
              <w:ind w:left="200" w:right="0" w:hanging="0"/>
              <w:jc w:val="left"/>
              <w:rPr/>
            </w:pPr>
            <w:r>
              <w:rPr>
                <w:spacing w:val="-2"/>
              </w:rPr>
              <w:t>General and administrative (G&amp;A)</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238"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 xml:space="preserve">122,240 </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3504" w:type="dxa"/>
            <w:tcBorders>
              <w:bottom w:val="single" w:sz="2" w:space="0" w:color="000000"/>
            </w:tcBorders>
            <w:tcMar>
              <w:bottom w:w="50" w:type="dxa"/>
            </w:tcMar>
            <w:vAlign w:val="center"/>
          </w:tcPr>
          <w:p>
            <w:pPr>
              <w:pStyle w:val="TableContents"/>
              <w:bidi w:val="0"/>
              <w:spacing w:before="0" w:after="0"/>
              <w:ind w:left="200" w:right="0" w:hanging="0"/>
              <w:jc w:val="left"/>
              <w:rPr/>
            </w:pPr>
            <w:r>
              <w:rPr>
                <w:spacing w:val="-2"/>
              </w:rPr>
              <w:t>Less: Non-cash stock compensation</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5" w:type="dxa"/>
            <w:tcBorders>
              <w:bottom w:val="single" w:sz="2" w:space="0" w:color="000000"/>
            </w:tcBorders>
            <w:tcMar>
              <w:bottom w:w="28" w:type="dxa"/>
            </w:tcMar>
            <w:vAlign w:val="center"/>
          </w:tcPr>
          <w:p>
            <w:pPr>
              <w:pStyle w:val="TableContents"/>
              <w:bidi w:val="0"/>
              <w:spacing w:before="0" w:after="283"/>
              <w:jc w:val="left"/>
              <w:rPr/>
            </w:pPr>
            <w:r>
              <w:rPr/>
              <w:t>​</w:t>
            </w:r>
          </w:p>
        </w:tc>
        <w:tc>
          <w:tcPr>
            <w:tcW w:w="238" w:type="dxa"/>
            <w:tcBorders>
              <w:bottom w:val="single" w:sz="2" w:space="0" w:color="000000"/>
            </w:tcBorders>
            <w:tcMar>
              <w:bottom w:w="50" w:type="dxa"/>
            </w:tcMar>
            <w:vAlign w:val="center"/>
          </w:tcPr>
          <w:p>
            <w:pPr>
              <w:pStyle w:val="TableContents"/>
              <w:bidi w:val="0"/>
              <w:spacing w:before="0" w:after="283"/>
              <w:jc w:val="right"/>
              <w:rPr/>
            </w:pPr>
            <w:r>
              <w:rPr/>
              <w:t>​</w:t>
            </w:r>
          </w:p>
        </w:tc>
        <w:tc>
          <w:tcPr>
            <w:tcW w:w="1031" w:type="dxa"/>
            <w:tcBorders>
              <w:bottom w:val="single" w:sz="2" w:space="0" w:color="000000"/>
            </w:tcBorders>
            <w:tcMar>
              <w:bottom w:w="50" w:type="dxa"/>
            </w:tcMar>
            <w:vAlign w:val="center"/>
          </w:tcPr>
          <w:p>
            <w:pPr>
              <w:pStyle w:val="TableContents"/>
              <w:bidi w:val="0"/>
              <w:spacing w:before="0" w:after="283"/>
              <w:jc w:val="right"/>
              <w:rPr/>
            </w:pPr>
            <w:r>
              <w:rPr/>
              <w:t xml:space="preserve">(13,639) </w:t>
            </w:r>
          </w:p>
        </w:tc>
        <w:tc>
          <w:tcPr>
            <w:tcW w:w="115"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3504" w:type="dxa"/>
            <w:tcBorders>
              <w:bottom w:val="single" w:sz="2" w:space="0" w:color="CBCAC8"/>
            </w:tcBorders>
            <w:tcMar>
              <w:bottom w:w="50" w:type="dxa"/>
            </w:tcMar>
            <w:vAlign w:val="center"/>
          </w:tcPr>
          <w:p>
            <w:pPr>
              <w:pStyle w:val="TableContents"/>
              <w:bidi w:val="0"/>
              <w:spacing w:before="0" w:after="0"/>
              <w:ind w:left="200" w:right="0" w:hanging="0"/>
              <w:jc w:val="left"/>
              <w:rPr/>
            </w:pPr>
            <w:r>
              <w:rPr>
                <w:spacing w:val="-2"/>
              </w:rPr>
              <w:t>Cash G&amp;A</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238" w:type="dxa"/>
            <w:tcBorders>
              <w:bottom w:val="single" w:sz="2" w:space="0" w:color="CBCAC8"/>
            </w:tcBorders>
            <w:tcMar>
              <w:bottom w:w="50" w:type="dxa"/>
            </w:tcMar>
            <w:vAlign w:val="center"/>
          </w:tcPr>
          <w:p>
            <w:pPr>
              <w:pStyle w:val="TableContents"/>
              <w:bidi w:val="0"/>
              <w:spacing w:before="0" w:after="283"/>
              <w:jc w:val="right"/>
              <w:rPr/>
            </w:pPr>
            <w:r>
              <w:rPr/>
              <w:t>$</w:t>
            </w:r>
          </w:p>
        </w:tc>
        <w:tc>
          <w:tcPr>
            <w:tcW w:w="1031" w:type="dxa"/>
            <w:tcBorders>
              <w:bottom w:val="single" w:sz="2" w:space="0" w:color="CBCAC8"/>
            </w:tcBorders>
            <w:tcMar>
              <w:bottom w:w="50" w:type="dxa"/>
            </w:tcMar>
            <w:vAlign w:val="center"/>
          </w:tcPr>
          <w:p>
            <w:pPr>
              <w:pStyle w:val="TableContents"/>
              <w:bidi w:val="0"/>
              <w:spacing w:before="0" w:after="283"/>
              <w:jc w:val="right"/>
              <w:rPr/>
            </w:pPr>
            <w:r>
              <w:rPr/>
              <w:t>108,601</w:t>
            </w:r>
          </w:p>
        </w:tc>
        <w:tc>
          <w:tcPr>
            <w:tcW w:w="115"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0" w:after="283"/>
        <w:ind w:left="889"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Condominium Gross Profit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Adjusted condo gross profit is a non-GAAP financial measure that we believe is useful to our investors and other users of our financial statements as an indicator of gross profit related to condominium sales closed in each period. </w:t>
      </w:r>
    </w:p>
    <w:tbl>
      <w:tblPr>
        <w:tblW w:w="6121" w:type="dxa"/>
        <w:jc w:val="left"/>
        <w:tblInd w:w="889" w:type="dxa"/>
        <w:tblLayout w:type="fixed"/>
        <w:tblCellMar>
          <w:top w:w="0" w:type="dxa"/>
          <w:left w:w="0" w:type="dxa"/>
          <w:bottom w:w="0" w:type="dxa"/>
          <w:right w:w="0" w:type="dxa"/>
        </w:tblCellMar>
      </w:tblPr>
      <w:tblGrid>
        <w:gridCol w:w="124"/>
        <w:gridCol w:w="4085"/>
        <w:gridCol w:w="109"/>
        <w:gridCol w:w="109"/>
        <w:gridCol w:w="109"/>
        <w:gridCol w:w="226"/>
        <w:gridCol w:w="1096"/>
        <w:gridCol w:w="109"/>
        <w:gridCol w:w="154"/>
      </w:tblGrid>
      <w:tr>
        <w:trPr/>
        <w:tc>
          <w:tcPr>
            <w:tcW w:w="124" w:type="dxa"/>
            <w:tcBorders/>
            <w:shd w:fill="BAD8EA" w:val="clear"/>
            <w:vAlign w:val="center"/>
          </w:tcPr>
          <w:p>
            <w:pPr>
              <w:pStyle w:val="TableContents"/>
              <w:bidi w:val="0"/>
              <w:spacing w:before="0" w:after="283"/>
              <w:jc w:val="left"/>
              <w:rPr/>
            </w:pPr>
            <w:r>
              <w:rPr/>
              <w:t>​</w:t>
            </w:r>
          </w:p>
        </w:tc>
        <w:tc>
          <w:tcPr>
            <w:tcW w:w="4085" w:type="dxa"/>
            <w:tcBorders/>
            <w:shd w:fill="BAD8EA" w:val="clear"/>
            <w:vAlign w:val="center"/>
          </w:tcPr>
          <w:p>
            <w:pPr>
              <w:pStyle w:val="TableContents"/>
              <w:bidi w:val="0"/>
              <w:spacing w:before="0" w:after="0"/>
              <w:jc w:val="left"/>
              <w:rPr>
                <w:b w:val="false"/>
                <w:i/>
              </w:rPr>
            </w:pPr>
            <w:r>
              <w:rPr>
                <w:b w:val="false"/>
                <w:i/>
              </w:rPr>
              <w:t>thousands</w:t>
            </w:r>
          </w:p>
        </w:tc>
        <w:tc>
          <w:tcPr>
            <w:tcW w:w="109" w:type="dxa"/>
            <w:tcBorders/>
            <w:shd w:fill="BAD8EA" w:val="clear"/>
            <w:vAlign w:val="center"/>
          </w:tcPr>
          <w:p>
            <w:pPr>
              <w:pStyle w:val="TableContents"/>
              <w:bidi w:val="0"/>
              <w:spacing w:before="0" w:after="283"/>
              <w:jc w:val="left"/>
              <w:rPr/>
            </w:pPr>
            <w:r>
              <w:rPr/>
              <w:t>​</w:t>
            </w:r>
          </w:p>
        </w:tc>
        <w:tc>
          <w:tcPr>
            <w:tcW w:w="109" w:type="dxa"/>
            <w:tcBorders/>
            <w:shd w:fill="BAD8EA" w:val="clear"/>
            <w:vAlign w:val="center"/>
          </w:tcPr>
          <w:p>
            <w:pPr>
              <w:pStyle w:val="TableContents"/>
              <w:bidi w:val="0"/>
              <w:spacing w:before="0" w:after="283"/>
              <w:jc w:val="left"/>
              <w:rPr/>
            </w:pPr>
            <w:r>
              <w:rPr/>
              <w:t>​</w:t>
            </w:r>
          </w:p>
        </w:tc>
        <w:tc>
          <w:tcPr>
            <w:tcW w:w="1540" w:type="dxa"/>
            <w:gridSpan w:val="4"/>
            <w:tcBorders/>
            <w:shd w:fill="BAD8EA" w:val="clear"/>
            <w:vAlign w:val="center"/>
          </w:tcPr>
          <w:p>
            <w:pPr>
              <w:pStyle w:val="TableContents"/>
              <w:bidi w:val="0"/>
              <w:spacing w:lineRule="atLeast" w:line="202" w:before="0" w:after="0"/>
              <w:jc w:val="center"/>
              <w:rPr/>
            </w:pPr>
            <w:r>
              <w:rPr>
                <w:spacing w:val="0"/>
              </w:rPr>
              <w:t xml:space="preserve">Year Ended </w:t>
              <w:br/>
              <w:t>December 31,</w:t>
            </w:r>
            <w:r>
              <w:rPr/>
              <w:t xml:space="preserve"> </w:t>
              <w:br/>
            </w:r>
            <w:r>
              <w:rPr>
                <w:spacing w:val="-2"/>
              </w:rPr>
              <w:t>2025</w:t>
            </w:r>
            <w:r>
              <w:rPr/>
              <w:t xml:space="preserve"> </w:t>
            </w:r>
          </w:p>
        </w:tc>
        <w:tc>
          <w:tcPr>
            <w:tcW w:w="154" w:type="dxa"/>
            <w:tcBorders/>
            <w:shd w:fill="BAD8EA" w:val="cle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4085" w:type="dxa"/>
            <w:tcBorders>
              <w:bottom w:val="single" w:sz="2" w:space="0" w:color="CBCAC8"/>
            </w:tcBorders>
            <w:tcMar>
              <w:bottom w:w="50" w:type="dxa"/>
            </w:tcMar>
            <w:vAlign w:val="center"/>
          </w:tcPr>
          <w:p>
            <w:pPr>
              <w:pStyle w:val="TableContents"/>
              <w:bidi w:val="0"/>
              <w:spacing w:before="0" w:after="283"/>
              <w:jc w:val="left"/>
              <w:rPr/>
            </w:pPr>
            <w:r>
              <w:rPr>
                <w:spacing w:val="0"/>
              </w:rPr>
              <w:t>Condominium Gross Profit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96" w:type="dxa"/>
            <w:tcBorders>
              <w:bottom w:val="single" w:sz="2" w:space="0" w:color="CBCAC8"/>
            </w:tcBorders>
            <w:tcMar>
              <w:bottom w:w="50" w:type="dxa"/>
            </w:tcMar>
            <w:vAlign w:val="center"/>
          </w:tcPr>
          <w:p>
            <w:pPr>
              <w:pStyle w:val="TableContents"/>
              <w:bidi w:val="0"/>
              <w:spacing w:before="0" w:after="283"/>
              <w:jc w:val="righ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4085" w:type="dxa"/>
            <w:tcBorders>
              <w:bottom w:val="single" w:sz="2" w:space="0" w:color="CBCAC8"/>
            </w:tcBorders>
            <w:tcMar>
              <w:bottom w:w="50" w:type="dxa"/>
            </w:tcMar>
            <w:vAlign w:val="center"/>
          </w:tcPr>
          <w:p>
            <w:pPr>
              <w:pStyle w:val="TableContents"/>
              <w:bidi w:val="0"/>
              <w:spacing w:before="0" w:after="0"/>
              <w:ind w:left="200" w:right="0" w:hanging="0"/>
              <w:jc w:val="left"/>
              <w:rPr/>
            </w:pPr>
            <w:r>
              <w:rPr>
                <w:spacing w:val="-2"/>
              </w:rPr>
              <w:t>Condominium rights and unit sales</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96" w:type="dxa"/>
            <w:tcBorders>
              <w:bottom w:val="single" w:sz="2" w:space="0" w:color="CBCAC8"/>
            </w:tcBorders>
            <w:tcMar>
              <w:bottom w:w="50" w:type="dxa"/>
            </w:tcMar>
            <w:vAlign w:val="center"/>
          </w:tcPr>
          <w:p>
            <w:pPr>
              <w:pStyle w:val="TableContents"/>
              <w:bidi w:val="0"/>
              <w:spacing w:before="0" w:after="283"/>
              <w:jc w:val="right"/>
              <w:rPr/>
            </w:pPr>
            <w:r>
              <w:rPr/>
              <w:t xml:space="preserve">370,156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4085" w:type="dxa"/>
            <w:tcBorders>
              <w:bottom w:val="single" w:sz="2" w:space="0" w:color="CBCAC8"/>
            </w:tcBorders>
            <w:tcMar>
              <w:bottom w:w="50" w:type="dxa"/>
            </w:tcMar>
            <w:vAlign w:val="center"/>
          </w:tcPr>
          <w:p>
            <w:pPr>
              <w:pStyle w:val="TableContents"/>
              <w:bidi w:val="0"/>
              <w:spacing w:before="0" w:after="0"/>
              <w:ind w:left="200" w:right="0" w:hanging="0"/>
              <w:jc w:val="left"/>
              <w:rPr/>
            </w:pPr>
            <w:r>
              <w:rPr>
                <w:spacing w:val="-2"/>
              </w:rPr>
              <w:t>Condominium rights and unit cost of sales</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96" w:type="dxa"/>
            <w:tcBorders>
              <w:bottom w:val="single" w:sz="2" w:space="0" w:color="CBCAC8"/>
            </w:tcBorders>
            <w:tcMar>
              <w:bottom w:w="50" w:type="dxa"/>
            </w:tcMar>
            <w:vAlign w:val="center"/>
          </w:tcPr>
          <w:p>
            <w:pPr>
              <w:pStyle w:val="TableContents"/>
              <w:bidi w:val="0"/>
              <w:spacing w:before="0" w:after="283"/>
              <w:jc w:val="right"/>
              <w:rPr/>
            </w:pPr>
            <w:r>
              <w:rPr/>
              <w:t xml:space="preserve">(369,408)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BCAC8"/>
            </w:tcBorders>
            <w:tcMar>
              <w:bottom w:w="28" w:type="dxa"/>
            </w:tcMar>
            <w:vAlign w:val="center"/>
          </w:tcPr>
          <w:p>
            <w:pPr>
              <w:pStyle w:val="TableContents"/>
              <w:bidi w:val="0"/>
              <w:spacing w:before="0" w:after="283"/>
              <w:jc w:val="left"/>
              <w:rPr/>
            </w:pPr>
            <w:r>
              <w:rPr/>
              <w:t>​</w:t>
            </w:r>
          </w:p>
        </w:tc>
        <w:tc>
          <w:tcPr>
            <w:tcW w:w="4085" w:type="dxa"/>
            <w:tcBorders>
              <w:bottom w:val="single" w:sz="2" w:space="0" w:color="CBCAC8"/>
            </w:tcBorders>
            <w:tcMar>
              <w:bottom w:w="50" w:type="dxa"/>
            </w:tcMar>
            <w:vAlign w:val="center"/>
          </w:tcPr>
          <w:p>
            <w:pPr>
              <w:pStyle w:val="TableContents"/>
              <w:bidi w:val="0"/>
              <w:spacing w:before="0" w:after="0"/>
              <w:ind w:left="200" w:right="0" w:hanging="0"/>
              <w:jc w:val="left"/>
              <w:rPr/>
            </w:pPr>
            <w:r>
              <w:rPr>
                <w:spacing w:val="-2"/>
              </w:rPr>
              <w:t>Condominium adjusted gross profit</w:t>
            </w:r>
            <w:r>
              <w:rPr/>
              <w:t xml:space="preserve"> </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226" w:type="dxa"/>
            <w:tcBorders>
              <w:bottom w:val="single" w:sz="2" w:space="0" w:color="CBCAC8"/>
            </w:tcBorders>
            <w:tcMar>
              <w:bottom w:w="50" w:type="dxa"/>
            </w:tcMar>
            <w:vAlign w:val="center"/>
          </w:tcPr>
          <w:p>
            <w:pPr>
              <w:pStyle w:val="TableContents"/>
              <w:bidi w:val="0"/>
              <w:spacing w:before="0" w:after="283"/>
              <w:jc w:val="right"/>
              <w:rPr/>
            </w:pPr>
            <w:r>
              <w:rPr/>
              <w:t>$</w:t>
            </w:r>
          </w:p>
        </w:tc>
        <w:tc>
          <w:tcPr>
            <w:tcW w:w="1096" w:type="dxa"/>
            <w:tcBorders>
              <w:bottom w:val="single" w:sz="2" w:space="0" w:color="CBCAC8"/>
            </w:tcBorders>
            <w:tcMar>
              <w:bottom w:w="50" w:type="dxa"/>
            </w:tcMar>
            <w:vAlign w:val="center"/>
          </w:tcPr>
          <w:p>
            <w:pPr>
              <w:pStyle w:val="TableContents"/>
              <w:bidi w:val="0"/>
              <w:spacing w:before="0" w:after="283"/>
              <w:jc w:val="right"/>
              <w:rPr/>
            </w:pPr>
            <w:r>
              <w:rPr/>
              <w:t>748</w:t>
            </w:r>
          </w:p>
        </w:tc>
        <w:tc>
          <w:tcPr>
            <w:tcW w:w="109" w:type="dxa"/>
            <w:tcBorders>
              <w:bottom w:val="single" w:sz="2" w:space="0" w:color="CBCAC8"/>
            </w:tcBorders>
            <w:tcMar>
              <w:bottom w:w="28" w:type="dxa"/>
            </w:tcMar>
            <w:vAlign w:val="center"/>
          </w:tcPr>
          <w:p>
            <w:pPr>
              <w:pStyle w:val="TableContents"/>
              <w:bidi w:val="0"/>
              <w:spacing w:before="0" w:after="283"/>
              <w:jc w:val="left"/>
              <w:rPr/>
            </w:pPr>
            <w:r>
              <w:rPr/>
              <w:t>​</w:t>
            </w:r>
          </w:p>
        </w:tc>
        <w:tc>
          <w:tcPr>
            <w:tcW w:w="154" w:type="dxa"/>
            <w:tcBorders>
              <w:bottom w:val="single" w:sz="2" w:space="0" w:color="CBCAC8"/>
            </w:tcBorders>
            <w:tcMar>
              <w:bottom w:w="28"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240" w:after="283"/>
        <w:ind w:left="0" w:right="0" w:hanging="0"/>
        <w:jc w:val="center"/>
        <w:rPr>
          <w:caps w:val="false"/>
          <w:smallCaps w:val="false"/>
          <w:color w:val="000000"/>
        </w:rPr>
      </w:pPr>
      <w:r>
        <w:rPr>
          <w:caps w:val="false"/>
          <w:smallCaps w:val="false"/>
          <w:color w:val="000000"/>
        </w:rPr>
        <w:drawing>
          <wp:inline distT="0" distB="0" distL="0" distR="0">
            <wp:extent cx="7305675" cy="9458325"/>
            <wp:effectExtent l="0" t="0" r="0" b="0"/>
            <wp:docPr id="64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Image113" descr=""/>
                    <pic:cNvPicPr>
                      <a:picLocks noChangeAspect="1" noChangeArrowheads="1"/>
                    </pic:cNvPicPr>
                  </pic:nvPicPr>
                  <pic:blipFill>
                    <a:blip r:embed="rId136"/>
                    <a:stretch>
                      <a:fillRect/>
                    </a:stretch>
                  </pic:blipFill>
                  <pic:spPr bwMode="auto">
                    <a:xfrm>
                      <a:off x="0" y="0"/>
                      <a:ext cx="7305675" cy="94583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Howard Hughes NEVADA HUGHES HOLDINGS, INC. NEVADA CORPORATION FILE NO. C-1769 780 THIRD AVENUE, SUITE 2303 SCAN TO VIEW MATERIALS &amp; VOTE VOTE BY INTERNET Use the Internet to transmit your voting instructions and for electronic delivery of information up until 11:59 p.m. Eastern Time the day before the cut-off date or meeting date. Have your proxy card in hand when you access the website and follow the instructions to obtain your records and create an electronic voting instruction form. ELECTRONIC DELIVERY OF FUTURE PROXY MATERIALS If you would like to reduce the costs incurred by your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materials electronically in future years.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provided. Nevada Hughes Holdings, Inc. c/o Broadridge 51 Mercedes Way Edgewood, NY 11717 TO VOTE, MARK BLOCKS BELOW IN BLUE OR BLACK INK AS FOLLOWS: THIS PROXY CARD IS VALID ONLY WHEN SIGNED AND DATED. HOWARD HUGHES HOLDINGS INC. The Board of Directors recommends you vote FOR all the listed nominees. Election of Directors NomineeForAgainstAbstain1a. William Ackman□□□ 1b. David Eun□□□ 1c. Mary G. ? (surname unclear)□□□ 1d. Ryan Israel□□□ 1e. Tom Lydon□□□ 1f. David O'Reilly□□□ 1g. Susan ? (surname unclear)□□□ 1h. R. Scot Sellers□□□ 1i. Mary Ann Tighe□□□ 1j. Jean-Paul Viguier□□□ 1k. Anthony Williams□□□ The Board of Directors recommends you vote FOR proposal 2 and 3. ProposalForAgainstAbstain2. Advisory vote to approve executive officer compensation□□□ 3. Ratification of the appointment of KPMG LLP as independent registered public accounting firm for fiscal 2024□□□ NOTE: To transact any other business that may properly come before the Annual Meeting of Stockholders or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____________________ Date __________ Signature (Joint Owner) ____________________ Date __________ Some names and small-print portions are difficult to read due to image resolution, but the main content above has been captured.</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240" w:after="283"/>
        <w:ind w:left="0" w:right="0" w:hanging="0"/>
        <w:jc w:val="center"/>
        <w:rPr>
          <w:caps w:val="false"/>
          <w:smallCaps w:val="false"/>
          <w:color w:val="000000"/>
        </w:rPr>
      </w:pPr>
      <w:r>
        <w:rPr>
          <w:caps w:val="false"/>
          <w:smallCaps w:val="false"/>
          <w:color w:val="000000"/>
        </w:rPr>
        <w:drawing>
          <wp:inline distT="0" distB="0" distL="0" distR="0">
            <wp:extent cx="7305675" cy="9458325"/>
            <wp:effectExtent l="0" t="0" r="0" b="0"/>
            <wp:docPr id="64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Image114" descr=""/>
                    <pic:cNvPicPr>
                      <a:picLocks noChangeAspect="1" noChangeArrowheads="1"/>
                    </pic:cNvPicPr>
                  </pic:nvPicPr>
                  <pic:blipFill>
                    <a:blip r:embed="rId137"/>
                    <a:stretch>
                      <a:fillRect/>
                    </a:stretch>
                  </pic:blipFill>
                  <pic:spPr bwMode="auto">
                    <a:xfrm>
                      <a:off x="0" y="0"/>
                      <a:ext cx="7305675" cy="94583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Annual Meeting of Stockholders 787 7th Avenue, Auditorium New York, NY 10019 Wednesday, September 30, 2026 Meeting begins promptly at 9:00 a.m. Eastern Time Please plan to arrive early as there will be no admission after the meeting begins Photo identification and preregistration are required to attend the Annual Meeting Important Notice Regarding the Availability of Proxy Materials for the Annual Meeting: The Notice and Proxy Statement and Annual Report are available at www.proxyvote.com. HOWARD HUGHES HOLDINGS INC. Annual Meeting of Stockholders September 30, 2026 9:00 A.M. Eastern Time This proxy is solicited by the Board of Directors The stockholder(s) hereby appoint(s) David R. O'Reilly, Joseph Valane and Carlos A. Olea, or any of them, as proxies, each with the power to appoint a substitute, and hereby authorize(s) them to represent and to vote, as designated on the reverse side of this ballot, all of the shares of common stock of HOWARD HUGHES HOLDINGS INC. that the stockholder(s) is/are entitled to vote at the Annual Meeting of Stockholders to be held at 9:00 A.M., Eastern Time, on Wednesday, September 30, 2026 and at any adjournments or postponements thereof. This proxy, when properly executed, will be voted in the manner directed herein. If no such direction is made, this proxy will be voted FOR the election of the nominees listed on the reverse side for the Board of Directors, and FOR Proposals 2 and 3. This proxy authorizes David R. O'Reilly, Joseph Valane and Carlos A. Olea to vote at their discretion on any other matter that may properly come before the meeting or for any adjournment or postponement of the meeting. Continued and to be signed on reverse side</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2.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1.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7.jpeg"/><Relationship Id="rId16" Type="http://schemas.openxmlformats.org/officeDocument/2006/relationships/image" Target="media/image6.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0.jpeg"/><Relationship Id="rId20" Type="http://schemas.openxmlformats.org/officeDocument/2006/relationships/image" Target="media/image10.jpeg"/><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2.jpeg"/><Relationship Id="rId24" Type="http://schemas.openxmlformats.org/officeDocument/2006/relationships/image" Target="media/image13.jpeg"/><Relationship Id="rId25" Type="http://schemas.openxmlformats.org/officeDocument/2006/relationships/image" Target="media/image13.jpeg"/><Relationship Id="rId26" Type="http://schemas.openxmlformats.org/officeDocument/2006/relationships/image" Target="media/image14.jpeg"/><Relationship Id="rId27" Type="http://schemas.openxmlformats.org/officeDocument/2006/relationships/image" Target="media/image12.jpeg"/><Relationship Id="rId28" Type="http://schemas.openxmlformats.org/officeDocument/2006/relationships/image" Target="media/image12.jpeg"/><Relationship Id="rId29" Type="http://schemas.openxmlformats.org/officeDocument/2006/relationships/image" Target="media/image12.jpeg"/><Relationship Id="rId30" Type="http://schemas.openxmlformats.org/officeDocument/2006/relationships/image" Target="media/image13.jpeg"/><Relationship Id="rId31" Type="http://schemas.openxmlformats.org/officeDocument/2006/relationships/image" Target="media/image13.jpeg"/><Relationship Id="rId32" Type="http://schemas.openxmlformats.org/officeDocument/2006/relationships/image" Target="media/image12.jpeg"/><Relationship Id="rId33" Type="http://schemas.openxmlformats.org/officeDocument/2006/relationships/image" Target="media/image12.jpeg"/><Relationship Id="rId34" Type="http://schemas.openxmlformats.org/officeDocument/2006/relationships/image" Target="media/image12.jpeg"/><Relationship Id="rId35" Type="http://schemas.openxmlformats.org/officeDocument/2006/relationships/image" Target="media/image12.jpeg"/><Relationship Id="rId36" Type="http://schemas.openxmlformats.org/officeDocument/2006/relationships/image" Target="media/image12.jpeg"/><Relationship Id="rId37" Type="http://schemas.openxmlformats.org/officeDocument/2006/relationships/image" Target="media/image13.jpeg"/><Relationship Id="rId38" Type="http://schemas.openxmlformats.org/officeDocument/2006/relationships/image" Target="media/image13.jpeg"/><Relationship Id="rId39" Type="http://schemas.openxmlformats.org/officeDocument/2006/relationships/image" Target="media/image12.jpeg"/><Relationship Id="rId40" Type="http://schemas.openxmlformats.org/officeDocument/2006/relationships/image" Target="media/image11.jpeg"/><Relationship Id="rId41" Type="http://schemas.openxmlformats.org/officeDocument/2006/relationships/image" Target="media/image14.jpeg"/><Relationship Id="rId42" Type="http://schemas.openxmlformats.org/officeDocument/2006/relationships/image" Target="media/image9.jpeg"/><Relationship Id="rId43" Type="http://schemas.openxmlformats.org/officeDocument/2006/relationships/image" Target="media/image15.jpeg"/><Relationship Id="rId44" Type="http://schemas.openxmlformats.org/officeDocument/2006/relationships/image" Target="media/image16.jpeg"/><Relationship Id="rId45" Type="http://schemas.openxmlformats.org/officeDocument/2006/relationships/image" Target="media/image15.jpeg"/><Relationship Id="rId46" Type="http://schemas.openxmlformats.org/officeDocument/2006/relationships/image" Target="media/image16.jpeg"/><Relationship Id="rId47" Type="http://schemas.openxmlformats.org/officeDocument/2006/relationships/image" Target="media/image15.jpeg"/><Relationship Id="rId48" Type="http://schemas.openxmlformats.org/officeDocument/2006/relationships/image" Target="media/image16.jpeg"/><Relationship Id="rId49" Type="http://schemas.openxmlformats.org/officeDocument/2006/relationships/image" Target="media/image15.jpeg"/><Relationship Id="rId50" Type="http://schemas.openxmlformats.org/officeDocument/2006/relationships/image" Target="media/image16.jpeg"/><Relationship Id="rId51" Type="http://schemas.openxmlformats.org/officeDocument/2006/relationships/image" Target="media/image15.jpeg"/><Relationship Id="rId52" Type="http://schemas.openxmlformats.org/officeDocument/2006/relationships/image" Target="media/image16.jpeg"/><Relationship Id="rId53" Type="http://schemas.openxmlformats.org/officeDocument/2006/relationships/image" Target="media/image17.jpeg"/><Relationship Id="rId54" Type="http://schemas.openxmlformats.org/officeDocument/2006/relationships/image" Target="media/image18.jpeg"/><Relationship Id="rId55" Type="http://schemas.openxmlformats.org/officeDocument/2006/relationships/image" Target="media/image19.jpeg"/><Relationship Id="rId56" Type="http://schemas.openxmlformats.org/officeDocument/2006/relationships/image" Target="media/image20.jpeg"/><Relationship Id="rId57" Type="http://schemas.openxmlformats.org/officeDocument/2006/relationships/image" Target="media/image15.jpeg"/><Relationship Id="rId58" Type="http://schemas.openxmlformats.org/officeDocument/2006/relationships/image" Target="media/image16.jpeg"/><Relationship Id="rId59" Type="http://schemas.openxmlformats.org/officeDocument/2006/relationships/image" Target="media/image15.jpeg"/><Relationship Id="rId60" Type="http://schemas.openxmlformats.org/officeDocument/2006/relationships/image" Target="media/image16.jpeg"/><Relationship Id="rId61" Type="http://schemas.openxmlformats.org/officeDocument/2006/relationships/image" Target="media/image15.jpeg"/><Relationship Id="rId62" Type="http://schemas.openxmlformats.org/officeDocument/2006/relationships/image" Target="media/image16.jpeg"/><Relationship Id="rId63" Type="http://schemas.openxmlformats.org/officeDocument/2006/relationships/image" Target="media/image15.jpeg"/><Relationship Id="rId64" Type="http://schemas.openxmlformats.org/officeDocument/2006/relationships/image" Target="media/image16.jpeg"/><Relationship Id="rId65" Type="http://schemas.openxmlformats.org/officeDocument/2006/relationships/image" Target="media/image15.jpeg"/><Relationship Id="rId66" Type="http://schemas.openxmlformats.org/officeDocument/2006/relationships/image" Target="media/image16.jpeg"/><Relationship Id="rId67" Type="http://schemas.openxmlformats.org/officeDocument/2006/relationships/image" Target="media/image15.jpeg"/><Relationship Id="rId68" Type="http://schemas.openxmlformats.org/officeDocument/2006/relationships/image" Target="media/image16.jpeg"/><Relationship Id="rId69" Type="http://schemas.openxmlformats.org/officeDocument/2006/relationships/image" Target="media/image15.jpeg"/><Relationship Id="rId70" Type="http://schemas.openxmlformats.org/officeDocument/2006/relationships/image" Target="media/image16.jpeg"/><Relationship Id="rId71" Type="http://schemas.openxmlformats.org/officeDocument/2006/relationships/image" Target="media/image15.jpeg"/><Relationship Id="rId72" Type="http://schemas.openxmlformats.org/officeDocument/2006/relationships/image" Target="media/image16.jpeg"/><Relationship Id="rId73" Type="http://schemas.openxmlformats.org/officeDocument/2006/relationships/image" Target="media/image9.jpeg"/><Relationship Id="rId74" Type="http://schemas.openxmlformats.org/officeDocument/2006/relationships/image" Target="media/image9.jpeg"/><Relationship Id="rId75" Type="http://schemas.openxmlformats.org/officeDocument/2006/relationships/image" Target="media/image21.jpeg"/><Relationship Id="rId76" Type="http://schemas.openxmlformats.org/officeDocument/2006/relationships/image" Target="media/image21.jpeg"/><Relationship Id="rId77" Type="http://schemas.openxmlformats.org/officeDocument/2006/relationships/image" Target="media/image22.jpeg"/><Relationship Id="rId78" Type="http://schemas.openxmlformats.org/officeDocument/2006/relationships/image" Target="media/image22.jpeg"/><Relationship Id="rId79" Type="http://schemas.openxmlformats.org/officeDocument/2006/relationships/image" Target="media/image22.jpeg"/><Relationship Id="rId80" Type="http://schemas.openxmlformats.org/officeDocument/2006/relationships/image" Target="media/image22.jpeg"/><Relationship Id="rId81" Type="http://schemas.openxmlformats.org/officeDocument/2006/relationships/image" Target="media/image22.jpeg"/><Relationship Id="rId82" Type="http://schemas.openxmlformats.org/officeDocument/2006/relationships/image" Target="media/image23.jpeg"/><Relationship Id="rId83" Type="http://schemas.openxmlformats.org/officeDocument/2006/relationships/image" Target="media/image23.jpeg"/><Relationship Id="rId84" Type="http://schemas.openxmlformats.org/officeDocument/2006/relationships/image" Target="media/image24.jpeg"/><Relationship Id="rId85" Type="http://schemas.openxmlformats.org/officeDocument/2006/relationships/image" Target="media/image25.jpeg"/><Relationship Id="rId86" Type="http://schemas.openxmlformats.org/officeDocument/2006/relationships/image" Target="media/image24.jpeg"/><Relationship Id="rId87" Type="http://schemas.openxmlformats.org/officeDocument/2006/relationships/image" Target="media/image25.jpeg"/><Relationship Id="rId88" Type="http://schemas.openxmlformats.org/officeDocument/2006/relationships/image" Target="media/image26.jpeg"/><Relationship Id="rId89" Type="http://schemas.openxmlformats.org/officeDocument/2006/relationships/image" Target="media/image26.jpeg"/><Relationship Id="rId90" Type="http://schemas.openxmlformats.org/officeDocument/2006/relationships/image" Target="media/image27.jpeg"/><Relationship Id="rId91" Type="http://schemas.openxmlformats.org/officeDocument/2006/relationships/image" Target="media/image28.jpeg"/><Relationship Id="rId92" Type="http://schemas.openxmlformats.org/officeDocument/2006/relationships/image" Target="media/image27.jpeg"/><Relationship Id="rId93" Type="http://schemas.openxmlformats.org/officeDocument/2006/relationships/image" Target="media/image28.jpeg"/><Relationship Id="rId94" Type="http://schemas.openxmlformats.org/officeDocument/2006/relationships/image" Target="media/image29.jpeg"/><Relationship Id="rId95" Type="http://schemas.openxmlformats.org/officeDocument/2006/relationships/image" Target="media/image30.jpeg"/><Relationship Id="rId96" Type="http://schemas.openxmlformats.org/officeDocument/2006/relationships/image" Target="media/image29.jpeg"/><Relationship Id="rId97" Type="http://schemas.openxmlformats.org/officeDocument/2006/relationships/image" Target="media/image30.jpeg"/><Relationship Id="rId98" Type="http://schemas.openxmlformats.org/officeDocument/2006/relationships/image" Target="media/image31.jpeg"/><Relationship Id="rId99" Type="http://schemas.openxmlformats.org/officeDocument/2006/relationships/image" Target="media/image31.jpeg"/><Relationship Id="rId100" Type="http://schemas.openxmlformats.org/officeDocument/2006/relationships/image" Target="media/image32.jpeg"/><Relationship Id="rId101" Type="http://schemas.openxmlformats.org/officeDocument/2006/relationships/image" Target="media/image32.jpeg"/><Relationship Id="rId102" Type="http://schemas.openxmlformats.org/officeDocument/2006/relationships/image" Target="media/image33.jpeg"/><Relationship Id="rId103" Type="http://schemas.openxmlformats.org/officeDocument/2006/relationships/image" Target="media/image33.jpeg"/><Relationship Id="rId104" Type="http://schemas.openxmlformats.org/officeDocument/2006/relationships/image" Target="media/image23.jpeg"/><Relationship Id="rId105" Type="http://schemas.openxmlformats.org/officeDocument/2006/relationships/image" Target="media/image23.jpeg"/><Relationship Id="rId106" Type="http://schemas.openxmlformats.org/officeDocument/2006/relationships/image" Target="media/image28.jpeg"/><Relationship Id="rId107" Type="http://schemas.openxmlformats.org/officeDocument/2006/relationships/image" Target="media/image28.jpeg"/><Relationship Id="rId108" Type="http://schemas.openxmlformats.org/officeDocument/2006/relationships/image" Target="media/image26.jpeg"/><Relationship Id="rId109" Type="http://schemas.openxmlformats.org/officeDocument/2006/relationships/image" Target="media/image26.jpeg"/><Relationship Id="rId110" Type="http://schemas.openxmlformats.org/officeDocument/2006/relationships/image" Target="media/image34.jpeg"/><Relationship Id="rId111" Type="http://schemas.openxmlformats.org/officeDocument/2006/relationships/image" Target="media/image34.jpeg"/><Relationship Id="rId112" Type="http://schemas.openxmlformats.org/officeDocument/2006/relationships/image" Target="media/image35.jpeg"/><Relationship Id="rId113" Type="http://schemas.openxmlformats.org/officeDocument/2006/relationships/image" Target="media/image35.jpeg"/><Relationship Id="rId114" Type="http://schemas.openxmlformats.org/officeDocument/2006/relationships/image" Target="media/image36.jpeg"/><Relationship Id="rId115" Type="http://schemas.openxmlformats.org/officeDocument/2006/relationships/image" Target="media/image36.jpeg"/><Relationship Id="rId116" Type="http://schemas.openxmlformats.org/officeDocument/2006/relationships/image" Target="media/image25.jpeg"/><Relationship Id="rId117" Type="http://schemas.openxmlformats.org/officeDocument/2006/relationships/image" Target="media/image25.jpeg"/><Relationship Id="rId118" Type="http://schemas.openxmlformats.org/officeDocument/2006/relationships/image" Target="media/image37.jpeg"/><Relationship Id="rId119" Type="http://schemas.openxmlformats.org/officeDocument/2006/relationships/image" Target="media/image37.jpeg"/><Relationship Id="rId120" Type="http://schemas.openxmlformats.org/officeDocument/2006/relationships/image" Target="media/image38.jpeg"/><Relationship Id="rId121" Type="http://schemas.openxmlformats.org/officeDocument/2006/relationships/image" Target="media/image39.jpeg"/><Relationship Id="rId122" Type="http://schemas.openxmlformats.org/officeDocument/2006/relationships/image" Target="media/image39.jpeg"/><Relationship Id="rId123" Type="http://schemas.openxmlformats.org/officeDocument/2006/relationships/image" Target="media/image39.jpeg"/><Relationship Id="rId124" Type="http://schemas.openxmlformats.org/officeDocument/2006/relationships/image" Target="media/image39.jpeg"/><Relationship Id="rId125" Type="http://schemas.openxmlformats.org/officeDocument/2006/relationships/image" Target="media/image39.jpeg"/><Relationship Id="rId126" Type="http://schemas.openxmlformats.org/officeDocument/2006/relationships/image" Target="media/image40.jpeg"/><Relationship Id="rId127" Type="http://schemas.openxmlformats.org/officeDocument/2006/relationships/image" Target="media/image41.jpeg"/><Relationship Id="rId128" Type="http://schemas.openxmlformats.org/officeDocument/2006/relationships/image" Target="media/image42.jpeg"/><Relationship Id="rId129" Type="http://schemas.openxmlformats.org/officeDocument/2006/relationships/image" Target="media/image43.jpeg"/><Relationship Id="rId130" Type="http://schemas.openxmlformats.org/officeDocument/2006/relationships/image" Target="media/image44.jpeg"/><Relationship Id="rId131" Type="http://schemas.openxmlformats.org/officeDocument/2006/relationships/image" Target="media/image45.jpeg"/><Relationship Id="rId132" Type="http://schemas.openxmlformats.org/officeDocument/2006/relationships/image" Target="media/image46.jpeg"/><Relationship Id="rId133" Type="http://schemas.openxmlformats.org/officeDocument/2006/relationships/image" Target="media/image47.jpeg"/><Relationship Id="rId134" Type="http://schemas.openxmlformats.org/officeDocument/2006/relationships/image" Target="media/image8.jpeg"/><Relationship Id="rId135" Type="http://schemas.openxmlformats.org/officeDocument/2006/relationships/image" Target="media/image8.jpeg"/><Relationship Id="rId136" Type="http://schemas.openxmlformats.org/officeDocument/2006/relationships/image" Target="media/image48.jpeg"/><Relationship Id="rId137" Type="http://schemas.openxmlformats.org/officeDocument/2006/relationships/image" Target="media/image49.jpeg"/><Relationship Id="rId138" Type="http://schemas.openxmlformats.org/officeDocument/2006/relationships/fontTable" Target="fontTable.xml"/><Relationship Id="rId1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45568</Words>
  <Characters>254298</Characters>
  <CharactersWithSpaces>310643</CharactersWithSpaces>
  <Paragraphs>12867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