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68" w:lineRule="exact"/>
        <w:rPr>
          <w:sz w:val="24"/>
          <w:szCs w:val="24"/>
          <w:color w:val="auto"/>
        </w:rPr>
      </w:pPr>
    </w:p>
    <w:p>
      <w:pPr>
        <w:ind w:left="2260" w:hanging="210"/>
        <w:spacing w:after="0"/>
        <w:tabs>
          <w:tab w:leader="none" w:pos="2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2026</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5" w:lineRule="exact"/>
        <w:rPr>
          <w:sz w:val="24"/>
          <w:szCs w:val="24"/>
          <w:color w:val="auto"/>
        </w:rPr>
      </w:pPr>
    </w:p>
    <w:p>
      <w:pPr>
        <w:ind w:left="4200" w:right="1900" w:hanging="2049"/>
        <w:spacing w:after="0" w:line="474" w:lineRule="auto"/>
        <w:tabs>
          <w:tab w:leader="none" w:pos="235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001-41779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24130</wp:posOffset>
            </wp:positionV>
            <wp:extent cx="123444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500"/>
        <w:spacing w:after="0"/>
        <w:rPr>
          <w:sz w:val="20"/>
          <w:szCs w:val="20"/>
          <w:color w:val="auto"/>
        </w:rPr>
      </w:pPr>
      <w:r>
        <w:rPr>
          <w:rFonts w:ascii="Arial" w:cs="Arial" w:eastAsia="Arial" w:hAnsi="Arial"/>
          <w:sz w:val="25"/>
          <w:szCs w:val="25"/>
          <w:b w:val="1"/>
          <w:bCs w:val="1"/>
          <w:color w:val="auto"/>
        </w:rPr>
        <w:t>HOWARD HUGHES HOLDINGS INC.</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23" w:right="339" w:bottom="1440" w:gutter="0" w:footer="0" w:header="0"/>
        </w:sectPr>
      </w:pPr>
    </w:p>
    <w:p>
      <w:pPr>
        <w:spacing w:after="0" w:line="126"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right="3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93-1869991</w:t>
      </w:r>
    </w:p>
    <w:p>
      <w:pPr>
        <w:spacing w:after="0" w:line="40"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 Identification Number)</w:t>
      </w:r>
    </w:p>
    <w:p>
      <w:pPr>
        <w:spacing w:after="0" w:line="200" w:lineRule="exact"/>
        <w:rPr>
          <w:sz w:val="24"/>
          <w:szCs w:val="24"/>
          <w:color w:val="auto"/>
        </w:rPr>
      </w:pPr>
    </w:p>
    <w:p>
      <w:pPr>
        <w:sectPr>
          <w:pgSz w:w="11900" w:h="16838" w:orient="portrait"/>
          <w:cols w:equalWidth="0" w:num="2">
            <w:col w:w="6260" w:space="720"/>
            <w:col w:w="4260"/>
          </w:cols>
          <w:pgMar w:left="320" w:top="1023"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9950 Woodloch Forest Drive, Suite 1100, The Woodlands, Texas 77380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 719-6100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Title of each class</w:t>
            </w:r>
          </w:p>
        </w:tc>
        <w:tc>
          <w:tcPr>
            <w:tcW w:w="2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Trading Symbol</w:t>
            </w:r>
          </w:p>
        </w:tc>
        <w:tc>
          <w:tcPr>
            <w:tcW w:w="4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20" w:type="dxa"/>
            <w:vAlign w:val="bottom"/>
          </w:tcPr>
          <w:p>
            <w:pPr>
              <w:spacing w:after="0"/>
              <w:rPr>
                <w:sz w:val="18"/>
                <w:szCs w:val="18"/>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HHH</w:t>
            </w:r>
          </w:p>
        </w:tc>
        <w:tc>
          <w:tcPr>
            <w:tcW w:w="140" w:type="dxa"/>
            <w:vAlign w:val="bottom"/>
          </w:tcPr>
          <w:p>
            <w:pPr>
              <w:spacing w:after="0"/>
              <w:rPr>
                <w:sz w:val="18"/>
                <w:szCs w:val="18"/>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0"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120"/>
        <w:spacing w:after="0" w:line="207" w:lineRule="exact"/>
        <w:tabs>
          <w:tab w:leader="none" w:pos="10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10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10100"/>
        <w:spacing w:after="0" w:line="207" w:lineRule="exact"/>
        <w:tabs>
          <w:tab w:leader="none" w:pos="10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9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6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4" w:lineRule="exact"/>
        <w:rPr>
          <w:sz w:val="24"/>
          <w:szCs w:val="24"/>
          <w:color w:val="auto"/>
        </w:rPr>
      </w:pPr>
    </w:p>
    <w:p>
      <w:pPr>
        <w:ind w:left="7540"/>
        <w:spacing w:after="0" w:line="207" w:lineRule="exact"/>
        <w:tabs>
          <w:tab w:leader="none" w:pos="82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outstanding as of October 29, 2026, was 59,716,007.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200" w:type="dxa"/>
            <w:vAlign w:val="bottom"/>
            <w:gridSpan w:val="2"/>
          </w:tcPr>
          <w:p>
            <w:pPr>
              <w:ind w:left="800"/>
              <w:spacing w:after="0"/>
              <w:rPr>
                <w:sz w:val="20"/>
                <w:szCs w:val="20"/>
                <w:color w:val="auto"/>
              </w:rPr>
            </w:pPr>
            <w:r>
              <w:rPr>
                <w:rFonts w:ascii="Arial" w:cs="Arial" w:eastAsia="Arial" w:hAnsi="Arial"/>
                <w:sz w:val="18"/>
                <w:szCs w:val="18"/>
                <w:color w:val="828282"/>
                <w:w w:val="97"/>
              </w:rPr>
              <w:t>Table of Contents</w:t>
            </w:r>
          </w:p>
        </w:tc>
      </w:tr>
      <w:tr>
        <w:trPr>
          <w:trHeight w:val="941"/>
        </w:trPr>
        <w:tc>
          <w:tcPr>
            <w:tcW w:w="9040" w:type="dxa"/>
            <w:vAlign w:val="bottom"/>
            <w:gridSpan w:val="2"/>
          </w:tcPr>
          <w:p>
            <w:pPr>
              <w:ind w:left="20"/>
              <w:spacing w:after="0"/>
              <w:rPr>
                <w:sz w:val="20"/>
                <w:szCs w:val="20"/>
                <w:color w:val="auto"/>
              </w:rPr>
            </w:pPr>
            <w:r>
              <w:rPr>
                <w:rFonts w:ascii="Arial" w:cs="Arial" w:eastAsia="Arial" w:hAnsi="Arial"/>
                <w:sz w:val="22"/>
                <w:szCs w:val="22"/>
                <w:b w:val="1"/>
                <w:bCs w:val="1"/>
                <w:color w:val="00497F"/>
              </w:rPr>
              <w:t>TABLE OF CONTENTS</w:t>
            </w:r>
          </w:p>
        </w:tc>
        <w:tc>
          <w:tcPr>
            <w:tcW w:w="2200" w:type="dxa"/>
            <w:vAlign w:val="bottom"/>
            <w:gridSpan w:val="2"/>
          </w:tcPr>
          <w:p>
            <w:pPr>
              <w:ind w:left="1640"/>
              <w:spacing w:after="0"/>
              <w:rPr>
                <w:sz w:val="20"/>
                <w:szCs w:val="20"/>
                <w:color w:val="auto"/>
              </w:rPr>
            </w:pPr>
            <w:r>
              <w:rPr>
                <w:rFonts w:ascii="Arial" w:cs="Arial" w:eastAsia="Arial" w:hAnsi="Arial"/>
                <w:sz w:val="17"/>
                <w:szCs w:val="17"/>
                <w:color w:val="auto"/>
              </w:rPr>
              <w:t>Page</w:t>
            </w:r>
          </w:p>
        </w:tc>
      </w:tr>
      <w:tr>
        <w:trPr>
          <w:trHeight w:val="223"/>
        </w:trPr>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PART I</w:t>
            </w:r>
          </w:p>
        </w:tc>
        <w:tc>
          <w:tcPr>
            <w:tcW w:w="820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1.</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Financial Statements</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8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Arial" w:cs="Arial" w:eastAsia="Arial" w:hAnsi="Arial"/>
                <w:sz w:val="17"/>
                <w:szCs w:val="17"/>
                <w:color w:val="auto"/>
              </w:rPr>
              <w:t>Condensed Consolidated Financial Statements (Unaudited)</w:t>
            </w:r>
          </w:p>
        </w:tc>
        <w:tc>
          <w:tcPr>
            <w:tcW w:w="21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Condensed Consolidated Balance Sheets</w:t>
            </w:r>
          </w:p>
        </w:tc>
        <w:tc>
          <w:tcPr>
            <w:tcW w:w="21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Condensed Consolidated Statements of Operations</w:t>
            </w:r>
          </w:p>
        </w:tc>
        <w:tc>
          <w:tcPr>
            <w:tcW w:w="218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Condensed Consolidated Statements of Comprehensive Income (Loss)</w:t>
            </w:r>
          </w:p>
        </w:tc>
        <w:tc>
          <w:tcPr>
            <w:tcW w:w="218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Condensed Consolidated Statements of Equity</w:t>
            </w:r>
          </w:p>
        </w:tc>
        <w:tc>
          <w:tcPr>
            <w:tcW w:w="218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Condensed Consolidated Statements of Cash Flows</w:t>
            </w:r>
          </w:p>
        </w:tc>
        <w:tc>
          <w:tcPr>
            <w:tcW w:w="218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Arial" w:cs="Arial" w:eastAsia="Arial" w:hAnsi="Arial"/>
                <w:sz w:val="17"/>
                <w:szCs w:val="17"/>
                <w:color w:val="auto"/>
              </w:rPr>
              <w:t>Notes to Condensed Consolidated Financial Statements</w:t>
            </w:r>
          </w:p>
        </w:tc>
        <w:tc>
          <w:tcPr>
            <w:tcW w:w="218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 Presentation of Financial Statements and Significant Accounting Policies</w:t>
            </w:r>
          </w:p>
        </w:tc>
        <w:tc>
          <w:tcPr>
            <w:tcW w:w="218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2. Vantage Acquisition</w:t>
            </w:r>
          </w:p>
        </w:tc>
        <w:tc>
          <w:tcPr>
            <w:tcW w:w="218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3. Pershing Square</w:t>
            </w:r>
          </w:p>
        </w:tc>
        <w:tc>
          <w:tcPr>
            <w:tcW w:w="218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4. Investments in Fixed Maturity and Equity Securities</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5. Investments in Unconsolidated Ventures</w:t>
            </w:r>
          </w:p>
        </w:tc>
        <w:tc>
          <w:tcPr>
            <w:tcW w:w="218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6. Mortgages, Notes, and Loans Payable, Net</w:t>
            </w:r>
          </w:p>
        </w:tc>
        <w:tc>
          <w:tcPr>
            <w:tcW w:w="218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7. Derivative Instruments and Hedging Activities</w:t>
            </w:r>
          </w:p>
        </w:tc>
        <w:tc>
          <w:tcPr>
            <w:tcW w:w="21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8. Fair Value</w:t>
            </w:r>
          </w:p>
        </w:tc>
        <w:tc>
          <w:tcPr>
            <w:tcW w:w="218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9. Reserves for Claims and Claim Expenses</w:t>
            </w:r>
          </w:p>
        </w:tc>
        <w:tc>
          <w:tcPr>
            <w:tcW w:w="2180" w:type="dxa"/>
            <w:vAlign w:val="bottom"/>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10. Acquisitions and Dispositions of Real Estate Assets</w:t>
            </w:r>
          </w:p>
        </w:tc>
        <w:tc>
          <w:tcPr>
            <w:tcW w:w="21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11. Other Assets and Liabilities</w:t>
            </w:r>
          </w:p>
        </w:tc>
        <w:tc>
          <w:tcPr>
            <w:tcW w:w="21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12. Commitments and Contingencies</w:t>
            </w:r>
          </w:p>
        </w:tc>
        <w:tc>
          <w:tcPr>
            <w:tcW w:w="21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13. Income Taxes</w:t>
            </w:r>
          </w:p>
        </w:tc>
        <w:tc>
          <w:tcPr>
            <w:tcW w:w="21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14. Warrants</w:t>
            </w:r>
          </w:p>
        </w:tc>
        <w:tc>
          <w:tcPr>
            <w:tcW w:w="21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15. Accumulated Other Comprehensive Income (Loss)</w:t>
            </w:r>
          </w:p>
        </w:tc>
        <w:tc>
          <w:tcPr>
            <w:tcW w:w="218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16. Earnings Per Share</w:t>
            </w:r>
          </w:p>
        </w:tc>
        <w:tc>
          <w:tcPr>
            <w:tcW w:w="218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17. Revenues</w:t>
            </w:r>
          </w:p>
        </w:tc>
        <w:tc>
          <w:tcPr>
            <w:tcW w:w="218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18. Leases</w:t>
            </w:r>
          </w:p>
        </w:tc>
        <w:tc>
          <w:tcPr>
            <w:tcW w:w="218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7"/>
                <w:szCs w:val="17"/>
                <w:color w:val="auto"/>
              </w:rPr>
              <w:t>Note 19. Segments</w:t>
            </w:r>
          </w:p>
        </w:tc>
        <w:tc>
          <w:tcPr>
            <w:tcW w:w="218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9"/>
                <w:szCs w:val="19"/>
                <w:color w:val="auto"/>
              </w:rPr>
            </w:pPr>
          </w:p>
        </w:tc>
      </w:tr>
      <w:tr>
        <w:trPr>
          <w:trHeight w:val="234"/>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2.</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tc>
        <w:tc>
          <w:tcPr>
            <w:tcW w:w="218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20"/>
                <w:szCs w:val="20"/>
                <w:color w:val="auto"/>
              </w:rPr>
            </w:pPr>
          </w:p>
        </w:tc>
      </w:tr>
      <w:tr>
        <w:trPr>
          <w:trHeight w:val="225"/>
        </w:trPr>
        <w:tc>
          <w:tcPr>
            <w:tcW w:w="8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Arial" w:cs="Arial" w:eastAsia="Arial" w:hAnsi="Arial"/>
                <w:sz w:val="17"/>
                <w:szCs w:val="17"/>
                <w:color w:val="auto"/>
              </w:rPr>
              <w:t>Forward-Looking Information</w:t>
            </w:r>
          </w:p>
        </w:tc>
        <w:tc>
          <w:tcPr>
            <w:tcW w:w="2180" w:type="dxa"/>
            <w:vAlign w:val="bottom"/>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Arial" w:cs="Arial" w:eastAsia="Arial" w:hAnsi="Arial"/>
                <w:sz w:val="17"/>
                <w:szCs w:val="17"/>
                <w:color w:val="auto"/>
              </w:rPr>
              <w:t>Overview</w:t>
            </w:r>
          </w:p>
        </w:tc>
        <w:tc>
          <w:tcPr>
            <w:tcW w:w="2180" w:type="dxa"/>
            <w:vAlign w:val="bottom"/>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Arial" w:cs="Arial" w:eastAsia="Arial" w:hAnsi="Arial"/>
                <w:sz w:val="17"/>
                <w:szCs w:val="17"/>
                <w:color w:val="auto"/>
              </w:rPr>
              <w:t>Results of Operations</w:t>
            </w:r>
          </w:p>
        </w:tc>
        <w:tc>
          <w:tcPr>
            <w:tcW w:w="2180" w:type="dxa"/>
            <w:vAlign w:val="bottom"/>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Arial" w:cs="Arial" w:eastAsia="Arial" w:hAnsi="Arial"/>
                <w:sz w:val="17"/>
                <w:szCs w:val="17"/>
                <w:color w:val="auto"/>
              </w:rPr>
              <w:t>Liquidity and Capital Resources</w:t>
            </w:r>
          </w:p>
        </w:tc>
        <w:tc>
          <w:tcPr>
            <w:tcW w:w="218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Arial" w:cs="Arial" w:eastAsia="Arial" w:hAnsi="Arial"/>
                <w:sz w:val="17"/>
                <w:szCs w:val="17"/>
                <w:color w:val="auto"/>
              </w:rPr>
              <w:t>Critical Accounting Policies and Estimates</w:t>
            </w:r>
          </w:p>
        </w:tc>
        <w:tc>
          <w:tcPr>
            <w:tcW w:w="218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9"/>
                <w:szCs w:val="19"/>
                <w:color w:val="auto"/>
              </w:rPr>
            </w:pPr>
          </w:p>
        </w:tc>
      </w:tr>
      <w:tr>
        <w:trPr>
          <w:trHeight w:val="234"/>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3.</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Quantitative and Qualitative Disclosures about Market Risk</w:t>
            </w:r>
          </w:p>
        </w:tc>
        <w:tc>
          <w:tcPr>
            <w:tcW w:w="218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20"/>
                <w:szCs w:val="20"/>
                <w:color w:val="auto"/>
              </w:rPr>
            </w:pPr>
          </w:p>
        </w:tc>
      </w:tr>
      <w:tr>
        <w:trPr>
          <w:trHeight w:val="236"/>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Item 4.</w:t>
            </w:r>
          </w:p>
        </w:tc>
        <w:tc>
          <w:tcPr>
            <w:tcW w:w="82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Controls and Procedures</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20"/>
                <w:szCs w:val="20"/>
                <w:color w:val="auto"/>
              </w:rPr>
            </w:pPr>
          </w:p>
        </w:tc>
      </w:tr>
      <w:tr>
        <w:trPr>
          <w:trHeight w:val="22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PART II</w:t>
            </w:r>
          </w:p>
        </w:tc>
        <w:tc>
          <w:tcPr>
            <w:tcW w:w="8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1.</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Legal Proceedings</w:t>
            </w:r>
          </w:p>
        </w:tc>
        <w:tc>
          <w:tcPr>
            <w:tcW w:w="2180" w:type="dxa"/>
            <w:vAlign w:val="bottom"/>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r>
      <w:tr>
        <w:trPr>
          <w:trHeight w:val="230"/>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1A.</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Risk Factors</w:t>
            </w:r>
          </w:p>
        </w:tc>
        <w:tc>
          <w:tcPr>
            <w:tcW w:w="2180" w:type="dxa"/>
            <w:vAlign w:val="bottom"/>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2.</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Unregistered Sales of Equity Securities and Use of Proceeds</w:t>
            </w:r>
          </w:p>
        </w:tc>
        <w:tc>
          <w:tcPr>
            <w:tcW w:w="218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9"/>
                <w:szCs w:val="19"/>
                <w:color w:val="auto"/>
              </w:rPr>
            </w:pPr>
          </w:p>
        </w:tc>
      </w:tr>
      <w:tr>
        <w:trPr>
          <w:trHeight w:val="229"/>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3.</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Defaults Upon Senior Securities</w:t>
            </w:r>
          </w:p>
        </w:tc>
        <w:tc>
          <w:tcPr>
            <w:tcW w:w="218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4.</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Mine Safety Disclosures</w:t>
            </w:r>
          </w:p>
        </w:tc>
        <w:tc>
          <w:tcPr>
            <w:tcW w:w="218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9"/>
                <w:szCs w:val="19"/>
                <w:color w:val="auto"/>
              </w:rPr>
            </w:pPr>
          </w:p>
        </w:tc>
      </w:tr>
      <w:tr>
        <w:trPr>
          <w:trHeight w:val="230"/>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5.</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Other Information</w:t>
            </w:r>
          </w:p>
        </w:tc>
        <w:tc>
          <w:tcPr>
            <w:tcW w:w="218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9"/>
                <w:szCs w:val="19"/>
                <w:color w:val="auto"/>
              </w:rPr>
            </w:pPr>
          </w:p>
        </w:tc>
      </w:tr>
      <w:tr>
        <w:trPr>
          <w:trHeight w:val="235"/>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6.</w:t>
            </w:r>
          </w:p>
        </w:tc>
        <w:tc>
          <w:tcPr>
            <w:tcW w:w="8200" w:type="dxa"/>
            <w:vAlign w:val="bottom"/>
          </w:tcPr>
          <w:p>
            <w:pPr>
              <w:ind w:left="140"/>
              <w:spacing w:after="0"/>
              <w:rPr>
                <w:sz w:val="20"/>
                <w:szCs w:val="20"/>
                <w:color w:val="auto"/>
              </w:rPr>
            </w:pPr>
            <w:r>
              <w:rPr>
                <w:rFonts w:ascii="Arial" w:cs="Arial" w:eastAsia="Arial" w:hAnsi="Arial"/>
                <w:sz w:val="17"/>
                <w:szCs w:val="17"/>
                <w:b w:val="1"/>
                <w:bCs w:val="1"/>
                <w:color w:val="auto"/>
              </w:rPr>
              <w:t>Exhibits</w:t>
            </w:r>
          </w:p>
        </w:tc>
        <w:tc>
          <w:tcPr>
            <w:tcW w:w="2180" w:type="dxa"/>
            <w:vAlign w:val="bottom"/>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20"/>
                <w:szCs w:val="20"/>
                <w:color w:val="auto"/>
              </w:rPr>
            </w:pPr>
          </w:p>
        </w:tc>
      </w:tr>
      <w:tr>
        <w:trPr>
          <w:trHeight w:val="1306"/>
        </w:trPr>
        <w:tc>
          <w:tcPr>
            <w:tcW w:w="84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828282"/>
                <w:w w:val="98"/>
              </w:rPr>
              <w:t>Table of Contents</w:t>
            </w:r>
          </w:p>
        </w:tc>
        <w:tc>
          <w:tcPr>
            <w:tcW w:w="0" w:type="dxa"/>
            <w:vAlign w:val="bottom"/>
          </w:tcPr>
          <w:p>
            <w:pPr>
              <w:spacing w:after="0"/>
              <w:rPr>
                <w:sz w:val="1"/>
                <w:szCs w:val="1"/>
                <w:color w:val="auto"/>
              </w:rPr>
            </w:pPr>
          </w:p>
        </w:tc>
      </w:tr>
      <w:tr>
        <w:trPr>
          <w:trHeight w:val="299"/>
        </w:trPr>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20" w:type="dxa"/>
            <w:vAlign w:val="bottom"/>
            <w:shd w:val="clear" w:color="auto" w:fill="000000"/>
          </w:tcPr>
          <w:p>
            <w:pPr>
              <w:ind w:left="5280"/>
              <w:spacing w:after="0"/>
              <w:rPr>
                <w:sz w:val="20"/>
                <w:szCs w:val="20"/>
                <w:color w:val="auto"/>
              </w:rPr>
            </w:pPr>
            <w:r>
              <w:rPr>
                <w:rFonts w:ascii="Arial" w:cs="Arial" w:eastAsia="Arial" w:hAnsi="Arial"/>
                <w:sz w:val="22"/>
                <w:szCs w:val="22"/>
                <w:b w:val="1"/>
                <w:bCs w:val="1"/>
                <w:color w:val="FFFFFF"/>
              </w:rPr>
              <w:t>PART I</w:t>
            </w:r>
          </w:p>
        </w:tc>
        <w:tc>
          <w:tcPr>
            <w:tcW w:w="180" w:type="dxa"/>
            <w:vAlign w:val="bottom"/>
            <w:shd w:val="clear" w:color="auto" w:fill="000000"/>
          </w:tcPr>
          <w:p>
            <w:pPr>
              <w:spacing w:after="0"/>
              <w:rPr>
                <w:sz w:val="23"/>
                <w:szCs w:val="23"/>
                <w:color w:val="auto"/>
              </w:rPr>
            </w:pPr>
          </w:p>
        </w:tc>
        <w:tc>
          <w:tcPr>
            <w:tcW w:w="1480" w:type="dxa"/>
            <w:vAlign w:val="bottom"/>
            <w:shd w:val="clear" w:color="auto" w:fill="000000"/>
          </w:tcPr>
          <w:p>
            <w:pPr>
              <w:spacing w:after="0"/>
              <w:rPr>
                <w:sz w:val="23"/>
                <w:szCs w:val="23"/>
                <w:color w:val="auto"/>
              </w:rPr>
            </w:pPr>
          </w:p>
        </w:tc>
        <w:tc>
          <w:tcPr>
            <w:tcW w:w="220" w:type="dxa"/>
            <w:vAlign w:val="bottom"/>
            <w:shd w:val="clear" w:color="auto" w:fill="000000"/>
          </w:tcPr>
          <w:p>
            <w:pPr>
              <w:spacing w:after="0"/>
              <w:rPr>
                <w:sz w:val="23"/>
                <w:szCs w:val="23"/>
                <w:color w:val="auto"/>
              </w:rPr>
            </w:pPr>
          </w:p>
        </w:tc>
        <w:tc>
          <w:tcPr>
            <w:tcW w:w="144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80"/>
        </w:trPr>
        <w:tc>
          <w:tcPr>
            <w:tcW w:w="7920" w:type="dxa"/>
            <w:vAlign w:val="bottom"/>
          </w:tcPr>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line="216" w:lineRule="exact"/>
              <w:rPr>
                <w:sz w:val="20"/>
                <w:szCs w:val="20"/>
                <w:color w:val="auto"/>
              </w:rPr>
            </w:pPr>
            <w:r>
              <w:rPr>
                <w:rFonts w:ascii="Arial" w:cs="Arial" w:eastAsia="Arial" w:hAnsi="Arial"/>
                <w:sz w:val="19"/>
                <w:szCs w:val="19"/>
                <w:b w:val="1"/>
                <w:bCs w:val="1"/>
                <w:color w:val="00497F"/>
              </w:rPr>
              <w:t>HOWARD HUGHES HOLDINGS INC.</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9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00497F"/>
              </w:rPr>
              <w:t>CONDENSED CONSOLIDATED BALANCE SHEETS (Unaudited)</w:t>
            </w: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7920" w:type="dxa"/>
            <w:vAlign w:val="bottom"/>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 except par values and share amounts</w:t>
            </w:r>
          </w:p>
        </w:tc>
        <w:tc>
          <w:tcPr>
            <w:tcW w:w="180" w:type="dxa"/>
            <w:vAlign w:val="bottom"/>
            <w:shd w:val="clear" w:color="auto" w:fill="D8D8D8"/>
          </w:tcPr>
          <w:p>
            <w:pPr>
              <w:spacing w:after="0"/>
              <w:rPr>
                <w:sz w:val="14"/>
                <w:szCs w:val="14"/>
                <w:color w:val="auto"/>
              </w:rPr>
            </w:pPr>
          </w:p>
        </w:tc>
        <w:tc>
          <w:tcPr>
            <w:tcW w:w="1480" w:type="dxa"/>
            <w:vAlign w:val="bottom"/>
            <w:shd w:val="clear" w:color="auto" w:fill="D8D8D8"/>
          </w:tcPr>
          <w:p>
            <w:pPr>
              <w:jc w:val="right"/>
              <w:ind w:right="175"/>
              <w:spacing w:after="0" w:line="166" w:lineRule="exact"/>
              <w:rPr>
                <w:sz w:val="20"/>
                <w:szCs w:val="20"/>
                <w:color w:val="auto"/>
              </w:rPr>
            </w:pPr>
            <w:r>
              <w:rPr>
                <w:rFonts w:ascii="Arial" w:cs="Arial" w:eastAsia="Arial" w:hAnsi="Arial"/>
                <w:sz w:val="17"/>
                <w:szCs w:val="17"/>
                <w:b w:val="1"/>
                <w:bCs w:val="1"/>
                <w:color w:val="auto"/>
              </w:rPr>
              <w:t>September 30,</w:t>
            </w:r>
          </w:p>
        </w:tc>
        <w:tc>
          <w:tcPr>
            <w:tcW w:w="1660" w:type="dxa"/>
            <w:vAlign w:val="bottom"/>
            <w:gridSpan w:val="2"/>
            <w:vMerge w:val="restart"/>
            <w:shd w:val="clear" w:color="auto" w:fill="D8D8D8"/>
          </w:tcPr>
          <w:p>
            <w:pPr>
              <w:jc w:val="right"/>
              <w:spacing w:after="0"/>
              <w:rPr>
                <w:sz w:val="20"/>
                <w:szCs w:val="20"/>
                <w:color w:val="auto"/>
              </w:rPr>
            </w:pPr>
            <w:r>
              <w:rPr>
                <w:rFonts w:ascii="Arial" w:cs="Arial" w:eastAsia="Arial" w:hAnsi="Arial"/>
                <w:sz w:val="17"/>
                <w:szCs w:val="17"/>
                <w:color w:val="auto"/>
              </w:rPr>
              <w:t>December 31, 2025</w:t>
            </w:r>
          </w:p>
        </w:tc>
        <w:tc>
          <w:tcPr>
            <w:tcW w:w="0" w:type="dxa"/>
            <w:vAlign w:val="bottom"/>
          </w:tcPr>
          <w:p>
            <w:pPr>
              <w:spacing w:after="0"/>
              <w:rPr>
                <w:sz w:val="1"/>
                <w:szCs w:val="1"/>
                <w:color w:val="auto"/>
              </w:rPr>
            </w:pPr>
          </w:p>
        </w:tc>
      </w:tr>
      <w:tr>
        <w:trPr>
          <w:trHeight w:val="225"/>
        </w:trPr>
        <w:tc>
          <w:tcPr>
            <w:tcW w:w="792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1480" w:type="dxa"/>
            <w:vAlign w:val="bottom"/>
            <w:tcBorders>
              <w:bottom w:val="single" w:sz="8" w:color="auto"/>
            </w:tcBorders>
            <w:shd w:val="clear" w:color="auto" w:fill="D8D8D8"/>
          </w:tcPr>
          <w:p>
            <w:pPr>
              <w:jc w:val="right"/>
              <w:ind w:right="555"/>
              <w:spacing w:after="0"/>
              <w:rPr>
                <w:sz w:val="20"/>
                <w:szCs w:val="20"/>
                <w:color w:val="auto"/>
              </w:rPr>
            </w:pPr>
            <w:r>
              <w:rPr>
                <w:rFonts w:ascii="Arial" w:cs="Arial" w:eastAsia="Arial" w:hAnsi="Arial"/>
                <w:sz w:val="17"/>
                <w:szCs w:val="17"/>
                <w:b w:val="1"/>
                <w:bCs w:val="1"/>
                <w:color w:val="auto"/>
              </w:rPr>
              <w:t>2026</w:t>
            </w:r>
          </w:p>
        </w:tc>
        <w:tc>
          <w:tcPr>
            <w:tcW w:w="1660" w:type="dxa"/>
            <w:vAlign w:val="bottom"/>
            <w:tcBorders>
              <w:bottom w:val="single" w:sz="8" w:color="auto"/>
            </w:tcBorders>
            <w:gridSpan w:val="2"/>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40"/>
              <w:spacing w:after="0"/>
              <w:rPr>
                <w:sz w:val="20"/>
                <w:szCs w:val="20"/>
                <w:color w:val="auto"/>
              </w:rPr>
            </w:pPr>
            <w:r>
              <w:rPr>
                <w:rFonts w:ascii="Arial" w:cs="Arial" w:eastAsia="Arial" w:hAnsi="Arial"/>
                <w:sz w:val="17"/>
                <w:szCs w:val="17"/>
                <w:color w:val="auto"/>
              </w:rPr>
              <w:t>Master Planned Communities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2,948,512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2,635,077</w:t>
            </w:r>
          </w:p>
        </w:tc>
        <w:tc>
          <w:tcPr>
            <w:tcW w:w="0" w:type="dxa"/>
            <w:vAlign w:val="bottom"/>
          </w:tcPr>
          <w:p>
            <w:pPr>
              <w:spacing w:after="0"/>
              <w:rPr>
                <w:sz w:val="1"/>
                <w:szCs w:val="1"/>
                <w:color w:val="auto"/>
              </w:rPr>
            </w:pPr>
          </w:p>
        </w:tc>
      </w:tr>
      <w:tr>
        <w:trPr>
          <w:trHeight w:val="230"/>
        </w:trPr>
        <w:tc>
          <w:tcPr>
            <w:tcW w:w="7920" w:type="dxa"/>
            <w:vAlign w:val="bottom"/>
          </w:tcPr>
          <w:p>
            <w:pPr>
              <w:ind w:left="140"/>
              <w:spacing w:after="0"/>
              <w:rPr>
                <w:sz w:val="20"/>
                <w:szCs w:val="20"/>
                <w:color w:val="auto"/>
              </w:rPr>
            </w:pPr>
            <w:r>
              <w:rPr>
                <w:rFonts w:ascii="Arial" w:cs="Arial" w:eastAsia="Arial" w:hAnsi="Arial"/>
                <w:sz w:val="17"/>
                <w:szCs w:val="17"/>
                <w:color w:val="auto"/>
              </w:rPr>
              <w:t>Buildings and equipment</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4,071,990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4,028,862</w:t>
            </w:r>
          </w:p>
        </w:tc>
        <w:tc>
          <w:tcPr>
            <w:tcW w:w="0" w:type="dxa"/>
            <w:vAlign w:val="bottom"/>
          </w:tcPr>
          <w:p>
            <w:pPr>
              <w:spacing w:after="0"/>
              <w:rPr>
                <w:sz w:val="1"/>
                <w:szCs w:val="1"/>
                <w:color w:val="auto"/>
              </w:rPr>
            </w:pPr>
          </w:p>
        </w:tc>
      </w:tr>
      <w:tr>
        <w:trPr>
          <w:trHeight w:val="229"/>
        </w:trPr>
        <w:tc>
          <w:tcPr>
            <w:tcW w:w="7920" w:type="dxa"/>
            <w:vAlign w:val="bottom"/>
          </w:tcPr>
          <w:p>
            <w:pPr>
              <w:ind w:left="140"/>
              <w:spacing w:after="0"/>
              <w:rPr>
                <w:sz w:val="20"/>
                <w:szCs w:val="20"/>
                <w:color w:val="auto"/>
              </w:rPr>
            </w:pPr>
            <w:r>
              <w:rPr>
                <w:rFonts w:ascii="Arial" w:cs="Arial" w:eastAsia="Arial" w:hAnsi="Arial"/>
                <w:sz w:val="17"/>
                <w:szCs w:val="17"/>
                <w:color w:val="auto"/>
              </w:rPr>
              <w:t>Less: accumulated depreciation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(1,147,577)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(1,082,124)</w:t>
            </w:r>
          </w:p>
        </w:tc>
        <w:tc>
          <w:tcPr>
            <w:tcW w:w="0" w:type="dxa"/>
            <w:vAlign w:val="bottom"/>
          </w:tcPr>
          <w:p>
            <w:pPr>
              <w:spacing w:after="0"/>
              <w:rPr>
                <w:sz w:val="1"/>
                <w:szCs w:val="1"/>
                <w:color w:val="auto"/>
              </w:rPr>
            </w:pPr>
          </w:p>
        </w:tc>
      </w:tr>
      <w:tr>
        <w:trPr>
          <w:trHeight w:val="229"/>
        </w:trPr>
        <w:tc>
          <w:tcPr>
            <w:tcW w:w="7920" w:type="dxa"/>
            <w:vAlign w:val="bottom"/>
          </w:tcPr>
          <w:p>
            <w:pPr>
              <w:ind w:left="140"/>
              <w:spacing w:after="0"/>
              <w:rPr>
                <w:sz w:val="20"/>
                <w:szCs w:val="20"/>
                <w:color w:val="auto"/>
              </w:rPr>
            </w:pPr>
            <w:r>
              <w:rPr>
                <w:rFonts w:ascii="Arial" w:cs="Arial" w:eastAsia="Arial" w:hAnsi="Arial"/>
                <w:sz w:val="17"/>
                <w:szCs w:val="17"/>
                <w:color w:val="auto"/>
              </w:rPr>
              <w:t>Land</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323,754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307,625</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Developments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1,158,230</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1,477,615</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7"/>
                <w:szCs w:val="17"/>
                <w:color w:val="auto"/>
              </w:rPr>
              <w:t>Net investment in real estate</w:t>
            </w:r>
          </w:p>
        </w:tc>
        <w:tc>
          <w:tcPr>
            <w:tcW w:w="18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7,354,909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7,367,055</w:t>
            </w:r>
          </w:p>
        </w:tc>
        <w:tc>
          <w:tcPr>
            <w:tcW w:w="0" w:type="dxa"/>
            <w:vAlign w:val="bottom"/>
          </w:tcPr>
          <w:p>
            <w:pPr>
              <w:spacing w:after="0"/>
              <w:rPr>
                <w:sz w:val="1"/>
                <w:szCs w:val="1"/>
                <w:color w:val="auto"/>
              </w:rPr>
            </w:pPr>
          </w:p>
        </w:tc>
      </w:tr>
      <w:tr>
        <w:trPr>
          <w:trHeight w:val="230"/>
        </w:trPr>
        <w:tc>
          <w:tcPr>
            <w:tcW w:w="7920" w:type="dxa"/>
            <w:vAlign w:val="bottom"/>
          </w:tcPr>
          <w:p>
            <w:pPr>
              <w:ind w:left="40"/>
              <w:spacing w:after="0"/>
              <w:rPr>
                <w:sz w:val="20"/>
                <w:szCs w:val="20"/>
                <w:color w:val="auto"/>
              </w:rPr>
            </w:pPr>
            <w:r>
              <w:rPr>
                <w:rFonts w:ascii="Arial" w:cs="Arial" w:eastAsia="Arial" w:hAnsi="Arial"/>
                <w:sz w:val="17"/>
                <w:szCs w:val="17"/>
                <w:color w:val="auto"/>
              </w:rPr>
              <w:t>Investments in fixed maturity securities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11,036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40"/>
              <w:spacing w:after="0"/>
              <w:rPr>
                <w:sz w:val="20"/>
                <w:szCs w:val="20"/>
                <w:color w:val="auto"/>
              </w:rPr>
            </w:pPr>
            <w:r>
              <w:rPr>
                <w:rFonts w:ascii="Arial" w:cs="Arial" w:eastAsia="Arial" w:hAnsi="Arial"/>
                <w:sz w:val="17"/>
                <w:szCs w:val="17"/>
                <w:color w:val="auto"/>
              </w:rPr>
              <w:t>Investments in equity securities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1,263,521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40"/>
              <w:spacing w:after="0"/>
              <w:rPr>
                <w:sz w:val="20"/>
                <w:szCs w:val="20"/>
                <w:color w:val="auto"/>
              </w:rPr>
            </w:pPr>
            <w:r>
              <w:rPr>
                <w:rFonts w:ascii="Arial" w:cs="Arial" w:eastAsia="Arial" w:hAnsi="Arial"/>
                <w:sz w:val="17"/>
                <w:szCs w:val="17"/>
                <w:color w:val="auto"/>
              </w:rPr>
              <w:t>Short-term investments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27,761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40"/>
              <w:spacing w:after="0"/>
              <w:rPr>
                <w:sz w:val="20"/>
                <w:szCs w:val="20"/>
                <w:color w:val="auto"/>
              </w:rPr>
            </w:pPr>
            <w:r>
              <w:rPr>
                <w:rFonts w:ascii="Arial" w:cs="Arial" w:eastAsia="Arial" w:hAnsi="Arial"/>
                <w:sz w:val="17"/>
                <w:szCs w:val="17"/>
                <w:color w:val="auto"/>
              </w:rPr>
              <w:t>Investments in unconsolidated ventures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121,022</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170,122</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2,868,758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1,468,507</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873,032</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628,651</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883,267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134,122</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7"/>
                <w:szCs w:val="17"/>
                <w:color w:val="auto"/>
              </w:rPr>
              <w:t>Municipal district receivables, net</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444,017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459,729</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Reinsurance recoverable on paid and unpaid losses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630,049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7"/>
                <w:szCs w:val="17"/>
                <w:color w:val="auto"/>
              </w:rPr>
              <w:t>Deferred expenses, net</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217,467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160,966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512,475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34,658</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282,218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2,336</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 net</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829,514</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213,315</w:t>
            </w:r>
          </w:p>
        </w:tc>
        <w:tc>
          <w:tcPr>
            <w:tcW w:w="0" w:type="dxa"/>
            <w:vAlign w:val="bottom"/>
          </w:tcPr>
          <w:p>
            <w:pPr>
              <w:spacing w:after="0"/>
              <w:rPr>
                <w:sz w:val="1"/>
                <w:szCs w:val="1"/>
                <w:color w:val="auto"/>
              </w:rPr>
            </w:pPr>
          </w:p>
        </w:tc>
      </w:tr>
      <w:tr>
        <w:trPr>
          <w:trHeight w:val="225"/>
        </w:trPr>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16,319,046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10,639,461</w:t>
            </w:r>
          </w:p>
        </w:tc>
        <w:tc>
          <w:tcPr>
            <w:tcW w:w="0" w:type="dxa"/>
            <w:vAlign w:val="bottom"/>
          </w:tcPr>
          <w:p>
            <w:pPr>
              <w:spacing w:after="0"/>
              <w:rPr>
                <w:sz w:val="1"/>
                <w:szCs w:val="1"/>
                <w:color w:val="auto"/>
              </w:rPr>
            </w:pPr>
          </w:p>
        </w:tc>
      </w:tr>
      <w:tr>
        <w:trPr>
          <w:trHeight w:val="255"/>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Mortgages, notes, and loans payable, net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5,703,949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5,109,828</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7"/>
                <w:szCs w:val="17"/>
                <w:color w:val="auto"/>
              </w:rPr>
              <w:t>Reserves for claims and claim expenses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2,262,306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Unearned premiums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1,358,785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Deferred tax liabilities, net</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225,783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164,472</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liabilities, net</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1,694,218</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1,522,915</w:t>
            </w:r>
          </w:p>
        </w:tc>
        <w:tc>
          <w:tcPr>
            <w:tcW w:w="0" w:type="dxa"/>
            <w:vAlign w:val="bottom"/>
          </w:tcPr>
          <w:p>
            <w:pPr>
              <w:spacing w:after="0"/>
              <w:rPr>
                <w:sz w:val="1"/>
                <w:szCs w:val="1"/>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7"/>
                <w:szCs w:val="17"/>
                <w:b w:val="1"/>
                <w:bCs w:val="1"/>
                <w:color w:val="auto"/>
              </w:rPr>
              <w:t>Total liabilities</w:t>
            </w:r>
          </w:p>
        </w:tc>
        <w:tc>
          <w:tcPr>
            <w:tcW w:w="18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11,245,041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6,797,215</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7"/>
                <w:szCs w:val="17"/>
                <w:color w:val="auto"/>
              </w:rPr>
              <w:t>Commitments and Contingencies (see Note 12)</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MEZZANINE EQUITY</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20"/>
              <w:spacing w:after="0" w:line="176" w:lineRule="exact"/>
              <w:rPr>
                <w:sz w:val="20"/>
                <w:szCs w:val="20"/>
                <w:color w:val="auto"/>
              </w:rPr>
            </w:pPr>
            <w:r>
              <w:rPr>
                <w:rFonts w:ascii="Arial" w:cs="Arial" w:eastAsia="Arial" w:hAnsi="Arial"/>
                <w:sz w:val="17"/>
                <w:szCs w:val="17"/>
                <w:color w:val="auto"/>
              </w:rPr>
              <w:t>Series A non-voting exchangeable perpetual preferred stock: $0.01 par value; 140,000 shares issued</w:t>
            </w:r>
          </w:p>
        </w:tc>
        <w:tc>
          <w:tcPr>
            <w:tcW w:w="180" w:type="dxa"/>
            <w:vAlign w:val="bottom"/>
          </w:tcPr>
          <w:p>
            <w:pPr>
              <w:spacing w:after="0"/>
              <w:rPr>
                <w:sz w:val="15"/>
                <w:szCs w:val="15"/>
                <w:color w:val="auto"/>
              </w:rPr>
            </w:pPr>
          </w:p>
        </w:tc>
        <w:tc>
          <w:tcPr>
            <w:tcW w:w="14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995,653</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7"/>
                <w:szCs w:val="17"/>
                <w:color w:val="auto"/>
              </w:rPr>
              <w:t>and outstanding as of September 30, 2026, and none issued or outstanding as of December 31, 2025</w:t>
            </w: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EQUITY</w:t>
            </w: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20"/>
              <w:spacing w:after="0" w:line="176" w:lineRule="exact"/>
              <w:rPr>
                <w:sz w:val="20"/>
                <w:szCs w:val="20"/>
                <w:color w:val="auto"/>
              </w:rPr>
            </w:pPr>
            <w:r>
              <w:rPr>
                <w:rFonts w:ascii="Arial" w:cs="Arial" w:eastAsia="Arial" w:hAnsi="Arial"/>
                <w:sz w:val="17"/>
                <w:szCs w:val="17"/>
                <w:color w:val="auto"/>
              </w:rPr>
              <w:t>Preferred stock: $0.01 par value; 50,000,000 shares authorized; 140,000 shares designated as Series A</w:t>
            </w:r>
          </w:p>
        </w:tc>
        <w:tc>
          <w:tcPr>
            <w:tcW w:w="180" w:type="dxa"/>
            <w:vAlign w:val="bottom"/>
          </w:tcPr>
          <w:p>
            <w:pPr>
              <w:spacing w:after="0"/>
              <w:rPr>
                <w:sz w:val="15"/>
                <w:szCs w:val="15"/>
                <w:color w:val="auto"/>
              </w:rPr>
            </w:pPr>
          </w:p>
        </w:tc>
        <w:tc>
          <w:tcPr>
            <w:tcW w:w="14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7"/>
                <w:szCs w:val="17"/>
                <w:color w:val="auto"/>
              </w:rPr>
              <w:t>Preferred Stock; no other shares issued or outstanding</w:t>
            </w: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20"/>
              <w:spacing w:after="0" w:line="176" w:lineRule="exact"/>
              <w:rPr>
                <w:sz w:val="20"/>
                <w:szCs w:val="20"/>
                <w:color w:val="auto"/>
              </w:rPr>
            </w:pPr>
            <w:r>
              <w:rPr>
                <w:rFonts w:ascii="Arial" w:cs="Arial" w:eastAsia="Arial" w:hAnsi="Arial"/>
                <w:sz w:val="17"/>
                <w:szCs w:val="17"/>
                <w:color w:val="auto"/>
              </w:rPr>
              <w:t>Common stock: $0.01 par value; 150,000,000 shares authorized, 66,314,259 issued, and 59,717,775</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920" w:type="dxa"/>
            <w:vAlign w:val="bottom"/>
          </w:tcPr>
          <w:p>
            <w:pPr>
              <w:ind w:left="20"/>
              <w:spacing w:after="0" w:line="171" w:lineRule="exact"/>
              <w:rPr>
                <w:sz w:val="20"/>
                <w:szCs w:val="20"/>
                <w:color w:val="auto"/>
              </w:rPr>
            </w:pPr>
            <w:r>
              <w:rPr>
                <w:rFonts w:ascii="Arial" w:cs="Arial" w:eastAsia="Arial" w:hAnsi="Arial"/>
                <w:sz w:val="17"/>
                <w:szCs w:val="17"/>
                <w:color w:val="auto"/>
              </w:rPr>
              <w:t>outstanding as of September 30, 2026, and 65,910,640 shares issued, and 59,370,353 outstanding as</w:t>
            </w:r>
          </w:p>
        </w:tc>
        <w:tc>
          <w:tcPr>
            <w:tcW w:w="180" w:type="dxa"/>
            <w:vAlign w:val="bottom"/>
          </w:tcPr>
          <w:p>
            <w:pPr>
              <w:spacing w:after="0"/>
              <w:rPr>
                <w:sz w:val="14"/>
                <w:szCs w:val="14"/>
                <w:color w:val="auto"/>
              </w:rPr>
            </w:pPr>
          </w:p>
        </w:tc>
        <w:tc>
          <w:tcPr>
            <w:tcW w:w="14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663</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21"/>
        </w:trPr>
        <w:tc>
          <w:tcPr>
            <w:tcW w:w="7920" w:type="dxa"/>
            <w:vAlign w:val="bottom"/>
          </w:tcPr>
          <w:p>
            <w:pPr>
              <w:ind w:left="20"/>
              <w:spacing w:after="0"/>
              <w:rPr>
                <w:sz w:val="20"/>
                <w:szCs w:val="20"/>
                <w:color w:val="auto"/>
              </w:rPr>
            </w:pPr>
            <w:r>
              <w:rPr>
                <w:rFonts w:ascii="Arial" w:cs="Arial" w:eastAsia="Arial" w:hAnsi="Arial"/>
                <w:sz w:val="17"/>
                <w:szCs w:val="17"/>
                <w:color w:val="auto"/>
              </w:rPr>
              <w:t>of December 31, 2025</w:t>
            </w: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4,483,276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4,458,838</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7"/>
                <w:szCs w:val="17"/>
                <w:color w:val="auto"/>
              </w:rPr>
              <w:t>Retained earnings (accumulated deficit)</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103,408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(62,096)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10,057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(1,827)</w:t>
            </w:r>
          </w:p>
        </w:tc>
        <w:tc>
          <w:tcPr>
            <w:tcW w:w="0" w:type="dxa"/>
            <w:vAlign w:val="bottom"/>
          </w:tcPr>
          <w:p>
            <w:pPr>
              <w:spacing w:after="0"/>
              <w:rPr>
                <w:sz w:val="1"/>
                <w:szCs w:val="1"/>
                <w:color w:val="auto"/>
              </w:rPr>
            </w:pPr>
          </w:p>
        </w:tc>
      </w:tr>
      <w:tr>
        <w:trPr>
          <w:trHeight w:val="175"/>
        </w:trPr>
        <w:tc>
          <w:tcPr>
            <w:tcW w:w="7920" w:type="dxa"/>
            <w:vAlign w:val="bottom"/>
          </w:tcPr>
          <w:p>
            <w:pPr>
              <w:ind w:left="20"/>
              <w:spacing w:after="0" w:line="176" w:lineRule="exact"/>
              <w:rPr>
                <w:sz w:val="20"/>
                <w:szCs w:val="20"/>
                <w:color w:val="auto"/>
              </w:rPr>
            </w:pPr>
            <w:r>
              <w:rPr>
                <w:rFonts w:ascii="Arial" w:cs="Arial" w:eastAsia="Arial" w:hAnsi="Arial"/>
                <w:sz w:val="17"/>
                <w:szCs w:val="17"/>
                <w:color w:val="auto"/>
              </w:rPr>
              <w:t>Treasury stock, at cost, 6,596,484 shares as of September 30, 2026, and 6,540,287 shares as of</w:t>
            </w: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(624,592)</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(620,118)</w:t>
            </w:r>
          </w:p>
        </w:tc>
        <w:tc>
          <w:tcPr>
            <w:tcW w:w="0" w:type="dxa"/>
            <w:vAlign w:val="bottom"/>
          </w:tcPr>
          <w:p>
            <w:pPr>
              <w:spacing w:after="0"/>
              <w:rPr>
                <w:sz w:val="1"/>
                <w:szCs w:val="1"/>
                <w:color w:val="auto"/>
              </w:rPr>
            </w:pPr>
          </w:p>
        </w:tc>
      </w:tr>
      <w:tr>
        <w:trPr>
          <w:trHeight w:val="225"/>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December 31, 2025</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20" w:type="dxa"/>
            <w:vAlign w:val="bottom"/>
          </w:tcPr>
          <w:p>
            <w:pPr>
              <w:ind w:left="220"/>
              <w:spacing w:after="0"/>
              <w:rPr>
                <w:sz w:val="20"/>
                <w:szCs w:val="20"/>
                <w:color w:val="auto"/>
              </w:rPr>
            </w:pPr>
            <w:r>
              <w:rPr>
                <w:rFonts w:ascii="Arial" w:cs="Arial" w:eastAsia="Arial" w:hAnsi="Arial"/>
                <w:sz w:val="17"/>
                <w:szCs w:val="17"/>
                <w:color w:val="auto"/>
              </w:rPr>
              <w:t>Total stockholders' equity</w:t>
            </w:r>
          </w:p>
        </w:tc>
        <w:tc>
          <w:tcPr>
            <w:tcW w:w="18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rPr>
              <w:t>3,972,812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3,775,456</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105,540</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66,790</w:t>
            </w:r>
          </w:p>
        </w:tc>
        <w:tc>
          <w:tcPr>
            <w:tcW w:w="0" w:type="dxa"/>
            <w:vAlign w:val="bottom"/>
          </w:tcPr>
          <w:p>
            <w:pPr>
              <w:spacing w:after="0"/>
              <w:rPr>
                <w:sz w:val="1"/>
                <w:szCs w:val="1"/>
                <w:color w:val="auto"/>
              </w:rPr>
            </w:pPr>
          </w:p>
        </w:tc>
      </w:tr>
      <w:tr>
        <w:trPr>
          <w:trHeight w:val="225"/>
        </w:trPr>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4,078,352</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3,842,246</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Total liabilities, mezzanine equity,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16,319,046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10,639,461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0" w:hanging="436"/>
        <w:spacing w:after="0"/>
        <w:tabs>
          <w:tab w:leader="none" w:pos="50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 w:name="page4"/>
    <w:bookmarkEnd w:id="3"/>
    <w:p>
      <w:pPr>
        <w:ind w:left="20"/>
        <w:spacing w:after="0"/>
        <w:tabs>
          <w:tab w:leader="none" w:pos="9800" w:val="left"/>
        </w:tabs>
        <w:rPr>
          <w:sz w:val="20"/>
          <w:szCs w:val="20"/>
          <w:color w:val="auto"/>
        </w:rPr>
      </w:pPr>
      <w:r>
        <w:rPr>
          <w:rFonts w:ascii="Arial" w:cs="Arial" w:eastAsia="Arial" w:hAnsi="Arial"/>
          <w:sz w:val="18"/>
          <w:szCs w:val="18"/>
          <w:b w:val="1"/>
          <w:bCs w:val="1"/>
          <w:color w:val="auto"/>
        </w:rPr>
        <w:t>FINANCIAL STATEMENTS</w:t>
      </w:r>
      <w:r>
        <w:rPr>
          <w:sz w:val="20"/>
          <w:szCs w:val="20"/>
          <w:color w:val="auto"/>
        </w:rPr>
        <w:tab/>
      </w:r>
      <w:r>
        <w:rPr>
          <w:rFonts w:ascii="Arial" w:cs="Arial" w:eastAsia="Arial" w:hAnsi="Arial"/>
          <w:sz w:val="17"/>
          <w:szCs w:val="17"/>
          <w:color w:val="828282"/>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16" w:lineRule="exact"/>
        <w:rPr>
          <w:sz w:val="20"/>
          <w:szCs w:val="20"/>
          <w:color w:val="auto"/>
        </w:rPr>
      </w:pPr>
    </w:p>
    <w:p>
      <w:pPr>
        <w:ind w:right="5560"/>
        <w:spacing w:after="0" w:line="276" w:lineRule="auto"/>
        <w:rPr>
          <w:sz w:val="20"/>
          <w:szCs w:val="20"/>
          <w:color w:val="auto"/>
        </w:rPr>
      </w:pPr>
      <w:r>
        <w:rPr>
          <w:rFonts w:ascii="Arial" w:cs="Arial" w:eastAsia="Arial" w:hAnsi="Arial"/>
          <w:sz w:val="19"/>
          <w:szCs w:val="19"/>
          <w:b w:val="1"/>
          <w:bCs w:val="1"/>
          <w:color w:val="00497F"/>
        </w:rPr>
        <w:t>CONDENSED CONSOLIDATED STATEMENTS OF OPERATIONS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tcBorders>
              <w:top w:val="single" w:sz="8" w:color="auto"/>
            </w:tcBorders>
            <w:shd w:val="clear" w:color="auto" w:fill="D8D8D8"/>
          </w:tcPr>
          <w:p>
            <w:pPr>
              <w:spacing w:after="0"/>
              <w:rPr>
                <w:sz w:val="15"/>
                <w:szCs w:val="15"/>
                <w:color w:val="auto"/>
              </w:rPr>
            </w:pPr>
          </w:p>
        </w:tc>
        <w:tc>
          <w:tcPr>
            <w:tcW w:w="240" w:type="dxa"/>
            <w:vAlign w:val="bottom"/>
            <w:tcBorders>
              <w:top w:val="single" w:sz="8" w:color="auto"/>
            </w:tcBorders>
            <w:shd w:val="clear" w:color="auto" w:fill="D8D8D8"/>
          </w:tcPr>
          <w:p>
            <w:pPr>
              <w:spacing w:after="0"/>
              <w:rPr>
                <w:sz w:val="15"/>
                <w:szCs w:val="15"/>
                <w:color w:val="auto"/>
              </w:rPr>
            </w:pPr>
          </w:p>
        </w:tc>
        <w:tc>
          <w:tcPr>
            <w:tcW w:w="2280" w:type="dxa"/>
            <w:vAlign w:val="bottom"/>
            <w:tcBorders>
              <w:top w:val="single" w:sz="8" w:color="auto"/>
            </w:tcBorders>
            <w:gridSpan w:val="4"/>
            <w:shd w:val="clear" w:color="auto" w:fill="D8D8D8"/>
          </w:tcPr>
          <w:p>
            <w:pPr>
              <w:jc w:val="center"/>
              <w:ind w:right="340"/>
              <w:spacing w:after="0" w:line="176" w:lineRule="exact"/>
              <w:rPr>
                <w:sz w:val="20"/>
                <w:szCs w:val="20"/>
                <w:color w:val="auto"/>
              </w:rPr>
            </w:pPr>
            <w:r>
              <w:rPr>
                <w:rFonts w:ascii="Arial" w:cs="Arial" w:eastAsia="Arial" w:hAnsi="Arial"/>
                <w:sz w:val="17"/>
                <w:szCs w:val="17"/>
                <w:b w:val="1"/>
                <w:bCs w:val="1"/>
                <w:color w:val="auto"/>
              </w:rPr>
              <w:t>Three Months Ended</w:t>
            </w:r>
          </w:p>
        </w:tc>
        <w:tc>
          <w:tcPr>
            <w:tcW w:w="220" w:type="dxa"/>
            <w:vAlign w:val="bottom"/>
            <w:tcBorders>
              <w:top w:val="single" w:sz="8" w:color="auto"/>
            </w:tcBorders>
            <w:shd w:val="clear" w:color="auto" w:fill="D8D8D8"/>
          </w:tcPr>
          <w:p>
            <w:pPr>
              <w:spacing w:after="0"/>
              <w:rPr>
                <w:sz w:val="15"/>
                <w:szCs w:val="15"/>
                <w:color w:val="auto"/>
              </w:rPr>
            </w:pPr>
          </w:p>
        </w:tc>
        <w:tc>
          <w:tcPr>
            <w:tcW w:w="2180" w:type="dxa"/>
            <w:vAlign w:val="bottom"/>
            <w:tcBorders>
              <w:top w:val="single" w:sz="8" w:color="auto"/>
            </w:tcBorders>
            <w:gridSpan w:val="3"/>
            <w:shd w:val="clear" w:color="auto" w:fill="D8D8D8"/>
          </w:tcPr>
          <w:p>
            <w:pPr>
              <w:jc w:val="right"/>
              <w:ind w:right="315"/>
              <w:spacing w:after="0" w:line="176"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9"/>
        </w:trPr>
        <w:tc>
          <w:tcPr>
            <w:tcW w:w="6320" w:type="dxa"/>
            <w:vAlign w:val="bottom"/>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 except per share amounts</w:t>
            </w:r>
          </w:p>
        </w:tc>
        <w:tc>
          <w:tcPr>
            <w:tcW w:w="240" w:type="dxa"/>
            <w:vAlign w:val="bottom"/>
            <w:shd w:val="clear" w:color="auto" w:fill="D8D8D8"/>
          </w:tcPr>
          <w:p>
            <w:pPr>
              <w:spacing w:after="0"/>
              <w:rPr>
                <w:sz w:val="19"/>
                <w:szCs w:val="19"/>
                <w:color w:val="auto"/>
              </w:rPr>
            </w:pPr>
          </w:p>
        </w:tc>
        <w:tc>
          <w:tcPr>
            <w:tcW w:w="2280" w:type="dxa"/>
            <w:vAlign w:val="bottom"/>
            <w:gridSpan w:val="4"/>
            <w:shd w:val="clear" w:color="auto" w:fill="D8D8D8"/>
          </w:tcPr>
          <w:p>
            <w:pPr>
              <w:jc w:val="center"/>
              <w:ind w:right="34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shd w:val="clear" w:color="auto" w:fill="D8D8D8"/>
          </w:tcPr>
          <w:p>
            <w:pPr>
              <w:spacing w:after="0"/>
              <w:rPr>
                <w:sz w:val="19"/>
                <w:szCs w:val="19"/>
                <w:color w:val="auto"/>
              </w:rPr>
            </w:pPr>
          </w:p>
        </w:tc>
        <w:tc>
          <w:tcPr>
            <w:tcW w:w="2180" w:type="dxa"/>
            <w:vAlign w:val="bottom"/>
            <w:gridSpan w:val="3"/>
            <w:shd w:val="clear" w:color="auto" w:fill="D8D8D8"/>
          </w:tcPr>
          <w:p>
            <w:pPr>
              <w:jc w:val="right"/>
              <w:ind w:right="53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3"/>
        </w:trPr>
        <w:tc>
          <w:tcPr>
            <w:tcW w:w="6320" w:type="dxa"/>
            <w:vAlign w:val="bottom"/>
            <w:tcBorders>
              <w:top w:val="single" w:sz="8" w:color="D8D8D8"/>
              <w:bottom w:val="single" w:sz="8" w:color="auto"/>
            </w:tcBorders>
            <w:vMerge w:val="continue"/>
            <w:shd w:val="clear" w:color="auto" w:fill="D8D8D8"/>
          </w:tcPr>
          <w:p>
            <w:pPr>
              <w:spacing w:after="0"/>
              <w:rPr>
                <w:sz w:val="19"/>
                <w:szCs w:val="19"/>
                <w:color w:val="auto"/>
              </w:rPr>
            </w:pPr>
          </w:p>
        </w:tc>
        <w:tc>
          <w:tcPr>
            <w:tcW w:w="240" w:type="dxa"/>
            <w:vAlign w:val="bottom"/>
            <w:tcBorders>
              <w:top w:val="single" w:sz="8" w:color="auto"/>
              <w:bottom w:val="single" w:sz="8" w:color="auto"/>
            </w:tcBorders>
            <w:shd w:val="clear" w:color="auto" w:fill="D8D8D8"/>
          </w:tcPr>
          <w:p>
            <w:pPr>
              <w:spacing w:after="0"/>
              <w:rPr>
                <w:sz w:val="19"/>
                <w:szCs w:val="19"/>
                <w:color w:val="auto"/>
              </w:rPr>
            </w:pPr>
          </w:p>
        </w:tc>
        <w:tc>
          <w:tcPr>
            <w:tcW w:w="960" w:type="dxa"/>
            <w:vAlign w:val="bottom"/>
            <w:tcBorders>
              <w:top w:val="single" w:sz="8" w:color="auto"/>
              <w:bottom w:val="single" w:sz="8" w:color="auto"/>
            </w:tcBorders>
            <w:shd w:val="clear" w:color="auto" w:fill="D8D8D8"/>
          </w:tcPr>
          <w:p>
            <w:pPr>
              <w:jc w:val="right"/>
              <w:ind w:right="355"/>
              <w:spacing w:after="0"/>
              <w:rPr>
                <w:sz w:val="20"/>
                <w:szCs w:val="20"/>
                <w:color w:val="auto"/>
              </w:rPr>
            </w:pPr>
            <w:r>
              <w:rPr>
                <w:rFonts w:ascii="Arial" w:cs="Arial" w:eastAsia="Arial" w:hAnsi="Arial"/>
                <w:sz w:val="17"/>
                <w:szCs w:val="17"/>
                <w:b w:val="1"/>
                <w:bCs w:val="1"/>
                <w:color w:val="auto"/>
              </w:rPr>
              <w:t>2026</w:t>
            </w:r>
          </w:p>
        </w:tc>
        <w:tc>
          <w:tcPr>
            <w:tcW w:w="300" w:type="dxa"/>
            <w:vAlign w:val="bottom"/>
            <w:tcBorders>
              <w:top w:val="single" w:sz="8" w:color="auto"/>
              <w:bottom w:val="single" w:sz="8" w:color="auto"/>
            </w:tcBorders>
            <w:shd w:val="clear" w:color="auto" w:fill="D8D8D8"/>
          </w:tcPr>
          <w:p>
            <w:pPr>
              <w:spacing w:after="0"/>
              <w:rPr>
                <w:sz w:val="19"/>
                <w:szCs w:val="19"/>
                <w:color w:val="auto"/>
              </w:rPr>
            </w:pPr>
          </w:p>
        </w:tc>
        <w:tc>
          <w:tcPr>
            <w:tcW w:w="900" w:type="dxa"/>
            <w:vAlign w:val="bottom"/>
            <w:tcBorders>
              <w:top w:val="single" w:sz="8" w:color="auto"/>
              <w:bottom w:val="single" w:sz="8" w:color="auto"/>
            </w:tcBorders>
            <w:shd w:val="clear" w:color="auto" w:fill="D8D8D8"/>
          </w:tcPr>
          <w:p>
            <w:pPr>
              <w:jc w:val="right"/>
              <w:ind w:right="295"/>
              <w:spacing w:after="0"/>
              <w:rPr>
                <w:sz w:val="20"/>
                <w:szCs w:val="20"/>
                <w:color w:val="auto"/>
              </w:rPr>
            </w:pPr>
            <w:r>
              <w:rPr>
                <w:rFonts w:ascii="Arial" w:cs="Arial" w:eastAsia="Arial" w:hAnsi="Arial"/>
                <w:sz w:val="17"/>
                <w:szCs w:val="17"/>
                <w:color w:val="auto"/>
              </w:rPr>
              <w:t>2025</w:t>
            </w:r>
          </w:p>
        </w:tc>
        <w:tc>
          <w:tcPr>
            <w:tcW w:w="120" w:type="dxa"/>
            <w:vAlign w:val="bottom"/>
            <w:tcBorders>
              <w:top w:val="single" w:sz="8" w:color="D8D8D8"/>
              <w:bottom w:val="single" w:sz="8" w:color="auto"/>
            </w:tcBorders>
            <w:shd w:val="clear" w:color="auto" w:fill="D8D8D8"/>
          </w:tcPr>
          <w:p>
            <w:pPr>
              <w:spacing w:after="0"/>
              <w:rPr>
                <w:sz w:val="19"/>
                <w:szCs w:val="19"/>
                <w:color w:val="auto"/>
              </w:rPr>
            </w:pPr>
          </w:p>
        </w:tc>
        <w:tc>
          <w:tcPr>
            <w:tcW w:w="220" w:type="dxa"/>
            <w:vAlign w:val="bottom"/>
            <w:tcBorders>
              <w:top w:val="single" w:sz="8" w:color="auto"/>
              <w:bottom w:val="single" w:sz="8" w:color="auto"/>
            </w:tcBorders>
            <w:shd w:val="clear" w:color="auto" w:fill="D8D8D8"/>
          </w:tcPr>
          <w:p>
            <w:pPr>
              <w:spacing w:after="0"/>
              <w:rPr>
                <w:sz w:val="19"/>
                <w:szCs w:val="19"/>
                <w:color w:val="auto"/>
              </w:rPr>
            </w:pPr>
          </w:p>
        </w:tc>
        <w:tc>
          <w:tcPr>
            <w:tcW w:w="980" w:type="dxa"/>
            <w:vAlign w:val="bottom"/>
            <w:tcBorders>
              <w:top w:val="single" w:sz="8" w:color="auto"/>
              <w:bottom w:val="single" w:sz="8" w:color="auto"/>
            </w:tcBorders>
            <w:shd w:val="clear" w:color="auto" w:fill="D8D8D8"/>
          </w:tcPr>
          <w:p>
            <w:pPr>
              <w:jc w:val="right"/>
              <w:ind w:right="355"/>
              <w:spacing w:after="0"/>
              <w:rPr>
                <w:sz w:val="20"/>
                <w:szCs w:val="20"/>
                <w:color w:val="auto"/>
              </w:rPr>
            </w:pPr>
            <w:r>
              <w:rPr>
                <w:rFonts w:ascii="Arial" w:cs="Arial" w:eastAsia="Arial" w:hAnsi="Arial"/>
                <w:sz w:val="17"/>
                <w:szCs w:val="17"/>
                <w:b w:val="1"/>
                <w:bCs w:val="1"/>
                <w:color w:val="auto"/>
              </w:rPr>
              <w:t>2026</w:t>
            </w:r>
          </w:p>
        </w:tc>
        <w:tc>
          <w:tcPr>
            <w:tcW w:w="300" w:type="dxa"/>
            <w:vAlign w:val="bottom"/>
            <w:tcBorders>
              <w:top w:val="single" w:sz="8" w:color="auto"/>
              <w:bottom w:val="single" w:sz="8" w:color="auto"/>
            </w:tcBorders>
            <w:shd w:val="clear" w:color="auto" w:fill="D8D8D8"/>
          </w:tcPr>
          <w:p>
            <w:pPr>
              <w:spacing w:after="0"/>
              <w:rPr>
                <w:sz w:val="19"/>
                <w:szCs w:val="19"/>
                <w:color w:val="auto"/>
              </w:rPr>
            </w:pPr>
          </w:p>
        </w:tc>
        <w:tc>
          <w:tcPr>
            <w:tcW w:w="900" w:type="dxa"/>
            <w:vAlign w:val="bottom"/>
            <w:tcBorders>
              <w:top w:val="single" w:sz="8" w:color="auto"/>
              <w:bottom w:val="single" w:sz="8" w:color="auto"/>
            </w:tcBorders>
            <w:shd w:val="clear" w:color="auto" w:fill="D8D8D8"/>
          </w:tcPr>
          <w:p>
            <w:pPr>
              <w:jc w:val="right"/>
              <w:ind w:right="29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Condominium rights and unit sales</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6,189</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715,634</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677</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Master Planned Communities land sales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133,657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248,467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404,166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445,150</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Rental revenue</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115,852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111,377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343,599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330,882</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Net earned insurance premiums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315,849</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413,096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Net insurance investment income</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22,678</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33,666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Builder price participation</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11,366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26,916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39,437</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revenues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30,705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14,237</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57,463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34,297</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636,296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390,235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1,994,540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850,443</w:t>
            </w:r>
          </w:p>
        </w:tc>
        <w:tc>
          <w:tcPr>
            <w:tcW w:w="0" w:type="dxa"/>
            <w:vAlign w:val="bottom"/>
          </w:tcPr>
          <w:p>
            <w:pPr>
              <w:spacing w:after="0"/>
              <w:rPr>
                <w:sz w:val="1"/>
                <w:szCs w:val="1"/>
                <w:color w:val="auto"/>
              </w:rPr>
            </w:pPr>
          </w:p>
        </w:tc>
      </w:tr>
      <w:tr>
        <w:trPr>
          <w:trHeight w:val="25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Condominium rights and unit cost of sales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5,414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583,937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Master Planned Communities cost of sales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46,242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78,280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140,041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148,672</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Operating costs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56,000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45,940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163,756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147,247</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Rental property real estate taxes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13,649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44,675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46,294</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Insurance claims and claim expenses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200,551</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255,761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Insurance underwriting expenses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120,973</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158,354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Provision for (recovery of) doubtful accounts</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206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270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28,802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28,281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90,696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85,269</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51,550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46,381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156,799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135,845</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expenses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12,061</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22,126</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12,402</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535,448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217,558</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1,616,415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576,882</w:t>
            </w:r>
          </w:p>
        </w:tc>
        <w:tc>
          <w:tcPr>
            <w:tcW w:w="0" w:type="dxa"/>
            <w:vAlign w:val="bottom"/>
          </w:tcPr>
          <w:p>
            <w:pPr>
              <w:spacing w:after="0"/>
              <w:rPr>
                <w:sz w:val="1"/>
                <w:szCs w:val="1"/>
                <w:color w:val="auto"/>
              </w:rPr>
            </w:pPr>
          </w:p>
        </w:tc>
      </w:tr>
      <w:tr>
        <w:trPr>
          <w:trHeight w:val="255"/>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OTHER</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6,582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58,382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29,834</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Investment gain (loss), net</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50,915</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12,637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income (loss), net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(1,908)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56,122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16,894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69,111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31,797</w:t>
            </w:r>
          </w:p>
        </w:tc>
        <w:tc>
          <w:tcPr>
            <w:tcW w:w="0" w:type="dxa"/>
            <w:vAlign w:val="bottom"/>
          </w:tcPr>
          <w:p>
            <w:pPr>
              <w:spacing w:after="0"/>
              <w:rPr>
                <w:sz w:val="1"/>
                <w:szCs w:val="1"/>
                <w:color w:val="auto"/>
              </w:rPr>
            </w:pPr>
          </w:p>
        </w:tc>
      </w:tr>
      <w:tr>
        <w:trPr>
          <w:trHeight w:val="260"/>
        </w:trPr>
        <w:tc>
          <w:tcPr>
            <w:tcW w:w="63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156,970</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189,571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447,236</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305,358</w:t>
            </w:r>
          </w:p>
        </w:tc>
        <w:tc>
          <w:tcPr>
            <w:tcW w:w="0" w:type="dxa"/>
            <w:vAlign w:val="bottom"/>
          </w:tcPr>
          <w:p>
            <w:pPr>
              <w:spacing w:after="0"/>
              <w:rPr>
                <w:sz w:val="1"/>
                <w:szCs w:val="1"/>
                <w:color w:val="auto"/>
              </w:rPr>
            </w:pPr>
          </w:p>
        </w:tc>
      </w:tr>
      <w:tr>
        <w:trPr>
          <w:trHeight w:val="319"/>
        </w:trPr>
        <w:tc>
          <w:tcPr>
            <w:tcW w:w="63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7,593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15,287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36,059</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31,736</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(50,111)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(137,713)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(128,644)</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7"/>
                <w:szCs w:val="17"/>
                <w:color w:val="auto"/>
              </w:rPr>
              <w:t>Gain (loss) on extinguishment of debt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(429)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(11,068)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7"/>
                <w:szCs w:val="17"/>
                <w:color w:val="auto"/>
              </w:rPr>
              <w:t>Gain (loss) on sale of Municipal Utility District (MUD) receivables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(105,362)</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(105,917)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(48,197)</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(7,529)</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(2,529)</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(9,868)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(3,096)</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1,132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158,300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218,729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156,677</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1,503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38,898</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54,078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38,513</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(371)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119,402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164,651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118,164</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(716)</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853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7"/>
                <w:szCs w:val="17"/>
                <w:color w:val="auto"/>
              </w:rPr>
              <w:t>Net income (loss) attributable to common stockholders</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(1,087)</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119,508</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165,504</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117,897</w:t>
            </w:r>
          </w:p>
        </w:tc>
        <w:tc>
          <w:tcPr>
            <w:tcW w:w="0" w:type="dxa"/>
            <w:vAlign w:val="bottom"/>
          </w:tcPr>
          <w:p>
            <w:pPr>
              <w:spacing w:after="0"/>
              <w:rPr>
                <w:sz w:val="1"/>
                <w:szCs w:val="1"/>
                <w:color w:val="auto"/>
              </w:rPr>
            </w:pPr>
          </w:p>
        </w:tc>
      </w:tr>
      <w:tr>
        <w:trPr>
          <w:trHeight w:val="310"/>
        </w:trPr>
        <w:tc>
          <w:tcPr>
            <w:tcW w:w="6320" w:type="dxa"/>
            <w:vAlign w:val="bottom"/>
          </w:tcPr>
          <w:p>
            <w:pPr>
              <w:ind w:left="40"/>
              <w:spacing w:after="0"/>
              <w:rPr>
                <w:sz w:val="20"/>
                <w:szCs w:val="20"/>
                <w:color w:val="auto"/>
              </w:rPr>
            </w:pPr>
            <w:r>
              <w:rPr>
                <w:rFonts w:ascii="Arial" w:cs="Arial" w:eastAsia="Arial" w:hAnsi="Arial"/>
                <w:sz w:val="17"/>
                <w:szCs w:val="17"/>
                <w:color w:val="auto"/>
              </w:rPr>
              <w:t>Basic income (loss) per share</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(0.02)</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24"/>
                <w:szCs w:val="24"/>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2.81</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Diluted income (loss) per share</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(0.39)</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2.53</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0" w:hanging="436"/>
        <w:spacing w:after="0"/>
        <w:tabs>
          <w:tab w:leader="none" w:pos="50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20"/>
        <w:spacing w:after="0"/>
        <w:tabs>
          <w:tab w:leader="none" w:pos="9800" w:val="left"/>
        </w:tabs>
        <w:rPr>
          <w:sz w:val="20"/>
          <w:szCs w:val="20"/>
          <w:color w:val="auto"/>
        </w:rPr>
      </w:pPr>
      <w:r>
        <w:rPr>
          <w:rFonts w:ascii="Arial" w:cs="Arial" w:eastAsia="Arial" w:hAnsi="Arial"/>
          <w:sz w:val="18"/>
          <w:szCs w:val="18"/>
          <w:b w:val="1"/>
          <w:bCs w:val="1"/>
          <w:color w:val="auto"/>
        </w:rPr>
        <w:t>FINANCIAL STATEMENTS</w:t>
      </w:r>
      <w:r>
        <w:rPr>
          <w:sz w:val="20"/>
          <w:szCs w:val="20"/>
          <w:color w:val="auto"/>
        </w:rPr>
        <w:tab/>
      </w:r>
      <w:r>
        <w:rPr>
          <w:rFonts w:ascii="Arial" w:cs="Arial" w:eastAsia="Arial" w:hAnsi="Arial"/>
          <w:sz w:val="17"/>
          <w:szCs w:val="17"/>
          <w:color w:val="828282"/>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CONDENSED CONSOLIDATED STATEMENTS OF COMPREHENSIVE INCOME (LOSS)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Borders>
              <w:top w:val="single" w:sz="8" w:color="auto"/>
            </w:tcBorders>
            <w:shd w:val="clear" w:color="auto" w:fill="D8D8D8"/>
          </w:tcPr>
          <w:p>
            <w:pPr>
              <w:spacing w:after="0"/>
              <w:rPr>
                <w:sz w:val="15"/>
                <w:szCs w:val="15"/>
                <w:color w:val="auto"/>
              </w:rPr>
            </w:pPr>
          </w:p>
        </w:tc>
        <w:tc>
          <w:tcPr>
            <w:tcW w:w="220" w:type="dxa"/>
            <w:vAlign w:val="bottom"/>
            <w:tcBorders>
              <w:top w:val="single" w:sz="8" w:color="auto"/>
            </w:tcBorders>
            <w:shd w:val="clear" w:color="auto" w:fill="D8D8D8"/>
          </w:tcPr>
          <w:p>
            <w:pPr>
              <w:spacing w:after="0"/>
              <w:rPr>
                <w:sz w:val="15"/>
                <w:szCs w:val="15"/>
                <w:color w:val="auto"/>
              </w:rPr>
            </w:pPr>
          </w:p>
        </w:tc>
        <w:tc>
          <w:tcPr>
            <w:tcW w:w="2240" w:type="dxa"/>
            <w:vAlign w:val="bottom"/>
            <w:tcBorders>
              <w:top w:val="single" w:sz="8" w:color="auto"/>
            </w:tcBorders>
            <w:gridSpan w:val="4"/>
            <w:shd w:val="clear" w:color="auto" w:fill="D8D8D8"/>
          </w:tcPr>
          <w:p>
            <w:pPr>
              <w:jc w:val="center"/>
              <w:ind w:right="320"/>
              <w:spacing w:after="0" w:line="176" w:lineRule="exact"/>
              <w:rPr>
                <w:sz w:val="20"/>
                <w:szCs w:val="20"/>
                <w:color w:val="auto"/>
              </w:rPr>
            </w:pPr>
            <w:r>
              <w:rPr>
                <w:rFonts w:ascii="Arial" w:cs="Arial" w:eastAsia="Arial" w:hAnsi="Arial"/>
                <w:sz w:val="17"/>
                <w:szCs w:val="17"/>
                <w:b w:val="1"/>
                <w:bCs w:val="1"/>
                <w:color w:val="auto"/>
                <w:w w:val="99"/>
              </w:rPr>
              <w:t>Three Months Ended</w:t>
            </w:r>
          </w:p>
        </w:tc>
        <w:tc>
          <w:tcPr>
            <w:tcW w:w="240" w:type="dxa"/>
            <w:vAlign w:val="bottom"/>
            <w:tcBorders>
              <w:top w:val="single" w:sz="8" w:color="auto"/>
            </w:tcBorders>
            <w:shd w:val="clear" w:color="auto" w:fill="D8D8D8"/>
          </w:tcPr>
          <w:p>
            <w:pPr>
              <w:spacing w:after="0"/>
              <w:rPr>
                <w:sz w:val="15"/>
                <w:szCs w:val="15"/>
                <w:color w:val="auto"/>
              </w:rPr>
            </w:pPr>
          </w:p>
        </w:tc>
        <w:tc>
          <w:tcPr>
            <w:tcW w:w="2100" w:type="dxa"/>
            <w:vAlign w:val="bottom"/>
            <w:tcBorders>
              <w:top w:val="single" w:sz="8" w:color="auto"/>
            </w:tcBorders>
            <w:gridSpan w:val="3"/>
            <w:shd w:val="clear" w:color="auto" w:fill="D8D8D8"/>
          </w:tcPr>
          <w:p>
            <w:pPr>
              <w:jc w:val="right"/>
              <w:ind w:right="295"/>
              <w:spacing w:after="0" w:line="176" w:lineRule="exact"/>
              <w:rPr>
                <w:sz w:val="20"/>
                <w:szCs w:val="20"/>
                <w:color w:val="auto"/>
              </w:rPr>
            </w:pPr>
            <w:r>
              <w:rPr>
                <w:rFonts w:ascii="Arial" w:cs="Arial" w:eastAsia="Arial" w:hAnsi="Arial"/>
                <w:sz w:val="17"/>
                <w:szCs w:val="17"/>
                <w:b w:val="1"/>
                <w:bCs w:val="1"/>
                <w:color w:val="auto"/>
              </w:rPr>
              <w:t>Nine Months Ended</w:t>
            </w:r>
          </w:p>
        </w:tc>
      </w:tr>
      <w:tr>
        <w:trPr>
          <w:trHeight w:val="229"/>
        </w:trPr>
        <w:tc>
          <w:tcPr>
            <w:tcW w:w="644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2240" w:type="dxa"/>
            <w:vAlign w:val="bottom"/>
            <w:gridSpan w:val="4"/>
            <w:shd w:val="clear" w:color="auto" w:fill="D8D8D8"/>
          </w:tcPr>
          <w:p>
            <w:pPr>
              <w:jc w:val="center"/>
              <w:ind w:right="320"/>
              <w:spacing w:after="0"/>
              <w:rPr>
                <w:sz w:val="20"/>
                <w:szCs w:val="20"/>
                <w:color w:val="auto"/>
              </w:rPr>
            </w:pPr>
            <w:r>
              <w:rPr>
                <w:rFonts w:ascii="Arial" w:cs="Arial" w:eastAsia="Arial" w:hAnsi="Arial"/>
                <w:sz w:val="17"/>
                <w:szCs w:val="17"/>
                <w:b w:val="1"/>
                <w:bCs w:val="1"/>
                <w:color w:val="auto"/>
                <w:w w:val="99"/>
              </w:rPr>
              <w:t>September 30,</w:t>
            </w:r>
          </w:p>
        </w:tc>
        <w:tc>
          <w:tcPr>
            <w:tcW w:w="240" w:type="dxa"/>
            <w:vAlign w:val="bottom"/>
            <w:shd w:val="clear" w:color="auto" w:fill="D8D8D8"/>
          </w:tcPr>
          <w:p>
            <w:pPr>
              <w:spacing w:after="0"/>
              <w:rPr>
                <w:sz w:val="19"/>
                <w:szCs w:val="19"/>
                <w:color w:val="auto"/>
              </w:rPr>
            </w:pPr>
          </w:p>
        </w:tc>
        <w:tc>
          <w:tcPr>
            <w:tcW w:w="2100" w:type="dxa"/>
            <w:vAlign w:val="bottom"/>
            <w:gridSpan w:val="3"/>
            <w:shd w:val="clear" w:color="auto" w:fill="D8D8D8"/>
          </w:tcPr>
          <w:p>
            <w:pPr>
              <w:jc w:val="right"/>
              <w:ind w:right="515"/>
              <w:spacing w:after="0"/>
              <w:rPr>
                <w:sz w:val="20"/>
                <w:szCs w:val="20"/>
                <w:color w:val="auto"/>
              </w:rPr>
            </w:pPr>
            <w:r>
              <w:rPr>
                <w:rFonts w:ascii="Arial" w:cs="Arial" w:eastAsia="Arial" w:hAnsi="Arial"/>
                <w:sz w:val="17"/>
                <w:szCs w:val="17"/>
                <w:b w:val="1"/>
                <w:bCs w:val="1"/>
                <w:color w:val="auto"/>
              </w:rPr>
              <w:t>September 30,</w:t>
            </w:r>
          </w:p>
        </w:tc>
      </w:tr>
      <w:tr>
        <w:trPr>
          <w:trHeight w:val="223"/>
        </w:trPr>
        <w:tc>
          <w:tcPr>
            <w:tcW w:w="644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20" w:type="dxa"/>
            <w:vAlign w:val="bottom"/>
            <w:tcBorders>
              <w:top w:val="single" w:sz="8" w:color="auto"/>
              <w:bottom w:val="single" w:sz="8" w:color="auto"/>
            </w:tcBorders>
            <w:shd w:val="clear" w:color="auto" w:fill="D8D8D8"/>
          </w:tcPr>
          <w:p>
            <w:pPr>
              <w:spacing w:after="0"/>
              <w:rPr>
                <w:sz w:val="19"/>
                <w:szCs w:val="19"/>
                <w:color w:val="auto"/>
              </w:rPr>
            </w:pPr>
          </w:p>
        </w:tc>
        <w:tc>
          <w:tcPr>
            <w:tcW w:w="940" w:type="dxa"/>
            <w:vAlign w:val="bottom"/>
            <w:tcBorders>
              <w:top w:val="single" w:sz="8" w:color="auto"/>
              <w:bottom w:val="single" w:sz="8" w:color="auto"/>
            </w:tcBorders>
            <w:shd w:val="clear" w:color="auto" w:fill="D8D8D8"/>
          </w:tcPr>
          <w:p>
            <w:pPr>
              <w:jc w:val="right"/>
              <w:ind w:right="315"/>
              <w:spacing w:after="0"/>
              <w:rPr>
                <w:sz w:val="20"/>
                <w:szCs w:val="20"/>
                <w:color w:val="auto"/>
              </w:rPr>
            </w:pPr>
            <w:r>
              <w:rPr>
                <w:rFonts w:ascii="Arial" w:cs="Arial" w:eastAsia="Arial" w:hAnsi="Arial"/>
                <w:sz w:val="17"/>
                <w:szCs w:val="17"/>
                <w:b w:val="1"/>
                <w:bCs w:val="1"/>
                <w:color w:val="auto"/>
              </w:rPr>
              <w:t>2026</w:t>
            </w:r>
          </w:p>
        </w:tc>
        <w:tc>
          <w:tcPr>
            <w:tcW w:w="300" w:type="dxa"/>
            <w:vAlign w:val="bottom"/>
            <w:tcBorders>
              <w:top w:val="single" w:sz="8" w:color="auto"/>
              <w:bottom w:val="single" w:sz="8" w:color="auto"/>
            </w:tcBorders>
            <w:shd w:val="clear" w:color="auto" w:fill="D8D8D8"/>
          </w:tcPr>
          <w:p>
            <w:pPr>
              <w:spacing w:after="0"/>
              <w:rPr>
                <w:sz w:val="19"/>
                <w:szCs w:val="19"/>
                <w:color w:val="auto"/>
              </w:rPr>
            </w:pPr>
          </w:p>
        </w:tc>
        <w:tc>
          <w:tcPr>
            <w:tcW w:w="880" w:type="dxa"/>
            <w:vAlign w:val="bottom"/>
            <w:tcBorders>
              <w:top w:val="single" w:sz="8" w:color="auto"/>
              <w:bottom w:val="single" w:sz="8" w:color="auto"/>
            </w:tcBorders>
            <w:shd w:val="clear" w:color="auto" w:fill="D8D8D8"/>
          </w:tcPr>
          <w:p>
            <w:pPr>
              <w:jc w:val="right"/>
              <w:ind w:right="275"/>
              <w:spacing w:after="0"/>
              <w:rPr>
                <w:sz w:val="20"/>
                <w:szCs w:val="20"/>
                <w:color w:val="auto"/>
              </w:rPr>
            </w:pPr>
            <w:r>
              <w:rPr>
                <w:rFonts w:ascii="Arial" w:cs="Arial" w:eastAsia="Arial" w:hAnsi="Arial"/>
                <w:sz w:val="17"/>
                <w:szCs w:val="17"/>
                <w:color w:val="auto"/>
              </w:rPr>
              <w:t>2025</w:t>
            </w:r>
          </w:p>
        </w:tc>
        <w:tc>
          <w:tcPr>
            <w:tcW w:w="120" w:type="dxa"/>
            <w:vAlign w:val="bottom"/>
            <w:tcBorders>
              <w:top w:val="single" w:sz="8" w:color="D8D8D8"/>
              <w:bottom w:val="single" w:sz="8" w:color="auto"/>
            </w:tcBorders>
            <w:shd w:val="clear" w:color="auto" w:fill="D8D8D8"/>
          </w:tcPr>
          <w:p>
            <w:pPr>
              <w:spacing w:after="0"/>
              <w:rPr>
                <w:sz w:val="19"/>
                <w:szCs w:val="19"/>
                <w:color w:val="auto"/>
              </w:rPr>
            </w:pPr>
          </w:p>
        </w:tc>
        <w:tc>
          <w:tcPr>
            <w:tcW w:w="240" w:type="dxa"/>
            <w:vAlign w:val="bottom"/>
            <w:tcBorders>
              <w:top w:val="single" w:sz="8" w:color="auto"/>
              <w:bottom w:val="single" w:sz="8" w:color="auto"/>
            </w:tcBorders>
            <w:shd w:val="clear" w:color="auto" w:fill="D8D8D8"/>
          </w:tcPr>
          <w:p>
            <w:pPr>
              <w:spacing w:after="0"/>
              <w:rPr>
                <w:sz w:val="19"/>
                <w:szCs w:val="19"/>
                <w:color w:val="auto"/>
              </w:rPr>
            </w:pPr>
          </w:p>
        </w:tc>
        <w:tc>
          <w:tcPr>
            <w:tcW w:w="920" w:type="dxa"/>
            <w:vAlign w:val="bottom"/>
            <w:tcBorders>
              <w:top w:val="single" w:sz="8" w:color="auto"/>
              <w:bottom w:val="single" w:sz="8" w:color="auto"/>
            </w:tcBorders>
            <w:shd w:val="clear" w:color="auto" w:fill="D8D8D8"/>
          </w:tcPr>
          <w:p>
            <w:pPr>
              <w:jc w:val="right"/>
              <w:ind w:right="335"/>
              <w:spacing w:after="0"/>
              <w:rPr>
                <w:sz w:val="20"/>
                <w:szCs w:val="20"/>
                <w:color w:val="auto"/>
              </w:rPr>
            </w:pPr>
            <w:r>
              <w:rPr>
                <w:rFonts w:ascii="Arial" w:cs="Arial" w:eastAsia="Arial" w:hAnsi="Arial"/>
                <w:sz w:val="17"/>
                <w:szCs w:val="17"/>
                <w:b w:val="1"/>
                <w:bCs w:val="1"/>
                <w:color w:val="auto"/>
              </w:rPr>
              <w:t>2026</w:t>
            </w:r>
          </w:p>
        </w:tc>
        <w:tc>
          <w:tcPr>
            <w:tcW w:w="300" w:type="dxa"/>
            <w:vAlign w:val="bottom"/>
            <w:tcBorders>
              <w:top w:val="single" w:sz="8" w:color="auto"/>
              <w:bottom w:val="single" w:sz="8" w:color="auto"/>
            </w:tcBorders>
            <w:shd w:val="clear" w:color="auto" w:fill="D8D8D8"/>
          </w:tcPr>
          <w:p>
            <w:pPr>
              <w:spacing w:after="0"/>
              <w:rPr>
                <w:sz w:val="19"/>
                <w:szCs w:val="19"/>
                <w:color w:val="auto"/>
              </w:rPr>
            </w:pPr>
          </w:p>
        </w:tc>
        <w:tc>
          <w:tcPr>
            <w:tcW w:w="880" w:type="dxa"/>
            <w:vAlign w:val="bottom"/>
            <w:tcBorders>
              <w:top w:val="single" w:sz="8" w:color="auto"/>
              <w:bottom w:val="single" w:sz="8" w:color="auto"/>
            </w:tcBorders>
            <w:shd w:val="clear" w:color="auto" w:fill="D8D8D8"/>
          </w:tcPr>
          <w:p>
            <w:pPr>
              <w:jc w:val="right"/>
              <w:ind w:right="295"/>
              <w:spacing w:after="0"/>
              <w:rPr>
                <w:sz w:val="20"/>
                <w:szCs w:val="20"/>
                <w:color w:val="auto"/>
              </w:rPr>
            </w:pPr>
            <w:r>
              <w:rPr>
                <w:rFonts w:ascii="Arial" w:cs="Arial" w:eastAsia="Arial" w:hAnsi="Arial"/>
                <w:sz w:val="17"/>
                <w:szCs w:val="17"/>
                <w:color w:val="auto"/>
              </w:rPr>
              <w:t>2025</w:t>
            </w:r>
          </w:p>
        </w:tc>
      </w:tr>
      <w:tr>
        <w:trPr>
          <w:trHeight w:val="214"/>
        </w:trPr>
        <w:tc>
          <w:tcPr>
            <w:tcW w:w="64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(371)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119,402</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ind w:right="35"/>
              <w:spacing w:after="0"/>
              <w:rPr>
                <w:sz w:val="20"/>
                <w:szCs w:val="20"/>
                <w:color w:val="auto"/>
              </w:rPr>
            </w:pPr>
            <w:r>
              <w:rPr>
                <w:rFonts w:ascii="Arial" w:cs="Arial" w:eastAsia="Arial" w:hAnsi="Arial"/>
                <w:sz w:val="17"/>
                <w:szCs w:val="17"/>
                <w:b w:val="1"/>
                <w:bCs w:val="1"/>
                <w:color w:val="auto"/>
              </w:rPr>
              <w:t>164,651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118,164</w:t>
            </w:r>
          </w:p>
        </w:tc>
      </w:tr>
      <w:tr>
        <w:trPr>
          <w:trHeight w:val="225"/>
        </w:trPr>
        <w:tc>
          <w:tcPr>
            <w:tcW w:w="64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7"/>
                <w:szCs w:val="17"/>
                <w:color w:val="auto"/>
              </w:rPr>
              <w:t>Unrealized gains (losses):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6440" w:type="dxa"/>
            <w:vAlign w:val="bottom"/>
          </w:tcPr>
          <w:p>
            <w:pPr>
              <w:ind w:left="340"/>
              <w:spacing w:after="0"/>
              <w:rPr>
                <w:sz w:val="20"/>
                <w:szCs w:val="20"/>
                <w:color w:val="auto"/>
              </w:rPr>
            </w:pPr>
            <w:r>
              <w:rPr>
                <w:rFonts w:ascii="Arial" w:cs="Arial" w:eastAsia="Arial" w:hAnsi="Arial"/>
                <w:sz w:val="17"/>
                <w:szCs w:val="17"/>
                <w:color w:val="auto"/>
              </w:rPr>
              <w:t>Available-for-sale securities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(234)</w:t>
            </w:r>
          </w:p>
        </w:tc>
        <w:tc>
          <w:tcPr>
            <w:tcW w:w="3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(189)</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440" w:type="dxa"/>
            <w:vAlign w:val="bottom"/>
          </w:tcPr>
          <w:p>
            <w:pPr>
              <w:ind w:left="340"/>
              <w:spacing w:after="0"/>
              <w:rPr>
                <w:sz w:val="20"/>
                <w:szCs w:val="20"/>
                <w:color w:val="auto"/>
              </w:rPr>
            </w:pPr>
            <w:r>
              <w:rPr>
                <w:rFonts w:ascii="Arial" w:cs="Arial" w:eastAsia="Arial" w:hAnsi="Arial"/>
                <w:sz w:val="17"/>
                <w:szCs w:val="17"/>
                <w:color w:val="auto"/>
              </w:rPr>
              <w:t>Interest rate caps and swaps</w:t>
            </w:r>
          </w:p>
        </w:tc>
        <w:tc>
          <w:tcPr>
            <w:tcW w:w="2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8,747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b w:val="1"/>
                <w:bCs w:val="1"/>
                <w:color w:val="auto"/>
              </w:rPr>
              <w:t>11,235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(3,384)</w:t>
            </w:r>
          </w:p>
        </w:tc>
      </w:tr>
      <w:tr>
        <w:trPr>
          <w:trHeight w:val="236"/>
        </w:trPr>
        <w:tc>
          <w:tcPr>
            <w:tcW w:w="64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Pension plan termination</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838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8,513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11,884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(3,384)</w:t>
            </w:r>
          </w:p>
        </w:tc>
      </w:tr>
      <w:tr>
        <w:trPr>
          <w:trHeight w:val="214"/>
        </w:trPr>
        <w:tc>
          <w:tcPr>
            <w:tcW w:w="644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22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8,142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118,710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b w:val="1"/>
                <w:bCs w:val="1"/>
                <w:color w:val="auto"/>
              </w:rPr>
              <w:t>176,535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114,780</w:t>
            </w:r>
          </w:p>
        </w:tc>
      </w:tr>
      <w:tr>
        <w:trPr>
          <w:trHeight w:val="236"/>
        </w:trPr>
        <w:tc>
          <w:tcPr>
            <w:tcW w:w="6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Comprehensive (income) loss attributable to noncontrolling interests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853</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r>
      <w:tr>
        <w:trPr>
          <w:trHeight w:val="225"/>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Comprehensive income (loss) attributable to common stockholders</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7,426</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118,816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177,388</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114,513</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0" w:hanging="436"/>
        <w:spacing w:after="0"/>
        <w:tabs>
          <w:tab w:leader="none" w:pos="50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left="20"/>
        <w:spacing w:after="0"/>
        <w:tabs>
          <w:tab w:leader="none" w:pos="9800" w:val="left"/>
        </w:tabs>
        <w:rPr>
          <w:sz w:val="20"/>
          <w:szCs w:val="20"/>
          <w:color w:val="auto"/>
        </w:rPr>
      </w:pPr>
      <w:r>
        <w:rPr>
          <w:rFonts w:ascii="Arial" w:cs="Arial" w:eastAsia="Arial" w:hAnsi="Arial"/>
          <w:sz w:val="18"/>
          <w:szCs w:val="18"/>
          <w:b w:val="1"/>
          <w:bCs w:val="1"/>
          <w:color w:val="auto"/>
        </w:rPr>
        <w:t>FINANCIAL STATEMENTS</w:t>
      </w:r>
      <w:r>
        <w:rPr>
          <w:sz w:val="20"/>
          <w:szCs w:val="20"/>
          <w:color w:val="auto"/>
        </w:rPr>
        <w:tab/>
      </w:r>
      <w:r>
        <w:rPr>
          <w:rFonts w:ascii="Arial" w:cs="Arial" w:eastAsia="Arial" w:hAnsi="Arial"/>
          <w:sz w:val="17"/>
          <w:szCs w:val="17"/>
          <w:color w:val="828282"/>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CONDENSED CONSOLIDATED STATEMENTS OF EQUITY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60" w:type="dxa"/>
            <w:vAlign w:val="bottom"/>
            <w:tcBorders>
              <w:top w:val="single" w:sz="8" w:color="D8D8D8"/>
              <w:bottom w:val="single" w:sz="8" w:color="D8D8D8"/>
            </w:tcBorders>
            <w:shd w:val="clear" w:color="auto" w:fill="D8D8D8"/>
          </w:tcPr>
          <w:p>
            <w:pPr>
              <w:spacing w:after="0"/>
              <w:rPr>
                <w:sz w:val="24"/>
                <w:szCs w:val="24"/>
                <w:color w:val="auto"/>
              </w:rPr>
            </w:pPr>
          </w:p>
        </w:tc>
        <w:tc>
          <w:tcPr>
            <w:tcW w:w="1440" w:type="dxa"/>
            <w:vAlign w:val="bottom"/>
            <w:tcBorders>
              <w:top w:val="single" w:sz="8" w:color="D8D8D8"/>
              <w:bottom w:val="single" w:sz="8" w:color="D8D8D8"/>
            </w:tcBorders>
            <w:gridSpan w:val="3"/>
            <w:shd w:val="clear" w:color="auto" w:fill="D8D8D8"/>
          </w:tcPr>
          <w:p>
            <w:pPr>
              <w:jc w:val="right"/>
              <w:ind w:right="262"/>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Borders>
              <w:top w:val="single" w:sz="8" w:color="auto"/>
              <w:bottom w:val="single" w:sz="8" w:color="D8D8D8"/>
            </w:tcBorders>
            <w:shd w:val="clear" w:color="auto" w:fill="D8D8D8"/>
          </w:tcPr>
          <w:p>
            <w:pPr>
              <w:spacing w:after="0"/>
              <w:rPr>
                <w:sz w:val="24"/>
                <w:szCs w:val="24"/>
                <w:color w:val="auto"/>
              </w:rPr>
            </w:pPr>
          </w:p>
        </w:tc>
        <w:tc>
          <w:tcPr>
            <w:tcW w:w="740" w:type="dxa"/>
            <w:vAlign w:val="bottom"/>
            <w:tcBorders>
              <w:top w:val="single" w:sz="8" w:color="auto"/>
              <w:bottom w:val="single" w:sz="8" w:color="D8D8D8"/>
            </w:tcBorders>
            <w:shd w:val="clear" w:color="auto" w:fill="D8D8D8"/>
          </w:tcPr>
          <w:p>
            <w:pPr>
              <w:spacing w:after="0"/>
              <w:rPr>
                <w:sz w:val="24"/>
                <w:szCs w:val="24"/>
                <w:color w:val="auto"/>
              </w:rPr>
            </w:pPr>
          </w:p>
        </w:tc>
        <w:tc>
          <w:tcPr>
            <w:tcW w:w="1040" w:type="dxa"/>
            <w:vAlign w:val="bottom"/>
            <w:tcBorders>
              <w:top w:val="single" w:sz="8" w:color="auto"/>
              <w:bottom w:val="single" w:sz="8" w:color="D8D8D8"/>
            </w:tcBorders>
            <w:gridSpan w:val="2"/>
            <w:shd w:val="clear" w:color="auto" w:fill="D8D8D8"/>
          </w:tcPr>
          <w:p>
            <w:pPr>
              <w:ind w:left="20"/>
              <w:spacing w:after="0"/>
              <w:rPr>
                <w:sz w:val="20"/>
                <w:szCs w:val="20"/>
                <w:color w:val="auto"/>
              </w:rPr>
            </w:pPr>
            <w:r>
              <w:rPr>
                <w:rFonts w:ascii="Arial" w:cs="Arial" w:eastAsia="Arial" w:hAnsi="Arial"/>
                <w:sz w:val="11"/>
                <w:szCs w:val="11"/>
                <w:b w:val="1"/>
                <w:bCs w:val="1"/>
                <w:color w:val="auto"/>
              </w:rPr>
              <w:t>Retained Earnings</w:t>
            </w:r>
          </w:p>
        </w:tc>
        <w:tc>
          <w:tcPr>
            <w:tcW w:w="1180" w:type="dxa"/>
            <w:vAlign w:val="bottom"/>
            <w:tcBorders>
              <w:top w:val="single" w:sz="8" w:color="auto"/>
              <w:bottom w:val="single" w:sz="8" w:color="D8D8D8"/>
            </w:tcBorders>
            <w:gridSpan w:val="2"/>
            <w:shd w:val="clear" w:color="auto" w:fill="D8D8D8"/>
          </w:tcPr>
          <w:p>
            <w:pPr>
              <w:jc w:val="center"/>
              <w:spacing w:after="0"/>
              <w:rPr>
                <w:sz w:val="20"/>
                <w:szCs w:val="20"/>
                <w:color w:val="auto"/>
              </w:rPr>
            </w:pPr>
            <w:r>
              <w:rPr>
                <w:rFonts w:ascii="Arial" w:cs="Arial" w:eastAsia="Arial" w:hAnsi="Arial"/>
                <w:sz w:val="11"/>
                <w:szCs w:val="11"/>
                <w:b w:val="1"/>
                <w:bCs w:val="1"/>
                <w:color w:val="auto"/>
              </w:rPr>
              <w:t>Accumulated Other</w:t>
            </w:r>
          </w:p>
        </w:tc>
        <w:tc>
          <w:tcPr>
            <w:tcW w:w="1580" w:type="dxa"/>
            <w:vAlign w:val="bottom"/>
            <w:tcBorders>
              <w:top w:val="single" w:sz="8" w:color="auto"/>
              <w:bottom w:val="single" w:sz="8" w:color="D8D8D8"/>
            </w:tcBorders>
            <w:gridSpan w:val="3"/>
            <w:shd w:val="clear" w:color="auto" w:fill="D8D8D8"/>
          </w:tcPr>
          <w:p>
            <w:pPr>
              <w:jc w:val="right"/>
              <w:ind w:right="342"/>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tcBorders>
              <w:top w:val="single" w:sz="8" w:color="auto"/>
              <w:bottom w:val="single" w:sz="8" w:color="D8D8D8"/>
            </w:tcBorders>
            <w:shd w:val="clear" w:color="auto" w:fill="D8D8D8"/>
          </w:tcPr>
          <w:p>
            <w:pPr>
              <w:spacing w:after="0"/>
              <w:rPr>
                <w:sz w:val="24"/>
                <w:szCs w:val="24"/>
                <w:color w:val="auto"/>
              </w:rPr>
            </w:pPr>
          </w:p>
        </w:tc>
        <w:tc>
          <w:tcPr>
            <w:tcW w:w="920" w:type="dxa"/>
            <w:vAlign w:val="bottom"/>
            <w:tcBorders>
              <w:top w:val="single" w:sz="8" w:color="auto"/>
              <w:bottom w:val="single" w:sz="8" w:color="D8D8D8"/>
            </w:tcBorders>
            <w:shd w:val="clear" w:color="auto" w:fill="D8D8D8"/>
          </w:tcPr>
          <w:p>
            <w:pPr>
              <w:jc w:val="center"/>
              <w:ind w:right="83"/>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Borders>
              <w:top w:val="single" w:sz="8" w:color="auto"/>
              <w:bottom w:val="single" w:sz="8" w:color="D8D8D8"/>
            </w:tcBorders>
            <w:shd w:val="clear" w:color="auto" w:fill="D8D8D8"/>
          </w:tcPr>
          <w:p>
            <w:pPr>
              <w:spacing w:after="0"/>
              <w:rPr>
                <w:sz w:val="24"/>
                <w:szCs w:val="24"/>
                <w:color w:val="auto"/>
              </w:rPr>
            </w:pPr>
          </w:p>
        </w:tc>
        <w:tc>
          <w:tcPr>
            <w:tcW w:w="980" w:type="dxa"/>
            <w:vAlign w:val="bottom"/>
            <w:tcBorders>
              <w:top w:val="single" w:sz="8" w:color="auto"/>
              <w:bottom w:val="single" w:sz="8" w:color="D8D8D8"/>
            </w:tcBorders>
            <w:shd w:val="clear" w:color="auto" w:fill="D8D8D8"/>
          </w:tcPr>
          <w:p>
            <w:pPr>
              <w:spacing w:after="0"/>
              <w:rPr>
                <w:sz w:val="24"/>
                <w:szCs w:val="24"/>
                <w:color w:val="auto"/>
              </w:rPr>
            </w:pPr>
          </w:p>
        </w:tc>
        <w:tc>
          <w:tcPr>
            <w:tcW w:w="100" w:type="dxa"/>
            <w:vAlign w:val="bottom"/>
            <w:tcBorders>
              <w:top w:val="single" w:sz="8" w:color="auto"/>
              <w:bottom w:val="single" w:sz="8" w:color="D8D8D8"/>
            </w:tcBorders>
            <w:shd w:val="clear" w:color="auto" w:fill="D8D8D8"/>
          </w:tcPr>
          <w:p>
            <w:pPr>
              <w:spacing w:after="0"/>
              <w:rPr>
                <w:sz w:val="24"/>
                <w:szCs w:val="24"/>
                <w:color w:val="auto"/>
              </w:rPr>
            </w:pPr>
          </w:p>
        </w:tc>
        <w:tc>
          <w:tcPr>
            <w:tcW w:w="740" w:type="dxa"/>
            <w:vAlign w:val="bottom"/>
            <w:tcBorders>
              <w:top w:val="single" w:sz="8" w:color="auto"/>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D8D8D8"/>
            </w:tcBorders>
            <w:vMerge w:val="restart"/>
            <w:shd w:val="clear" w:color="auto" w:fill="D8D8D8"/>
          </w:tcPr>
          <w:p>
            <w:pPr>
              <w:ind w:left="20"/>
              <w:spacing w:after="0"/>
              <w:rPr>
                <w:sz w:val="20"/>
                <w:szCs w:val="20"/>
                <w:color w:val="auto"/>
              </w:rPr>
            </w:pPr>
            <w:r>
              <w:rPr>
                <w:rFonts w:ascii="Arial" w:cs="Arial" w:eastAsia="Arial" w:hAnsi="Arial"/>
                <w:sz w:val="12"/>
                <w:szCs w:val="12"/>
                <w:i w:val="1"/>
                <w:iCs w:val="1"/>
                <w:color w:val="auto"/>
              </w:rPr>
              <w:t>thousands except shares</w:t>
            </w:r>
          </w:p>
        </w:tc>
        <w:tc>
          <w:tcPr>
            <w:tcW w:w="780" w:type="dxa"/>
            <w:vAlign w:val="bottom"/>
            <w:tcBorders>
              <w:top w:val="single" w:sz="8" w:color="auto"/>
            </w:tcBorders>
            <w:vMerge w:val="restart"/>
            <w:shd w:val="clear" w:color="auto" w:fill="D8D8D8"/>
          </w:tcPr>
          <w:p>
            <w:pPr>
              <w:jc w:val="right"/>
              <w:ind w:right="142"/>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shd w:val="clear" w:color="auto" w:fill="D8D8D8"/>
          </w:tcPr>
          <w:p>
            <w:pPr>
              <w:spacing w:after="0" w:line="20" w:lineRule="exact"/>
              <w:rPr>
                <w:sz w:val="1"/>
                <w:szCs w:val="1"/>
                <w:color w:val="auto"/>
              </w:rPr>
            </w:pPr>
          </w:p>
        </w:tc>
        <w:tc>
          <w:tcPr>
            <w:tcW w:w="560" w:type="dxa"/>
            <w:vAlign w:val="bottom"/>
            <w:tcBorders>
              <w:top w:val="single" w:sz="8" w:color="auto"/>
            </w:tcBorders>
            <w:vMerge w:val="restart"/>
            <w:shd w:val="clear" w:color="auto" w:fill="D8D8D8"/>
          </w:tcPr>
          <w:p>
            <w:pPr>
              <w:jc w:val="right"/>
              <w:ind w:right="62"/>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top w:val="single" w:sz="8" w:color="D8D8D8"/>
            </w:tcBorders>
            <w:shd w:val="clear" w:color="auto" w:fill="D8D8D8"/>
          </w:tcPr>
          <w:p>
            <w:pPr>
              <w:spacing w:after="0" w:line="20" w:lineRule="exact"/>
              <w:rPr>
                <w:sz w:val="1"/>
                <w:szCs w:val="1"/>
                <w:color w:val="auto"/>
              </w:rPr>
            </w:pPr>
          </w:p>
        </w:tc>
        <w:tc>
          <w:tcPr>
            <w:tcW w:w="740" w:type="dxa"/>
            <w:vAlign w:val="bottom"/>
            <w:tcBorders>
              <w:top w:val="single" w:sz="8" w:color="D8D8D8"/>
            </w:tcBorders>
            <w:shd w:val="clear" w:color="auto" w:fill="D8D8D8"/>
          </w:tcPr>
          <w:p>
            <w:pPr>
              <w:jc w:val="right"/>
              <w:ind w:right="103"/>
              <w:spacing w:after="0" w:line="21" w:lineRule="exact"/>
              <w:rPr>
                <w:sz w:val="20"/>
                <w:szCs w:val="20"/>
                <w:color w:val="auto"/>
              </w:rPr>
            </w:pPr>
            <w:r>
              <w:rPr>
                <w:rFonts w:ascii="Arial" w:cs="Arial" w:eastAsia="Arial" w:hAnsi="Arial"/>
                <w:sz w:val="2"/>
                <w:szCs w:val="2"/>
                <w:b w:val="1"/>
                <w:bCs w:val="1"/>
                <w:color w:val="auto"/>
              </w:rPr>
              <w:t>Additional</w:t>
            </w:r>
          </w:p>
        </w:tc>
        <w:tc>
          <w:tcPr>
            <w:tcW w:w="120" w:type="dxa"/>
            <w:vAlign w:val="bottom"/>
            <w:tcBorders>
              <w:top w:val="single" w:sz="8" w:color="D8D8D8"/>
            </w:tcBorders>
            <w:shd w:val="clear" w:color="auto" w:fill="D8D8D8"/>
          </w:tcPr>
          <w:p>
            <w:pPr>
              <w:spacing w:after="0" w:line="20" w:lineRule="exact"/>
              <w:rPr>
                <w:sz w:val="1"/>
                <w:szCs w:val="1"/>
                <w:color w:val="auto"/>
              </w:rPr>
            </w:pPr>
          </w:p>
        </w:tc>
        <w:tc>
          <w:tcPr>
            <w:tcW w:w="920" w:type="dxa"/>
            <w:vAlign w:val="bottom"/>
            <w:tcBorders>
              <w:top w:val="single" w:sz="8" w:color="D8D8D8"/>
            </w:tcBorders>
            <w:shd w:val="clear" w:color="auto" w:fill="D8D8D8"/>
          </w:tcPr>
          <w:p>
            <w:pPr>
              <w:jc w:val="right"/>
              <w:ind w:right="83"/>
              <w:spacing w:after="0" w:line="21" w:lineRule="exact"/>
              <w:rPr>
                <w:sz w:val="20"/>
                <w:szCs w:val="20"/>
                <w:color w:val="auto"/>
              </w:rPr>
            </w:pPr>
            <w:r>
              <w:rPr>
                <w:rFonts w:ascii="Arial" w:cs="Arial" w:eastAsia="Arial" w:hAnsi="Arial"/>
                <w:sz w:val="2"/>
                <w:szCs w:val="2"/>
                <w:b w:val="1"/>
                <w:bCs w:val="1"/>
                <w:color w:val="auto"/>
              </w:rPr>
              <w:t>(Accumulated</w:t>
            </w:r>
          </w:p>
        </w:tc>
        <w:tc>
          <w:tcPr>
            <w:tcW w:w="120" w:type="dxa"/>
            <w:vAlign w:val="bottom"/>
            <w:tcBorders>
              <w:top w:val="single" w:sz="8" w:color="D8D8D8"/>
            </w:tcBorders>
            <w:shd w:val="clear" w:color="auto" w:fill="D8D8D8"/>
          </w:tcPr>
          <w:p>
            <w:pPr>
              <w:spacing w:after="0" w:line="20" w:lineRule="exact"/>
              <w:rPr>
                <w:sz w:val="1"/>
                <w:szCs w:val="1"/>
                <w:color w:val="auto"/>
              </w:rPr>
            </w:pPr>
          </w:p>
        </w:tc>
        <w:tc>
          <w:tcPr>
            <w:tcW w:w="1060" w:type="dxa"/>
            <w:vAlign w:val="bottom"/>
            <w:tcBorders>
              <w:top w:val="single" w:sz="8" w:color="D8D8D8"/>
            </w:tcBorders>
            <w:shd w:val="clear" w:color="auto" w:fill="D8D8D8"/>
          </w:tcPr>
          <w:p>
            <w:pPr>
              <w:jc w:val="center"/>
              <w:ind w:right="63"/>
              <w:spacing w:after="0" w:line="21" w:lineRule="exact"/>
              <w:rPr>
                <w:sz w:val="20"/>
                <w:szCs w:val="20"/>
                <w:color w:val="auto"/>
              </w:rPr>
            </w:pPr>
            <w:r>
              <w:rPr>
                <w:rFonts w:ascii="Arial" w:cs="Arial" w:eastAsia="Arial" w:hAnsi="Arial"/>
                <w:sz w:val="2"/>
                <w:szCs w:val="2"/>
                <w:b w:val="1"/>
                <w:bCs w:val="1"/>
                <w:color w:val="auto"/>
              </w:rPr>
              <w:t>Comprehensive</w:t>
            </w:r>
          </w:p>
        </w:tc>
        <w:tc>
          <w:tcPr>
            <w:tcW w:w="780" w:type="dxa"/>
            <w:vAlign w:val="bottom"/>
            <w:tcBorders>
              <w:top w:val="single" w:sz="8" w:color="auto"/>
            </w:tcBorders>
            <w:vMerge w:val="restart"/>
            <w:shd w:val="clear" w:color="auto" w:fill="D8D8D8"/>
          </w:tcPr>
          <w:p>
            <w:pPr>
              <w:jc w:val="right"/>
              <w:ind w:right="142"/>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tcBorders>
            <w:shd w:val="clear" w:color="auto" w:fill="D8D8D8"/>
          </w:tcPr>
          <w:p>
            <w:pPr>
              <w:spacing w:after="0" w:line="20" w:lineRule="exact"/>
              <w:rPr>
                <w:sz w:val="1"/>
                <w:szCs w:val="1"/>
                <w:color w:val="auto"/>
              </w:rPr>
            </w:pPr>
          </w:p>
        </w:tc>
        <w:tc>
          <w:tcPr>
            <w:tcW w:w="660" w:type="dxa"/>
            <w:vAlign w:val="bottom"/>
            <w:tcBorders>
              <w:top w:val="single" w:sz="8" w:color="auto"/>
            </w:tcBorders>
            <w:vMerge w:val="restart"/>
            <w:shd w:val="clear" w:color="auto" w:fill="D8D8D8"/>
          </w:tcPr>
          <w:p>
            <w:pPr>
              <w:jc w:val="right"/>
              <w:ind w:right="122"/>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top w:val="single" w:sz="8" w:color="D8D8D8"/>
            </w:tcBorders>
            <w:shd w:val="clear" w:color="auto" w:fill="D8D8D8"/>
          </w:tcPr>
          <w:p>
            <w:pPr>
              <w:spacing w:after="0" w:line="20" w:lineRule="exact"/>
              <w:rPr>
                <w:sz w:val="1"/>
                <w:szCs w:val="1"/>
                <w:color w:val="auto"/>
              </w:rPr>
            </w:pPr>
          </w:p>
        </w:tc>
        <w:tc>
          <w:tcPr>
            <w:tcW w:w="920" w:type="dxa"/>
            <w:vAlign w:val="bottom"/>
            <w:tcBorders>
              <w:top w:val="single" w:sz="8" w:color="D8D8D8"/>
            </w:tcBorders>
            <w:shd w:val="clear" w:color="auto" w:fill="D8D8D8"/>
          </w:tcPr>
          <w:p>
            <w:pPr>
              <w:jc w:val="center"/>
              <w:ind w:right="83"/>
              <w:spacing w:after="0" w:line="21" w:lineRule="exact"/>
              <w:rPr>
                <w:sz w:val="20"/>
                <w:szCs w:val="20"/>
                <w:color w:val="auto"/>
              </w:rPr>
            </w:pPr>
            <w:r>
              <w:rPr>
                <w:rFonts w:ascii="Arial" w:cs="Arial" w:eastAsia="Arial" w:hAnsi="Arial"/>
                <w:sz w:val="2"/>
                <w:szCs w:val="2"/>
                <w:b w:val="1"/>
                <w:bCs w:val="1"/>
                <w:color w:val="auto"/>
              </w:rPr>
              <w:t>Stockholders’</w:t>
            </w:r>
          </w:p>
        </w:tc>
        <w:tc>
          <w:tcPr>
            <w:tcW w:w="120" w:type="dxa"/>
            <w:vAlign w:val="bottom"/>
            <w:tcBorders>
              <w:top w:val="single" w:sz="8" w:color="D8D8D8"/>
            </w:tcBorders>
            <w:shd w:val="clear" w:color="auto" w:fill="D8D8D8"/>
          </w:tcPr>
          <w:p>
            <w:pPr>
              <w:spacing w:after="0" w:line="20" w:lineRule="exact"/>
              <w:rPr>
                <w:sz w:val="1"/>
                <w:szCs w:val="1"/>
                <w:color w:val="auto"/>
              </w:rPr>
            </w:pPr>
          </w:p>
        </w:tc>
        <w:tc>
          <w:tcPr>
            <w:tcW w:w="980" w:type="dxa"/>
            <w:vAlign w:val="bottom"/>
            <w:tcBorders>
              <w:top w:val="single" w:sz="8" w:color="D8D8D8"/>
            </w:tcBorders>
            <w:shd w:val="clear" w:color="auto" w:fill="D8D8D8"/>
          </w:tcPr>
          <w:p>
            <w:pPr>
              <w:jc w:val="right"/>
              <w:ind w:right="103"/>
              <w:spacing w:after="0" w:line="21" w:lineRule="exact"/>
              <w:rPr>
                <w:sz w:val="20"/>
                <w:szCs w:val="20"/>
                <w:color w:val="auto"/>
              </w:rPr>
            </w:pPr>
            <w:r>
              <w:rPr>
                <w:rFonts w:ascii="Arial" w:cs="Arial" w:eastAsia="Arial" w:hAnsi="Arial"/>
                <w:sz w:val="2"/>
                <w:szCs w:val="2"/>
                <w:b w:val="1"/>
                <w:bCs w:val="1"/>
                <w:color w:val="auto"/>
              </w:rPr>
              <w:t>Noncontrolling</w:t>
            </w: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740" w:type="dxa"/>
            <w:vAlign w:val="bottom"/>
            <w:tcBorders>
              <w:top w:val="single" w:sz="8" w:color="D8D8D8"/>
            </w:tcBorders>
            <w:vMerge w:val="restart"/>
            <w:shd w:val="clear" w:color="auto" w:fill="D8D8D8"/>
          </w:tcPr>
          <w:p>
            <w:pPr>
              <w:jc w:val="right"/>
              <w:ind w:right="42"/>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auto"/>
            </w:tcBorders>
            <w:vMerge w:val="continue"/>
            <w:shd w:val="clear" w:color="auto" w:fill="D8D8D8"/>
          </w:tcPr>
          <w:p>
            <w:pPr>
              <w:spacing w:after="0"/>
              <w:rPr>
                <w:sz w:val="14"/>
                <w:szCs w:val="14"/>
                <w:color w:val="auto"/>
              </w:rPr>
            </w:pPr>
          </w:p>
        </w:tc>
        <w:tc>
          <w:tcPr>
            <w:tcW w:w="780" w:type="dxa"/>
            <w:vAlign w:val="bottom"/>
            <w:tcBorders>
              <w:bottom w:val="single" w:sz="8" w:color="auto"/>
            </w:tcBorders>
            <w:vMerge w:val="continue"/>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560" w:type="dxa"/>
            <w:vAlign w:val="bottom"/>
            <w:tcBorders>
              <w:bottom w:val="single" w:sz="8" w:color="auto"/>
            </w:tcBorders>
            <w:vMerge w:val="continue"/>
            <w:shd w:val="clear" w:color="auto" w:fill="D8D8D8"/>
          </w:tcPr>
          <w:p>
            <w:pPr>
              <w:spacing w:after="0"/>
              <w:rPr>
                <w:sz w:val="14"/>
                <w:szCs w:val="14"/>
                <w:color w:val="auto"/>
              </w:rPr>
            </w:pPr>
          </w:p>
        </w:tc>
        <w:tc>
          <w:tcPr>
            <w:tcW w:w="86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1"/>
                <w:szCs w:val="11"/>
                <w:b w:val="1"/>
                <w:bCs w:val="1"/>
                <w:color w:val="auto"/>
              </w:rPr>
              <w:t>Paid-in Capital</w:t>
            </w:r>
          </w:p>
        </w:tc>
        <w:tc>
          <w:tcPr>
            <w:tcW w:w="120" w:type="dxa"/>
            <w:vAlign w:val="bottom"/>
            <w:tcBorders>
              <w:bottom w:val="single" w:sz="8" w:color="auto"/>
            </w:tcBorders>
            <w:shd w:val="clear" w:color="auto" w:fill="D8D8D8"/>
          </w:tcPr>
          <w:p>
            <w:pPr>
              <w:spacing w:after="0"/>
              <w:rPr>
                <w:sz w:val="14"/>
                <w:szCs w:val="14"/>
                <w:color w:val="auto"/>
              </w:rPr>
            </w:pPr>
          </w:p>
        </w:tc>
        <w:tc>
          <w:tcPr>
            <w:tcW w:w="920" w:type="dxa"/>
            <w:vAlign w:val="bottom"/>
            <w:tcBorders>
              <w:bottom w:val="single" w:sz="8" w:color="auto"/>
            </w:tcBorders>
            <w:shd w:val="clear" w:color="auto" w:fill="D8D8D8"/>
          </w:tcPr>
          <w:p>
            <w:pPr>
              <w:jc w:val="right"/>
              <w:ind w:right="263"/>
              <w:spacing w:after="0"/>
              <w:rPr>
                <w:sz w:val="20"/>
                <w:szCs w:val="20"/>
                <w:color w:val="auto"/>
              </w:rPr>
            </w:pPr>
            <w:r>
              <w:rPr>
                <w:rFonts w:ascii="Arial" w:cs="Arial" w:eastAsia="Arial" w:hAnsi="Arial"/>
                <w:sz w:val="11"/>
                <w:szCs w:val="11"/>
                <w:b w:val="1"/>
                <w:bCs w:val="1"/>
                <w:color w:val="auto"/>
              </w:rPr>
              <w:t>Deficit)</w:t>
            </w:r>
          </w:p>
        </w:tc>
        <w:tc>
          <w:tcPr>
            <w:tcW w:w="120" w:type="dxa"/>
            <w:vAlign w:val="bottom"/>
            <w:tcBorders>
              <w:bottom w:val="single" w:sz="8" w:color="auto"/>
            </w:tcBorders>
            <w:shd w:val="clear" w:color="auto" w:fill="D8D8D8"/>
          </w:tcPr>
          <w:p>
            <w:pPr>
              <w:spacing w:after="0"/>
              <w:rPr>
                <w:sz w:val="14"/>
                <w:szCs w:val="14"/>
                <w:color w:val="auto"/>
              </w:rPr>
            </w:pPr>
          </w:p>
        </w:tc>
        <w:tc>
          <w:tcPr>
            <w:tcW w:w="1060" w:type="dxa"/>
            <w:vAlign w:val="bottom"/>
            <w:tcBorders>
              <w:bottom w:val="single" w:sz="8" w:color="auto"/>
            </w:tcBorders>
            <w:shd w:val="clear" w:color="auto" w:fill="D8D8D8"/>
          </w:tcPr>
          <w:p>
            <w:pPr>
              <w:jc w:val="center"/>
              <w:ind w:right="43"/>
              <w:spacing w:after="0"/>
              <w:rPr>
                <w:sz w:val="20"/>
                <w:szCs w:val="20"/>
                <w:color w:val="auto"/>
              </w:rPr>
            </w:pPr>
            <w:r>
              <w:rPr>
                <w:rFonts w:ascii="Arial" w:cs="Arial" w:eastAsia="Arial" w:hAnsi="Arial"/>
                <w:sz w:val="11"/>
                <w:szCs w:val="11"/>
                <w:b w:val="1"/>
                <w:bCs w:val="1"/>
                <w:color w:val="auto"/>
              </w:rPr>
              <w:t>Income (Loss)</w:t>
            </w:r>
          </w:p>
        </w:tc>
        <w:tc>
          <w:tcPr>
            <w:tcW w:w="780" w:type="dxa"/>
            <w:vAlign w:val="bottom"/>
            <w:tcBorders>
              <w:bottom w:val="single" w:sz="8" w:color="auto"/>
            </w:tcBorders>
            <w:vMerge w:val="continue"/>
            <w:shd w:val="clear" w:color="auto" w:fill="D8D8D8"/>
          </w:tcPr>
          <w:p>
            <w:pPr>
              <w:spacing w:after="0"/>
              <w:rPr>
                <w:sz w:val="14"/>
                <w:szCs w:val="14"/>
                <w:color w:val="auto"/>
              </w:rPr>
            </w:pPr>
          </w:p>
        </w:tc>
        <w:tc>
          <w:tcPr>
            <w:tcW w:w="140" w:type="dxa"/>
            <w:vAlign w:val="bottom"/>
            <w:tcBorders>
              <w:bottom w:val="single" w:sz="8" w:color="auto"/>
            </w:tcBorders>
            <w:shd w:val="clear" w:color="auto" w:fill="D8D8D8"/>
          </w:tcPr>
          <w:p>
            <w:pPr>
              <w:spacing w:after="0"/>
              <w:rPr>
                <w:sz w:val="14"/>
                <w:szCs w:val="14"/>
                <w:color w:val="auto"/>
              </w:rPr>
            </w:pPr>
          </w:p>
        </w:tc>
        <w:tc>
          <w:tcPr>
            <w:tcW w:w="660" w:type="dxa"/>
            <w:vAlign w:val="bottom"/>
            <w:tcBorders>
              <w:bottom w:val="single" w:sz="8" w:color="auto"/>
            </w:tcBorders>
            <w:vMerge w:val="continue"/>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920" w:type="dxa"/>
            <w:vAlign w:val="bottom"/>
            <w:tcBorders>
              <w:bottom w:val="single" w:sz="8" w:color="auto"/>
            </w:tcBorders>
            <w:shd w:val="clear" w:color="auto" w:fill="D8D8D8"/>
          </w:tcPr>
          <w:p>
            <w:pPr>
              <w:jc w:val="center"/>
              <w:ind w:right="83"/>
              <w:spacing w:after="0"/>
              <w:rPr>
                <w:sz w:val="20"/>
                <w:szCs w:val="20"/>
                <w:color w:val="auto"/>
              </w:rPr>
            </w:pPr>
            <w:r>
              <w:rPr>
                <w:rFonts w:ascii="Arial" w:cs="Arial" w:eastAsia="Arial" w:hAnsi="Arial"/>
                <w:sz w:val="11"/>
                <w:szCs w:val="11"/>
                <w:b w:val="1"/>
                <w:bCs w:val="1"/>
                <w:color w:val="auto"/>
              </w:rPr>
              <w:t>Equity</w:t>
            </w:r>
          </w:p>
        </w:tc>
        <w:tc>
          <w:tcPr>
            <w:tcW w:w="120" w:type="dxa"/>
            <w:vAlign w:val="bottom"/>
            <w:tcBorders>
              <w:bottom w:val="single" w:sz="8" w:color="auto"/>
            </w:tcBorders>
            <w:shd w:val="clear" w:color="auto" w:fill="D8D8D8"/>
          </w:tcPr>
          <w:p>
            <w:pPr>
              <w:spacing w:after="0"/>
              <w:rPr>
                <w:sz w:val="14"/>
                <w:szCs w:val="14"/>
                <w:color w:val="auto"/>
              </w:rPr>
            </w:pPr>
          </w:p>
        </w:tc>
        <w:tc>
          <w:tcPr>
            <w:tcW w:w="980" w:type="dxa"/>
            <w:vAlign w:val="bottom"/>
            <w:tcBorders>
              <w:bottom w:val="single" w:sz="8" w:color="auto"/>
            </w:tcBorders>
            <w:shd w:val="clear" w:color="auto" w:fill="D8D8D8"/>
          </w:tcPr>
          <w:p>
            <w:pPr>
              <w:jc w:val="right"/>
              <w:ind w:right="263"/>
              <w:spacing w:after="0"/>
              <w:rPr>
                <w:sz w:val="20"/>
                <w:szCs w:val="20"/>
                <w:color w:val="auto"/>
              </w:rPr>
            </w:pPr>
            <w:r>
              <w:rPr>
                <w:rFonts w:ascii="Arial" w:cs="Arial" w:eastAsia="Arial" w:hAnsi="Arial"/>
                <w:sz w:val="11"/>
                <w:szCs w:val="11"/>
                <w:b w:val="1"/>
                <w:bCs w:val="1"/>
                <w:color w:val="auto"/>
              </w:rPr>
              <w:t>Interests</w:t>
            </w:r>
          </w:p>
        </w:tc>
        <w:tc>
          <w:tcPr>
            <w:tcW w:w="100" w:type="dxa"/>
            <w:vAlign w:val="bottom"/>
            <w:tcBorders>
              <w:bottom w:val="single" w:sz="8" w:color="auto"/>
            </w:tcBorders>
            <w:shd w:val="clear" w:color="auto" w:fill="D8D8D8"/>
          </w:tcPr>
          <w:p>
            <w:pPr>
              <w:spacing w:after="0"/>
              <w:rPr>
                <w:sz w:val="14"/>
                <w:szCs w:val="14"/>
                <w:color w:val="auto"/>
              </w:rPr>
            </w:pPr>
          </w:p>
        </w:tc>
        <w:tc>
          <w:tcPr>
            <w:tcW w:w="740" w:type="dxa"/>
            <w:vAlign w:val="bottom"/>
            <w:tcBorders>
              <w:bottom w:val="single" w:sz="8" w:color="auto"/>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2026</w:t>
            </w:r>
          </w:p>
        </w:tc>
        <w:tc>
          <w:tcPr>
            <w:tcW w:w="780" w:type="dxa"/>
            <w:vAlign w:val="bottom"/>
          </w:tcPr>
          <w:p>
            <w:pPr>
              <w:jc w:val="right"/>
              <w:spacing w:after="0"/>
              <w:rPr>
                <w:sz w:val="20"/>
                <w:szCs w:val="20"/>
                <w:color w:val="auto"/>
              </w:rPr>
            </w:pPr>
            <w:r>
              <w:rPr>
                <w:rFonts w:ascii="Arial" w:cs="Arial" w:eastAsia="Arial" w:hAnsi="Arial"/>
                <w:sz w:val="12"/>
                <w:szCs w:val="12"/>
                <w:color w:val="auto"/>
              </w:rPr>
              <w:t>66,253,546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4,478,286</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104,495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1,544</w:t>
            </w:r>
          </w:p>
        </w:tc>
        <w:tc>
          <w:tcPr>
            <w:tcW w:w="780" w:type="dxa"/>
            <w:vAlign w:val="bottom"/>
          </w:tcPr>
          <w:p>
            <w:pPr>
              <w:jc w:val="right"/>
              <w:spacing w:after="0"/>
              <w:rPr>
                <w:sz w:val="20"/>
                <w:szCs w:val="20"/>
                <w:color w:val="auto"/>
              </w:rPr>
            </w:pPr>
            <w:r>
              <w:rPr>
                <w:rFonts w:ascii="Arial" w:cs="Arial" w:eastAsia="Arial" w:hAnsi="Arial"/>
                <w:sz w:val="12"/>
                <w:szCs w:val="12"/>
                <w:color w:val="auto"/>
              </w:rPr>
              <w:t>(6,596,484)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(624,592)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3,960,396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73,577</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4,033,973</w:t>
            </w: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(1,087)</w:t>
            </w:r>
          </w:p>
        </w:tc>
        <w:tc>
          <w:tcPr>
            <w:tcW w:w="1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(1,087)</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716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8,513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8,513</w:t>
            </w:r>
          </w:p>
        </w:tc>
        <w:tc>
          <w:tcPr>
            <w:tcW w:w="120" w:type="dxa"/>
            <w:vAlign w:val="bottom"/>
          </w:tcPr>
          <w:p>
            <w:pPr>
              <w:spacing w:after="0"/>
              <w:rPr>
                <w:sz w:val="15"/>
                <w:szCs w:val="15"/>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8,513</w:t>
            </w: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rPr>
                <w:sz w:val="20"/>
                <w:szCs w:val="20"/>
                <w:color w:val="auto"/>
              </w:rPr>
            </w:pPr>
            <w:r>
              <w:rPr>
                <w:rFonts w:ascii="Arial" w:cs="Arial" w:eastAsia="Arial" w:hAnsi="Arial"/>
                <w:sz w:val="12"/>
                <w:szCs w:val="12"/>
                <w:color w:val="auto"/>
              </w:rPr>
              <w:t>Initial consolidation of noncontrolling</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2"/>
                <w:szCs w:val="12"/>
                <w:color w:val="auto"/>
              </w:rPr>
              <w:t>29,899</w:t>
            </w:r>
          </w:p>
        </w:tc>
        <w:tc>
          <w:tcPr>
            <w:tcW w:w="100" w:type="dxa"/>
            <w:vAlign w:val="bottom"/>
          </w:tcPr>
          <w:p>
            <w:pPr>
              <w:spacing w:after="0"/>
              <w:rPr>
                <w:sz w:val="12"/>
                <w:szCs w:val="12"/>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29,899</w:t>
            </w:r>
          </w:p>
        </w:tc>
        <w:tc>
          <w:tcPr>
            <w:tcW w:w="0" w:type="dxa"/>
            <w:vAlign w:val="bottom"/>
          </w:tcPr>
          <w:p>
            <w:pPr>
              <w:spacing w:after="0"/>
              <w:rPr>
                <w:sz w:val="1"/>
                <w:szCs w:val="1"/>
                <w:color w:val="auto"/>
              </w:rPr>
            </w:pPr>
          </w:p>
        </w:tc>
      </w:tr>
      <w:tr>
        <w:trPr>
          <w:trHeight w:val="152"/>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60" w:type="dxa"/>
            <w:vAlign w:val="bottom"/>
          </w:tcPr>
          <w:p>
            <w:pPr>
              <w:ind w:left="20"/>
              <w:spacing w:after="0" w:line="132" w:lineRule="exact"/>
              <w:rPr>
                <w:sz w:val="20"/>
                <w:szCs w:val="20"/>
                <w:color w:val="auto"/>
              </w:rPr>
            </w:pPr>
            <w:r>
              <w:rPr>
                <w:rFonts w:ascii="Arial" w:cs="Arial" w:eastAsia="Arial" w:hAnsi="Arial"/>
                <w:sz w:val="12"/>
                <w:szCs w:val="12"/>
                <w:color w:val="auto"/>
              </w:rPr>
              <w:t>Transactions with noncontrolling</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2"/>
                <w:szCs w:val="12"/>
                <w:color w:val="auto"/>
              </w:rPr>
              <w:t>1,348</w:t>
            </w:r>
          </w:p>
        </w:tc>
        <w:tc>
          <w:tcPr>
            <w:tcW w:w="10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1,348</w:t>
            </w:r>
          </w:p>
        </w:tc>
        <w:tc>
          <w:tcPr>
            <w:tcW w:w="0" w:type="dxa"/>
            <w:vAlign w:val="bottom"/>
          </w:tcPr>
          <w:p>
            <w:pPr>
              <w:spacing w:after="0"/>
              <w:rPr>
                <w:sz w:val="1"/>
                <w:szCs w:val="1"/>
                <w:color w:val="auto"/>
              </w:rPr>
            </w:pPr>
          </w:p>
        </w:tc>
      </w:tr>
      <w:tr>
        <w:trPr>
          <w:trHeight w:val="152"/>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Stock plan activity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60,713</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4,990</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4,990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4,990</w:t>
            </w:r>
          </w:p>
        </w:tc>
        <w:tc>
          <w:tcPr>
            <w:tcW w:w="0" w:type="dxa"/>
            <w:vAlign w:val="bottom"/>
          </w:tcPr>
          <w:p>
            <w:pPr>
              <w:spacing w:after="0"/>
              <w:rPr>
                <w:sz w:val="1"/>
                <w:szCs w:val="1"/>
                <w:color w:val="auto"/>
              </w:rPr>
            </w:pPr>
          </w:p>
        </w:tc>
      </w:tr>
      <w:tr>
        <w:trPr>
          <w:trHeight w:val="16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Balance at September 30, 2026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66,314,259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4,483,276</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103,408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10,057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(6,596,484)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(624,592)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3,972,812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105,540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4,078,352</w:t>
            </w:r>
          </w:p>
        </w:tc>
        <w:tc>
          <w:tcPr>
            <w:tcW w:w="0" w:type="dxa"/>
            <w:vAlign w:val="bottom"/>
          </w:tcPr>
          <w:p>
            <w:pPr>
              <w:spacing w:after="0"/>
              <w:rPr>
                <w:sz w:val="1"/>
                <w:szCs w:val="1"/>
                <w:color w:val="auto"/>
              </w:rPr>
            </w:pPr>
          </w:p>
        </w:tc>
      </w:tr>
      <w:tr>
        <w:trPr>
          <w:trHeight w:val="352"/>
        </w:trPr>
        <w:tc>
          <w:tcPr>
            <w:tcW w:w="216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2025</w:t>
            </w:r>
          </w:p>
        </w:tc>
        <w:tc>
          <w:tcPr>
            <w:tcW w:w="780" w:type="dxa"/>
            <w:vAlign w:val="bottom"/>
          </w:tcPr>
          <w:p>
            <w:pPr>
              <w:jc w:val="right"/>
              <w:spacing w:after="0"/>
              <w:rPr>
                <w:sz w:val="20"/>
                <w:szCs w:val="20"/>
                <w:color w:val="auto"/>
              </w:rPr>
            </w:pPr>
            <w:r>
              <w:rPr>
                <w:rFonts w:ascii="Arial" w:cs="Arial" w:eastAsia="Arial" w:hAnsi="Arial"/>
                <w:sz w:val="12"/>
                <w:szCs w:val="12"/>
                <w:color w:val="auto"/>
              </w:rPr>
              <w:t>65,883,495</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659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4,450,854</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(187,604)</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(724)</w:t>
            </w:r>
          </w:p>
        </w:tc>
        <w:tc>
          <w:tcPr>
            <w:tcW w:w="780" w:type="dxa"/>
            <w:vAlign w:val="bottom"/>
          </w:tcPr>
          <w:p>
            <w:pPr>
              <w:jc w:val="right"/>
              <w:spacing w:after="0"/>
              <w:rPr>
                <w:sz w:val="20"/>
                <w:szCs w:val="20"/>
                <w:color w:val="auto"/>
              </w:rPr>
            </w:pPr>
            <w:r>
              <w:rPr>
                <w:rFonts w:ascii="Arial" w:cs="Arial" w:eastAsia="Arial" w:hAnsi="Arial"/>
                <w:sz w:val="12"/>
                <w:szCs w:val="12"/>
                <w:color w:val="auto"/>
              </w:rPr>
              <w:t>(6,520,274)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(618,507)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3,644,678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66,966</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3,711,644</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119,508</w:t>
            </w:r>
          </w:p>
        </w:tc>
        <w:tc>
          <w:tcPr>
            <w:tcW w:w="1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119,508</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119,402</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(692)</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(692)</w:t>
            </w:r>
          </w:p>
        </w:tc>
        <w:tc>
          <w:tcPr>
            <w:tcW w:w="120" w:type="dxa"/>
            <w:vAlign w:val="bottom"/>
          </w:tcPr>
          <w:p>
            <w:pPr>
              <w:spacing w:after="0"/>
              <w:rPr>
                <w:sz w:val="15"/>
                <w:szCs w:val="15"/>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(692)</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2"/>
                <w:szCs w:val="12"/>
                <w:color w:val="auto"/>
              </w:rPr>
              <w:t>Transactions with noncontrolling</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2"/>
                <w:szCs w:val="12"/>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52"/>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60" w:type="dxa"/>
            <w:vAlign w:val="bottom"/>
          </w:tcPr>
          <w:p>
            <w:pPr>
              <w:ind w:left="20"/>
              <w:spacing w:after="0"/>
              <w:rPr>
                <w:sz w:val="20"/>
                <w:szCs w:val="20"/>
                <w:color w:val="auto"/>
              </w:rPr>
            </w:pPr>
            <w:r>
              <w:rPr>
                <w:rFonts w:ascii="Arial" w:cs="Arial" w:eastAsia="Arial" w:hAnsi="Arial"/>
                <w:sz w:val="12"/>
                <w:szCs w:val="12"/>
                <w:color w:val="auto"/>
              </w:rPr>
              <w:t>Issuance of common shares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Stock plan activity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25,159</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4,280</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4,219</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4,219</w:t>
            </w:r>
          </w:p>
        </w:tc>
        <w:tc>
          <w:tcPr>
            <w:tcW w:w="0" w:type="dxa"/>
            <w:vAlign w:val="bottom"/>
          </w:tcPr>
          <w:p>
            <w:pPr>
              <w:spacing w:after="0"/>
              <w:rPr>
                <w:sz w:val="1"/>
                <w:szCs w:val="1"/>
                <w:color w:val="auto"/>
              </w:rPr>
            </w:pPr>
          </w:p>
        </w:tc>
      </w:tr>
      <w:tr>
        <w:trPr>
          <w:trHeight w:val="16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Balance at September 30, 2025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65,908,654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4,455,012</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(6,521,166)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(618,568)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3,767,591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67,009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3,834,600</w:t>
            </w:r>
          </w:p>
        </w:tc>
        <w:tc>
          <w:tcPr>
            <w:tcW w:w="0" w:type="dxa"/>
            <w:vAlign w:val="bottom"/>
          </w:tcPr>
          <w:p>
            <w:pPr>
              <w:spacing w:after="0"/>
              <w:rPr>
                <w:sz w:val="1"/>
                <w:szCs w:val="1"/>
                <w:color w:val="auto"/>
              </w:rPr>
            </w:pPr>
          </w:p>
        </w:tc>
      </w:tr>
      <w:tr>
        <w:trPr>
          <w:trHeight w:val="352"/>
        </w:trPr>
        <w:tc>
          <w:tcPr>
            <w:tcW w:w="216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2025</w:t>
            </w:r>
          </w:p>
        </w:tc>
        <w:tc>
          <w:tcPr>
            <w:tcW w:w="780" w:type="dxa"/>
            <w:vAlign w:val="bottom"/>
          </w:tcPr>
          <w:p>
            <w:pPr>
              <w:jc w:val="right"/>
              <w:spacing w:after="0"/>
              <w:rPr>
                <w:sz w:val="20"/>
                <w:szCs w:val="20"/>
                <w:color w:val="auto"/>
              </w:rPr>
            </w:pPr>
            <w:r>
              <w:rPr>
                <w:rFonts w:ascii="Arial" w:cs="Arial" w:eastAsia="Arial" w:hAnsi="Arial"/>
                <w:sz w:val="12"/>
                <w:szCs w:val="12"/>
                <w:color w:val="auto"/>
              </w:rPr>
              <w:t>65,910,640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659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4,458,838</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(62,096)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(1,827)</w:t>
            </w:r>
          </w:p>
        </w:tc>
        <w:tc>
          <w:tcPr>
            <w:tcW w:w="780" w:type="dxa"/>
            <w:vAlign w:val="bottom"/>
          </w:tcPr>
          <w:p>
            <w:pPr>
              <w:jc w:val="right"/>
              <w:spacing w:after="0"/>
              <w:rPr>
                <w:sz w:val="20"/>
                <w:szCs w:val="20"/>
                <w:color w:val="auto"/>
              </w:rPr>
            </w:pPr>
            <w:r>
              <w:rPr>
                <w:rFonts w:ascii="Arial" w:cs="Arial" w:eastAsia="Arial" w:hAnsi="Arial"/>
                <w:sz w:val="12"/>
                <w:szCs w:val="12"/>
                <w:color w:val="auto"/>
              </w:rPr>
              <w:t>(6,540,287)</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(620,118)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3,775,456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66,790</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3,842,246</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165,504</w:t>
            </w:r>
          </w:p>
        </w:tc>
        <w:tc>
          <w:tcPr>
            <w:tcW w:w="1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165,504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(853)</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164,651</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11,884</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11,884</w:t>
            </w:r>
          </w:p>
        </w:tc>
        <w:tc>
          <w:tcPr>
            <w:tcW w:w="120" w:type="dxa"/>
            <w:vAlign w:val="bottom"/>
          </w:tcPr>
          <w:p>
            <w:pPr>
              <w:spacing w:after="0"/>
              <w:rPr>
                <w:sz w:val="15"/>
                <w:szCs w:val="15"/>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11,884</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2"/>
                <w:szCs w:val="12"/>
                <w:color w:val="auto"/>
              </w:rPr>
              <w:t>Initial consolidation of noncontrolling</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2"/>
                <w:szCs w:val="12"/>
                <w:color w:val="auto"/>
              </w:rPr>
              <w:t>37,652</w:t>
            </w:r>
          </w:p>
        </w:tc>
        <w:tc>
          <w:tcPr>
            <w:tcW w:w="100" w:type="dxa"/>
            <w:vAlign w:val="bottom"/>
          </w:tcPr>
          <w:p>
            <w:pPr>
              <w:spacing w:after="0"/>
              <w:rPr>
                <w:sz w:val="12"/>
                <w:szCs w:val="12"/>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37,652</w:t>
            </w:r>
          </w:p>
        </w:tc>
        <w:tc>
          <w:tcPr>
            <w:tcW w:w="0" w:type="dxa"/>
            <w:vAlign w:val="bottom"/>
          </w:tcPr>
          <w:p>
            <w:pPr>
              <w:spacing w:after="0"/>
              <w:rPr>
                <w:sz w:val="1"/>
                <w:szCs w:val="1"/>
                <w:color w:val="auto"/>
              </w:rPr>
            </w:pPr>
          </w:p>
        </w:tc>
      </w:tr>
      <w:tr>
        <w:trPr>
          <w:trHeight w:val="152"/>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60" w:type="dxa"/>
            <w:vAlign w:val="bottom"/>
          </w:tcPr>
          <w:p>
            <w:pPr>
              <w:ind w:left="20"/>
              <w:spacing w:after="0" w:line="132" w:lineRule="exact"/>
              <w:rPr>
                <w:sz w:val="20"/>
                <w:szCs w:val="20"/>
                <w:color w:val="auto"/>
              </w:rPr>
            </w:pPr>
            <w:r>
              <w:rPr>
                <w:rFonts w:ascii="Arial" w:cs="Arial" w:eastAsia="Arial" w:hAnsi="Arial"/>
                <w:sz w:val="12"/>
                <w:szCs w:val="12"/>
                <w:color w:val="auto"/>
              </w:rPr>
              <w:t>Transactions with noncontrolling</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2"/>
                <w:szCs w:val="12"/>
                <w:color w:val="auto"/>
              </w:rPr>
              <w:t>1,951</w:t>
            </w:r>
          </w:p>
        </w:tc>
        <w:tc>
          <w:tcPr>
            <w:tcW w:w="10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1,951</w:t>
            </w:r>
          </w:p>
        </w:tc>
        <w:tc>
          <w:tcPr>
            <w:tcW w:w="0" w:type="dxa"/>
            <w:vAlign w:val="bottom"/>
          </w:tcPr>
          <w:p>
            <w:pPr>
              <w:spacing w:after="0"/>
              <w:rPr>
                <w:sz w:val="1"/>
                <w:szCs w:val="1"/>
                <w:color w:val="auto"/>
              </w:rPr>
            </w:pPr>
          </w:p>
        </w:tc>
      </w:tr>
      <w:tr>
        <w:trPr>
          <w:trHeight w:val="152"/>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60" w:type="dxa"/>
            <w:vAlign w:val="bottom"/>
          </w:tcPr>
          <w:p>
            <w:pPr>
              <w:ind w:left="20"/>
              <w:spacing w:after="0"/>
              <w:rPr>
                <w:sz w:val="20"/>
                <w:szCs w:val="20"/>
                <w:color w:val="auto"/>
              </w:rPr>
            </w:pPr>
            <w:r>
              <w:rPr>
                <w:rFonts w:ascii="Arial" w:cs="Arial" w:eastAsia="Arial" w:hAnsi="Arial"/>
                <w:sz w:val="12"/>
                <w:szCs w:val="12"/>
                <w:color w:val="auto"/>
              </w:rPr>
              <w:t>Stock plan activity</w:t>
            </w:r>
          </w:p>
        </w:tc>
        <w:tc>
          <w:tcPr>
            <w:tcW w:w="780" w:type="dxa"/>
            <w:vAlign w:val="bottom"/>
          </w:tcPr>
          <w:p>
            <w:pPr>
              <w:jc w:val="right"/>
              <w:spacing w:after="0"/>
              <w:rPr>
                <w:sz w:val="20"/>
                <w:szCs w:val="20"/>
                <w:color w:val="auto"/>
              </w:rPr>
            </w:pPr>
            <w:r>
              <w:rPr>
                <w:rFonts w:ascii="Arial" w:cs="Arial" w:eastAsia="Arial" w:hAnsi="Arial"/>
                <w:sz w:val="12"/>
                <w:szCs w:val="12"/>
                <w:color w:val="auto"/>
              </w:rPr>
              <w:t>403,619</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14,438</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(56,197)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(4,474)</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9,968</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9,968</w:t>
            </w: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Issuance of warrants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10,000</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10,000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7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Balance at September 30, 2026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66,314,259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4,483,276</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103,408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10,057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(6,596,484)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(624,592)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3,972,812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105,540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4,078,352</w:t>
            </w:r>
          </w:p>
        </w:tc>
        <w:tc>
          <w:tcPr>
            <w:tcW w:w="0" w:type="dxa"/>
            <w:vAlign w:val="bottom"/>
          </w:tcPr>
          <w:p>
            <w:pPr>
              <w:spacing w:after="0"/>
              <w:rPr>
                <w:sz w:val="1"/>
                <w:szCs w:val="1"/>
                <w:color w:val="auto"/>
              </w:rPr>
            </w:pPr>
          </w:p>
        </w:tc>
      </w:tr>
      <w:tr>
        <w:trPr>
          <w:trHeight w:val="365"/>
        </w:trPr>
        <w:tc>
          <w:tcPr>
            <w:tcW w:w="216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2024</w:t>
            </w:r>
          </w:p>
        </w:tc>
        <w:tc>
          <w:tcPr>
            <w:tcW w:w="780" w:type="dxa"/>
            <w:vAlign w:val="bottom"/>
          </w:tcPr>
          <w:p>
            <w:pPr>
              <w:jc w:val="right"/>
              <w:spacing w:after="0"/>
              <w:rPr>
                <w:sz w:val="20"/>
                <w:szCs w:val="20"/>
                <w:color w:val="auto"/>
              </w:rPr>
            </w:pPr>
            <w:r>
              <w:rPr>
                <w:rFonts w:ascii="Arial" w:cs="Arial" w:eastAsia="Arial" w:hAnsi="Arial"/>
                <w:sz w:val="12"/>
                <w:szCs w:val="12"/>
                <w:color w:val="auto"/>
              </w:rPr>
              <w:t>56,610,009</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566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3,576,274</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(185,993)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1,968</w:t>
            </w:r>
          </w:p>
        </w:tc>
        <w:tc>
          <w:tcPr>
            <w:tcW w:w="780" w:type="dxa"/>
            <w:vAlign w:val="bottom"/>
          </w:tcPr>
          <w:p>
            <w:pPr>
              <w:jc w:val="right"/>
              <w:spacing w:after="0"/>
              <w:rPr>
                <w:sz w:val="20"/>
                <w:szCs w:val="20"/>
                <w:color w:val="auto"/>
              </w:rPr>
            </w:pPr>
            <w:r>
              <w:rPr>
                <w:rFonts w:ascii="Arial" w:cs="Arial" w:eastAsia="Arial" w:hAnsi="Arial"/>
                <w:sz w:val="12"/>
                <w:szCs w:val="12"/>
                <w:color w:val="auto"/>
              </w:rPr>
              <w:t>(6,493,859)</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(616,589)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2,776,226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65,548</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2,841,774</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117,897</w:t>
            </w:r>
          </w:p>
        </w:tc>
        <w:tc>
          <w:tcPr>
            <w:tcW w:w="1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117,897</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118,164</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(3,384)</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(3,384)</w:t>
            </w:r>
          </w:p>
        </w:tc>
        <w:tc>
          <w:tcPr>
            <w:tcW w:w="120" w:type="dxa"/>
            <w:vAlign w:val="bottom"/>
          </w:tcPr>
          <w:p>
            <w:pPr>
              <w:spacing w:after="0"/>
              <w:rPr>
                <w:sz w:val="15"/>
                <w:szCs w:val="15"/>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(3,384)</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2"/>
                <w:szCs w:val="12"/>
                <w:color w:val="auto"/>
              </w:rPr>
              <w:t>Transactions with noncontrolling</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2"/>
                <w:szCs w:val="12"/>
                <w:color w:val="auto"/>
              </w:rPr>
              <w:t>1,194</w:t>
            </w:r>
          </w:p>
        </w:tc>
        <w:tc>
          <w:tcPr>
            <w:tcW w:w="100" w:type="dxa"/>
            <w:vAlign w:val="bottom"/>
          </w:tcPr>
          <w:p>
            <w:pPr>
              <w:spacing w:after="0"/>
              <w:rPr>
                <w:sz w:val="12"/>
                <w:szCs w:val="12"/>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1,194</w:t>
            </w:r>
          </w:p>
        </w:tc>
        <w:tc>
          <w:tcPr>
            <w:tcW w:w="0" w:type="dxa"/>
            <w:vAlign w:val="bottom"/>
          </w:tcPr>
          <w:p>
            <w:pPr>
              <w:spacing w:after="0"/>
              <w:rPr>
                <w:sz w:val="1"/>
                <w:szCs w:val="1"/>
                <w:color w:val="auto"/>
              </w:rPr>
            </w:pPr>
          </w:p>
        </w:tc>
      </w:tr>
      <w:tr>
        <w:trPr>
          <w:trHeight w:val="152"/>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60" w:type="dxa"/>
            <w:vAlign w:val="bottom"/>
          </w:tcPr>
          <w:p>
            <w:pPr>
              <w:ind w:left="20"/>
              <w:spacing w:after="0"/>
              <w:rPr>
                <w:sz w:val="20"/>
                <w:szCs w:val="20"/>
                <w:color w:val="auto"/>
              </w:rPr>
            </w:pPr>
            <w:r>
              <w:rPr>
                <w:rFonts w:ascii="Arial" w:cs="Arial" w:eastAsia="Arial" w:hAnsi="Arial"/>
                <w:sz w:val="12"/>
                <w:szCs w:val="12"/>
                <w:color w:val="auto"/>
              </w:rPr>
              <w:t>Issuance of common shares</w:t>
            </w:r>
          </w:p>
        </w:tc>
        <w:tc>
          <w:tcPr>
            <w:tcW w:w="780" w:type="dxa"/>
            <w:vAlign w:val="bottom"/>
          </w:tcPr>
          <w:p>
            <w:pPr>
              <w:jc w:val="right"/>
              <w:spacing w:after="0"/>
              <w:rPr>
                <w:sz w:val="20"/>
                <w:szCs w:val="20"/>
                <w:color w:val="auto"/>
              </w:rPr>
            </w:pPr>
            <w:r>
              <w:rPr>
                <w:rFonts w:ascii="Arial" w:cs="Arial" w:eastAsia="Arial" w:hAnsi="Arial"/>
                <w:sz w:val="12"/>
                <w:szCs w:val="12"/>
                <w:color w:val="auto"/>
              </w:rPr>
              <w:t>9,000,000</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4"/>
                <w:szCs w:val="14"/>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862,699</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862,789</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862,789</w:t>
            </w: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Stock plan activity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298,645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16,039</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(27,307)</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(1,979)</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14,063</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14,063</w:t>
            </w:r>
          </w:p>
        </w:tc>
        <w:tc>
          <w:tcPr>
            <w:tcW w:w="0" w:type="dxa"/>
            <w:vAlign w:val="bottom"/>
          </w:tcPr>
          <w:p>
            <w:pPr>
              <w:spacing w:after="0"/>
              <w:rPr>
                <w:sz w:val="1"/>
                <w:szCs w:val="1"/>
                <w:color w:val="auto"/>
              </w:rPr>
            </w:pPr>
          </w:p>
        </w:tc>
      </w:tr>
      <w:tr>
        <w:trPr>
          <w:trHeight w:val="17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Balance at September 30, 2025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65,908,654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4,455,012</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(6,521,166)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(618,568)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3,767,591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67,009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3,834,600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0" w:hanging="436"/>
        <w:spacing w:after="0"/>
        <w:tabs>
          <w:tab w:leader="none" w:pos="5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20"/>
        <w:spacing w:after="0"/>
        <w:tabs>
          <w:tab w:leader="none" w:pos="9800" w:val="left"/>
        </w:tabs>
        <w:rPr>
          <w:sz w:val="20"/>
          <w:szCs w:val="20"/>
          <w:color w:val="auto"/>
        </w:rPr>
      </w:pPr>
      <w:r>
        <w:rPr>
          <w:rFonts w:ascii="Arial" w:cs="Arial" w:eastAsia="Arial" w:hAnsi="Arial"/>
          <w:sz w:val="18"/>
          <w:szCs w:val="18"/>
          <w:b w:val="1"/>
          <w:bCs w:val="1"/>
          <w:color w:val="auto"/>
        </w:rPr>
        <w:t>FINANCIAL STATEMENTS</w:t>
      </w:r>
      <w:r>
        <w:rPr>
          <w:sz w:val="20"/>
          <w:szCs w:val="20"/>
          <w:color w:val="auto"/>
        </w:rPr>
        <w:tab/>
      </w:r>
      <w:r>
        <w:rPr>
          <w:rFonts w:ascii="Arial" w:cs="Arial" w:eastAsia="Arial" w:hAnsi="Arial"/>
          <w:sz w:val="17"/>
          <w:szCs w:val="17"/>
          <w:color w:val="828282"/>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CONDENSED CONSOLIDATED STATEMENTS OF CASH FLOWS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Borders>
              <w:top w:val="single" w:sz="8" w:color="auto"/>
            </w:tcBorders>
            <w:shd w:val="clear" w:color="auto" w:fill="D8D8D8"/>
          </w:tcPr>
          <w:p>
            <w:pPr>
              <w:spacing w:after="0"/>
              <w:rPr>
                <w:sz w:val="14"/>
                <w:szCs w:val="14"/>
                <w:color w:val="auto"/>
              </w:rPr>
            </w:pPr>
          </w:p>
        </w:tc>
        <w:tc>
          <w:tcPr>
            <w:tcW w:w="220" w:type="dxa"/>
            <w:vAlign w:val="bottom"/>
            <w:tcBorders>
              <w:top w:val="single" w:sz="8" w:color="auto"/>
            </w:tcBorders>
            <w:shd w:val="clear" w:color="auto" w:fill="D8D8D8"/>
          </w:tcPr>
          <w:p>
            <w:pPr>
              <w:spacing w:after="0"/>
              <w:rPr>
                <w:sz w:val="14"/>
                <w:szCs w:val="14"/>
                <w:color w:val="auto"/>
              </w:rPr>
            </w:pPr>
          </w:p>
        </w:tc>
        <w:tc>
          <w:tcPr>
            <w:tcW w:w="2300" w:type="dxa"/>
            <w:vAlign w:val="bottom"/>
            <w:tcBorders>
              <w:top w:val="single" w:sz="8" w:color="auto"/>
            </w:tcBorders>
            <w:gridSpan w:val="3"/>
            <w:shd w:val="clear" w:color="auto" w:fill="D8D8D8"/>
          </w:tcPr>
          <w:p>
            <w:pPr>
              <w:jc w:val="right"/>
              <w:ind w:right="375"/>
              <w:spacing w:after="0" w:line="172"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D8D8D8"/>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20" w:type="dxa"/>
            <w:vAlign w:val="bottom"/>
            <w:tcBorders>
              <w:bottom w:val="single" w:sz="8" w:color="auto"/>
            </w:tcBorders>
            <w:shd w:val="clear" w:color="auto" w:fill="D8D8D8"/>
          </w:tcPr>
          <w:p>
            <w:pPr>
              <w:spacing w:after="0"/>
              <w:rPr>
                <w:sz w:val="19"/>
                <w:szCs w:val="19"/>
                <w:color w:val="auto"/>
              </w:rPr>
            </w:pPr>
          </w:p>
        </w:tc>
        <w:tc>
          <w:tcPr>
            <w:tcW w:w="2300" w:type="dxa"/>
            <w:vAlign w:val="bottom"/>
            <w:tcBorders>
              <w:bottom w:val="single" w:sz="8" w:color="auto"/>
            </w:tcBorders>
            <w:gridSpan w:val="3"/>
            <w:shd w:val="clear" w:color="auto" w:fill="D8D8D8"/>
          </w:tcPr>
          <w:p>
            <w:pPr>
              <w:jc w:val="right"/>
              <w:ind w:right="59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vMerge w:val="continue"/>
            <w:shd w:val="clear" w:color="auto" w:fill="D8D8D8"/>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2026</w:t>
            </w:r>
          </w:p>
        </w:tc>
        <w:tc>
          <w:tcPr>
            <w:tcW w:w="36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shd w:val="clear" w:color="auto" w:fill="D8D8D8"/>
          </w:tcPr>
          <w:p>
            <w:pPr>
              <w:jc w:val="right"/>
              <w:ind w:right="33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164,651</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118,164</w:t>
            </w:r>
          </w:p>
        </w:tc>
        <w:tc>
          <w:tcPr>
            <w:tcW w:w="0" w:type="dxa"/>
            <w:vAlign w:val="bottom"/>
          </w:tcPr>
          <w:p>
            <w:pPr>
              <w:spacing w:after="0"/>
              <w:rPr>
                <w:sz w:val="1"/>
                <w:szCs w:val="1"/>
                <w:color w:val="auto"/>
              </w:rPr>
            </w:pPr>
          </w:p>
        </w:tc>
      </w:tr>
      <w:tr>
        <w:trPr>
          <w:trHeight w:val="225"/>
        </w:trPr>
        <w:tc>
          <w:tcPr>
            <w:tcW w:w="8720" w:type="dxa"/>
            <w:vAlign w:val="bottom"/>
          </w:tcPr>
          <w:p>
            <w:pPr>
              <w:ind w:left="180"/>
              <w:spacing w:after="0"/>
              <w:rPr>
                <w:sz w:val="20"/>
                <w:szCs w:val="20"/>
                <w:color w:val="auto"/>
              </w:rPr>
            </w:pPr>
            <w:r>
              <w:rPr>
                <w:rFonts w:ascii="Arial" w:cs="Arial" w:eastAsia="Arial" w:hAnsi="Arial"/>
                <w:sz w:val="17"/>
                <w:szCs w:val="17"/>
                <w:color w:val="auto"/>
              </w:rPr>
              <w:t>Adjustments to reconcile net income (loss) to cash provided by (used in) operating activities: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7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136,737</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121,419</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109,398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14,662</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and accretion of investment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(210)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deferred financing costs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10,007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9,330</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Straight-line rent amortization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(7,602)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(5,058)</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39,157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29,513</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Restricted stock and stock option amortization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13,415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15,998</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Net gain on sale of properties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(58,382)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(29,834)</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Investment (gain) loss,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(12,637)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(Gain) loss on foreign exchange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169</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Loss on sale of MUD receivables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105,917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48,197</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Proceeds from sale of MUD receivables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195,133</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180,043</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(Gain) loss on extinguishment of debt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11,068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Equity in (earnings) losses from unconsolidated ventures, net of distributions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30,954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8,928</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Provision for (recovery of) doubtful accounts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391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2,087</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Master Planned Communities development expenditures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(394,947)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(325,854)</w:t>
            </w:r>
          </w:p>
        </w:tc>
        <w:tc>
          <w:tcPr>
            <w:tcW w:w="0" w:type="dxa"/>
            <w:vAlign w:val="bottom"/>
          </w:tcPr>
          <w:p>
            <w:pPr>
              <w:spacing w:after="0"/>
              <w:rPr>
                <w:sz w:val="1"/>
                <w:szCs w:val="1"/>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7"/>
                <w:szCs w:val="17"/>
                <w:color w:val="auto"/>
              </w:rPr>
              <w:t>Master Planned Communities cost of sales, net of SID bonds transfers to buyers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125,419</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146,087</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Condominium development expenditures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(384,846)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(397,767)</w:t>
            </w:r>
          </w:p>
        </w:tc>
        <w:tc>
          <w:tcPr>
            <w:tcW w:w="0" w:type="dxa"/>
            <w:vAlign w:val="bottom"/>
          </w:tcPr>
          <w:p>
            <w:pPr>
              <w:spacing w:after="0"/>
              <w:rPr>
                <w:sz w:val="1"/>
                <w:szCs w:val="1"/>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7"/>
                <w:szCs w:val="17"/>
                <w:color w:val="auto"/>
              </w:rPr>
              <w:t>Condominium rights and units cost of sales, net of closing commissions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565,270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r>
        <w:trPr>
          <w:trHeight w:val="225"/>
        </w:trPr>
        <w:tc>
          <w:tcPr>
            <w:tcW w:w="8720" w:type="dxa"/>
            <w:vAlign w:val="bottom"/>
          </w:tcPr>
          <w:p>
            <w:pPr>
              <w:ind w:left="220"/>
              <w:spacing w:after="0"/>
              <w:rPr>
                <w:sz w:val="20"/>
                <w:szCs w:val="20"/>
                <w:color w:val="auto"/>
              </w:rPr>
            </w:pPr>
            <w:r>
              <w:rPr>
                <w:rFonts w:ascii="Arial" w:cs="Arial" w:eastAsia="Arial" w:hAnsi="Arial"/>
                <w:sz w:val="17"/>
                <w:szCs w:val="17"/>
                <w:color w:val="auto"/>
              </w:rPr>
              <w:t>Net Changes: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720" w:type="dxa"/>
            <w:vAlign w:val="bottom"/>
          </w:tcPr>
          <w:p>
            <w:pPr>
              <w:ind w:left="360"/>
              <w:spacing w:after="0"/>
              <w:rPr>
                <w:sz w:val="20"/>
                <w:szCs w:val="20"/>
                <w:color w:val="auto"/>
              </w:rPr>
            </w:pPr>
            <w:r>
              <w:rPr>
                <w:rFonts w:ascii="Arial" w:cs="Arial" w:eastAsia="Arial" w:hAnsi="Arial"/>
                <w:sz w:val="17"/>
                <w:szCs w:val="17"/>
                <w:color w:val="auto"/>
              </w:rPr>
              <w:t>Accounts receivable, net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11,339</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(33,056)</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7"/>
                <w:szCs w:val="17"/>
                <w:color w:val="auto"/>
              </w:rPr>
              <w:t>Reinsurance recoverable on paid and unpaid losses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(30,993)</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7"/>
                <w:szCs w:val="17"/>
                <w:color w:val="auto"/>
              </w:rPr>
              <w:t>Other assets,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20,418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Arial" w:cs="Arial" w:eastAsia="Arial" w:hAnsi="Arial"/>
                <w:sz w:val="17"/>
                <w:szCs w:val="17"/>
                <w:color w:val="auto"/>
              </w:rPr>
              <w:t>Condominium deposits,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(76,426)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201,543</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7"/>
                <w:szCs w:val="17"/>
                <w:color w:val="auto"/>
              </w:rPr>
              <w:t>Deferred expenses,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(78,756)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(33,433)</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7"/>
                <w:szCs w:val="17"/>
                <w:color w:val="auto"/>
              </w:rPr>
              <w:t>Reserves for claims and claim expenses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172,096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7"/>
                <w:szCs w:val="17"/>
                <w:color w:val="auto"/>
              </w:rPr>
              <w:t>Unearned premiums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(25,572)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liabilities, net</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(68,866)</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31,457</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Cash provided by (used in) operating activities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572,302</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102,107</w:t>
            </w:r>
          </w:p>
        </w:tc>
        <w:tc>
          <w:tcPr>
            <w:tcW w:w="0" w:type="dxa"/>
            <w:vAlign w:val="bottom"/>
          </w:tcPr>
          <w:p>
            <w:pPr>
              <w:spacing w:after="0"/>
              <w:rPr>
                <w:sz w:val="1"/>
                <w:szCs w:val="1"/>
                <w:color w:val="auto"/>
              </w:rPr>
            </w:pPr>
          </w:p>
        </w:tc>
      </w:tr>
      <w:tr>
        <w:trPr>
          <w:trHeight w:val="363"/>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Property and equipment expenditures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(6,583)</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Operating property improvements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(37,571)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(33,086)</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Property development and redevelopment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(69,634)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(128,465)</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Sales of fixed maturity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2,552,485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Maturities, calls, and paydowns of fixed maturities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48,705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Purchases of short-term investments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Sales of short-term investments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4,606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Purchases of equity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(1,250,845)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Sales of equity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5,873</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Cash from consolidation of joint venture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26,226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(1,639,220)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Acquisition of assets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(16,356)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Proceeds from sales of properties,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125,972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12,336</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Reimbursements under tax increment financings and grants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2,879</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6,583</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Distributions from unconsolidated ventures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22,910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Investments in unconsolidated ventures,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(48,469)</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(3,017)</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(15,797)</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Cash provided by (used in) investing activities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(278,664)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000" w:hanging="436"/>
        <w:spacing w:after="0"/>
        <w:tabs>
          <w:tab w:leader="none" w:pos="50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 w:name="page8"/>
    <w:bookmarkEnd w:id="7"/>
    <w:p>
      <w:pPr>
        <w:ind w:left="20"/>
        <w:spacing w:after="0"/>
        <w:tabs>
          <w:tab w:leader="none" w:pos="9800" w:val="left"/>
        </w:tabs>
        <w:rPr>
          <w:sz w:val="20"/>
          <w:szCs w:val="20"/>
          <w:color w:val="auto"/>
        </w:rPr>
      </w:pPr>
      <w:r>
        <w:rPr>
          <w:rFonts w:ascii="Arial" w:cs="Arial" w:eastAsia="Arial" w:hAnsi="Arial"/>
          <w:sz w:val="18"/>
          <w:szCs w:val="18"/>
          <w:b w:val="1"/>
          <w:bCs w:val="1"/>
          <w:color w:val="auto"/>
        </w:rPr>
        <w:t>FINANCIAL STATEMENTS</w:t>
      </w:r>
      <w:r>
        <w:rPr>
          <w:sz w:val="20"/>
          <w:szCs w:val="20"/>
          <w:color w:val="auto"/>
        </w:rPr>
        <w:tab/>
      </w:r>
      <w:r>
        <w:rPr>
          <w:rFonts w:ascii="Arial" w:cs="Arial" w:eastAsia="Arial" w:hAnsi="Arial"/>
          <w:sz w:val="17"/>
          <w:szCs w:val="17"/>
          <w:color w:val="828282"/>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52" w:lineRule="exact"/>
        <w:rPr>
          <w:sz w:val="20"/>
          <w:szCs w:val="20"/>
          <w:color w:val="auto"/>
        </w:rPr>
      </w:pPr>
    </w:p>
    <w:p>
      <w:pPr>
        <w:ind w:right="5540"/>
        <w:spacing w:after="0" w:line="333" w:lineRule="auto"/>
        <w:rPr>
          <w:sz w:val="20"/>
          <w:szCs w:val="20"/>
          <w:color w:val="auto"/>
        </w:rPr>
      </w:pPr>
      <w:r>
        <w:rPr>
          <w:rFonts w:ascii="Arial" w:cs="Arial" w:eastAsia="Arial" w:hAnsi="Arial"/>
          <w:sz w:val="19"/>
          <w:szCs w:val="19"/>
          <w:b w:val="1"/>
          <w:bCs w:val="1"/>
          <w:color w:val="00497F"/>
        </w:rPr>
        <w:t>CONDENSED CONSOLIDATED STATEMENTS OF CASH FLOWS (Unaudited)</w:t>
      </w:r>
    </w:p>
    <w:tbl>
      <w:tblPr>
        <w:tblLayout w:type="fixed"/>
        <w:tblInd w:w="0" w:type="dxa"/>
        <w:tblCellMar>
          <w:top w:w="0" w:type="dxa"/>
          <w:left w:w="0" w:type="dxa"/>
          <w:bottom w:w="0" w:type="dxa"/>
          <w:right w:w="0" w:type="dxa"/>
        </w:tblCellMar>
      </w:tblPr>
      <w:tr>
        <w:trPr>
          <w:trHeight w:val="162"/>
        </w:trPr>
        <w:tc>
          <w:tcPr>
            <w:tcW w:w="8720" w:type="dxa"/>
            <w:vAlign w:val="bottom"/>
            <w:tcBorders>
              <w:top w:val="single" w:sz="8" w:color="auto"/>
            </w:tcBorders>
            <w:shd w:val="clear" w:color="auto" w:fill="D8D8D8"/>
          </w:tcPr>
          <w:p>
            <w:pPr>
              <w:spacing w:after="0"/>
              <w:rPr>
                <w:sz w:val="14"/>
                <w:szCs w:val="14"/>
                <w:color w:val="auto"/>
              </w:rPr>
            </w:pPr>
          </w:p>
        </w:tc>
        <w:tc>
          <w:tcPr>
            <w:tcW w:w="220" w:type="dxa"/>
            <w:vAlign w:val="bottom"/>
            <w:tcBorders>
              <w:top w:val="single" w:sz="8" w:color="auto"/>
            </w:tcBorders>
            <w:shd w:val="clear" w:color="auto" w:fill="D8D8D8"/>
          </w:tcPr>
          <w:p>
            <w:pPr>
              <w:spacing w:after="0"/>
              <w:rPr>
                <w:sz w:val="14"/>
                <w:szCs w:val="14"/>
                <w:color w:val="auto"/>
              </w:rPr>
            </w:pPr>
          </w:p>
        </w:tc>
        <w:tc>
          <w:tcPr>
            <w:tcW w:w="2300" w:type="dxa"/>
            <w:vAlign w:val="bottom"/>
            <w:tcBorders>
              <w:top w:val="single" w:sz="8" w:color="auto"/>
            </w:tcBorders>
            <w:gridSpan w:val="3"/>
            <w:shd w:val="clear" w:color="auto" w:fill="D8D8D8"/>
          </w:tcPr>
          <w:p>
            <w:pPr>
              <w:jc w:val="right"/>
              <w:ind w:right="375"/>
              <w:spacing w:after="0" w:line="162"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D8D8D8"/>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20" w:type="dxa"/>
            <w:vAlign w:val="bottom"/>
            <w:tcBorders>
              <w:bottom w:val="single" w:sz="8" w:color="auto"/>
            </w:tcBorders>
            <w:shd w:val="clear" w:color="auto" w:fill="D8D8D8"/>
          </w:tcPr>
          <w:p>
            <w:pPr>
              <w:spacing w:after="0"/>
              <w:rPr>
                <w:sz w:val="19"/>
                <w:szCs w:val="19"/>
                <w:color w:val="auto"/>
              </w:rPr>
            </w:pPr>
          </w:p>
        </w:tc>
        <w:tc>
          <w:tcPr>
            <w:tcW w:w="2300" w:type="dxa"/>
            <w:vAlign w:val="bottom"/>
            <w:tcBorders>
              <w:bottom w:val="single" w:sz="8" w:color="auto"/>
            </w:tcBorders>
            <w:gridSpan w:val="3"/>
            <w:shd w:val="clear" w:color="auto" w:fill="D8D8D8"/>
          </w:tcPr>
          <w:p>
            <w:pPr>
              <w:jc w:val="right"/>
              <w:ind w:right="59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vMerge w:val="continue"/>
            <w:shd w:val="clear" w:color="auto" w:fill="D8D8D8"/>
          </w:tcPr>
          <w:p>
            <w:pPr>
              <w:spacing w:after="0"/>
              <w:rPr>
                <w:sz w:val="19"/>
                <w:szCs w:val="19"/>
                <w:color w:val="auto"/>
              </w:rPr>
            </w:pPr>
          </w:p>
        </w:tc>
        <w:tc>
          <w:tcPr>
            <w:tcW w:w="22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ind w:right="375"/>
              <w:spacing w:after="0"/>
              <w:rPr>
                <w:sz w:val="20"/>
                <w:szCs w:val="20"/>
                <w:color w:val="auto"/>
              </w:rPr>
            </w:pPr>
            <w:r>
              <w:rPr>
                <w:rFonts w:ascii="Arial" w:cs="Arial" w:eastAsia="Arial" w:hAnsi="Arial"/>
                <w:sz w:val="17"/>
                <w:szCs w:val="17"/>
                <w:b w:val="1"/>
                <w:bCs w:val="1"/>
                <w:color w:val="auto"/>
              </w:rPr>
              <w:t>2026</w:t>
            </w:r>
          </w:p>
        </w:tc>
        <w:tc>
          <w:tcPr>
            <w:tcW w:w="30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shd w:val="clear" w:color="auto" w:fill="D8D8D8"/>
          </w:tcPr>
          <w:p>
            <w:pPr>
              <w:jc w:val="right"/>
              <w:ind w:right="33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Proceeds from mortgages, notes, and loans payable</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1,583,719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600,590</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Principal payments on mortgages, notes, and loans payable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(1,239,439)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(442,362)</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Proceeds from issuance of common stock, net</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862,789</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Proceeds from issuance of Series A Preferred Stock, net</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997,242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Proceeds from issuance of warrants</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10,000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Debt extinguishment costs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(6,900)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Special Improvement District bond funds released from (held in) escrow</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26,636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23,900</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Deferred financing costs and bond issuance costs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(20,773)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(6,263)</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Taxes paid on stock options exercised and restricted stock vested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(5,821)</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(3,437)</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Stock options exercised</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1,026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9"/>
        </w:trPr>
        <w:tc>
          <w:tcPr>
            <w:tcW w:w="8720" w:type="dxa"/>
            <w:vAlign w:val="bottom"/>
          </w:tcPr>
          <w:p>
            <w:pPr>
              <w:ind w:left="120"/>
              <w:spacing w:after="0"/>
              <w:rPr>
                <w:sz w:val="20"/>
                <w:szCs w:val="20"/>
                <w:color w:val="auto"/>
              </w:rPr>
            </w:pPr>
            <w:r>
              <w:rPr>
                <w:rFonts w:ascii="Arial" w:cs="Arial" w:eastAsia="Arial" w:hAnsi="Arial"/>
                <w:sz w:val="17"/>
                <w:szCs w:val="17"/>
                <w:color w:val="auto"/>
              </w:rPr>
              <w:t>Contributions from noncontrolling interest owners</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5,756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Distributions to noncontrolling interest owners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(452)</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Cash provided by (used in) financing activities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1,350,994</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1,035,252</w:t>
            </w:r>
          </w:p>
        </w:tc>
        <w:tc>
          <w:tcPr>
            <w:tcW w:w="0" w:type="dxa"/>
            <w:vAlign w:val="bottom"/>
          </w:tcPr>
          <w:p>
            <w:pPr>
              <w:spacing w:after="0"/>
              <w:rPr>
                <w:sz w:val="1"/>
                <w:szCs w:val="1"/>
                <w:color w:val="auto"/>
              </w:rPr>
            </w:pPr>
          </w:p>
        </w:tc>
      </w:tr>
      <w:tr>
        <w:trPr>
          <w:trHeight w:val="417"/>
        </w:trPr>
        <w:tc>
          <w:tcPr>
            <w:tcW w:w="8720" w:type="dxa"/>
            <w:vAlign w:val="bottom"/>
          </w:tcPr>
          <w:p>
            <w:pPr>
              <w:ind w:left="20"/>
              <w:spacing w:after="0"/>
              <w:rPr>
                <w:sz w:val="20"/>
                <w:szCs w:val="20"/>
                <w:color w:val="auto"/>
              </w:rPr>
            </w:pPr>
            <w:r>
              <w:rPr>
                <w:rFonts w:ascii="Arial" w:cs="Arial" w:eastAsia="Arial" w:hAnsi="Arial"/>
                <w:sz w:val="17"/>
                <w:szCs w:val="17"/>
                <w:color w:val="auto"/>
              </w:rPr>
              <w:t>Net change in cash, cash equivalents, and restricted cash</w:t>
            </w:r>
          </w:p>
        </w:tc>
        <w:tc>
          <w:tcPr>
            <w:tcW w:w="22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1,644,632</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975,301</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2,097,158</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998,503</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3,741,790</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1,973,804</w:t>
            </w:r>
          </w:p>
        </w:tc>
        <w:tc>
          <w:tcPr>
            <w:tcW w:w="0" w:type="dxa"/>
            <w:vAlign w:val="bottom"/>
          </w:tcPr>
          <w:p>
            <w:pPr>
              <w:spacing w:after="0"/>
              <w:rPr>
                <w:sz w:val="1"/>
                <w:szCs w:val="1"/>
                <w:color w:val="auto"/>
              </w:rPr>
            </w:pPr>
          </w:p>
        </w:tc>
      </w:tr>
      <w:tr>
        <w:trPr>
          <w:trHeight w:val="417"/>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RECONCILIATION OF CASH, CASH EQUIVALENTS, AND RESTRICTED CASH</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2,868,758</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1,456,934</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Restricted cash</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873,032</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516,870</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3,741,790</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1,973,804</w:t>
            </w:r>
          </w:p>
        </w:tc>
        <w:tc>
          <w:tcPr>
            <w:tcW w:w="0" w:type="dxa"/>
            <w:vAlign w:val="bottom"/>
          </w:tcPr>
          <w:p>
            <w:pPr>
              <w:spacing w:after="0"/>
              <w:rPr>
                <w:sz w:val="1"/>
                <w:szCs w:val="1"/>
                <w:color w:val="auto"/>
              </w:rPr>
            </w:pPr>
          </w:p>
        </w:tc>
      </w:tr>
      <w:tr>
        <w:trPr>
          <w:trHeight w:val="417"/>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Interest paid, net</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251,164</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236,950</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Interest capitalized</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112,476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109,881</w:t>
            </w:r>
          </w:p>
        </w:tc>
        <w:tc>
          <w:tcPr>
            <w:tcW w:w="0" w:type="dxa"/>
            <w:vAlign w:val="bottom"/>
          </w:tcPr>
          <w:p>
            <w:pPr>
              <w:spacing w:after="0"/>
              <w:rPr>
                <w:sz w:val="1"/>
                <w:szCs w:val="1"/>
                <w:color w:val="auto"/>
              </w:rPr>
            </w:pPr>
          </w:p>
        </w:tc>
      </w:tr>
      <w:tr>
        <w:trPr>
          <w:trHeight w:val="235"/>
        </w:trPr>
        <w:tc>
          <w:tcPr>
            <w:tcW w:w="8720" w:type="dxa"/>
            <w:vAlign w:val="bottom"/>
          </w:tcPr>
          <w:p>
            <w:pPr>
              <w:ind w:left="140"/>
              <w:spacing w:after="0"/>
              <w:rPr>
                <w:sz w:val="20"/>
                <w:szCs w:val="20"/>
                <w:color w:val="auto"/>
              </w:rPr>
            </w:pPr>
            <w:r>
              <w:rPr>
                <w:rFonts w:ascii="Arial" w:cs="Arial" w:eastAsia="Arial" w:hAnsi="Arial"/>
                <w:sz w:val="17"/>
                <w:szCs w:val="17"/>
                <w:color w:val="auto"/>
              </w:rPr>
              <w:t>Income taxes paid (refunded), net</w:t>
            </w:r>
          </w:p>
        </w:tc>
        <w:tc>
          <w:tcPr>
            <w:tcW w:w="2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17,801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10,233</w:t>
            </w:r>
          </w:p>
        </w:tc>
        <w:tc>
          <w:tcPr>
            <w:tcW w:w="0" w:type="dxa"/>
            <w:vAlign w:val="bottom"/>
          </w:tcPr>
          <w:p>
            <w:pPr>
              <w:spacing w:after="0"/>
              <w:rPr>
                <w:sz w:val="1"/>
                <w:szCs w:val="1"/>
                <w:color w:val="auto"/>
              </w:rPr>
            </w:pPr>
          </w:p>
        </w:tc>
      </w:tr>
      <w:tr>
        <w:trPr>
          <w:trHeight w:val="440"/>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NON-CASH TRANSACTIONS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Consideration from sale of properties</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41,125</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7"/>
                <w:szCs w:val="17"/>
                <w:color w:val="auto"/>
              </w:rPr>
              <w:t>Special Improvement District bonds transfers to buyers</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14,622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2,586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Capitalized stock compensation</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2,956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2,332</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7"/>
                <w:szCs w:val="17"/>
                <w:color w:val="auto"/>
              </w:rPr>
              <w:t>Accrued property improvements, developments, and redevelopments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(17,451)</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6,013</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Promissory note for special land use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500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0" w:hanging="436"/>
        <w:spacing w:after="0"/>
        <w:tabs>
          <w:tab w:leader="none" w:pos="50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 Presentation of Financial Statements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General </w:t>
      </w:r>
      <w:r>
        <w:rPr>
          <w:rFonts w:ascii="Arial" w:cs="Arial" w:eastAsia="Arial" w:hAnsi="Arial"/>
          <w:sz w:val="17"/>
          <w:szCs w:val="17"/>
          <w:color w:val="000000"/>
        </w:rPr>
        <w:t>Howard Hughes Holdings Inc. (HHH or the Company) is a diversified holding company focused on growing long-term shareholder value. Its</w:t>
      </w:r>
      <w:r>
        <w:rPr>
          <w:rFonts w:ascii="Arial" w:cs="Arial" w:eastAsia="Arial" w:hAnsi="Arial"/>
          <w:sz w:val="17"/>
          <w:szCs w:val="17"/>
          <w:b w:val="1"/>
          <w:bCs w:val="1"/>
          <w:color w:val="00497F"/>
        </w:rPr>
        <w:t xml:space="preserve"> </w:t>
      </w:r>
      <w:r>
        <w:rPr>
          <w:rFonts w:ascii="Arial" w:cs="Arial" w:eastAsia="Arial" w:hAnsi="Arial"/>
          <w:sz w:val="17"/>
          <w:szCs w:val="17"/>
          <w:color w:val="000000"/>
        </w:rPr>
        <w:t>principal subsidiaries include (1) a specialty insurance, reinsurance, and partnership capital platform, which provides property, casualty, and specialty insurance and reinsurance, and (2) a real estate development subsidiary that operates a large-scale, mixed-use real estate platform focused on the development of master planned communities (MPCs), the investment in strategic real estate development opportunities, and the ownership and operation of income-producing properties.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June 4, 2026, Howard Hughes Insurance Holdings, LLC, a wholly owned subsidiary of the Company, completed the acquisition of 100% of the outstanding shares of capital stock of Vantage Group Holdings Ltd., a privately held specialty insurance and reinsurance company, for cash consideration of approximately $2.1 billion (Vantage Acquisition). Also on June 4, 2026, to support the funding of the Vantage Acquisition, the Company issued $1.0 billion of its Series A Non-voting Exchangeable Perpetual Preferred Stock (Series A Preferred Stock) to Pershing Square Holdings, Ltd. See Note 2 - </w:t>
      </w:r>
      <w:r>
        <w:rPr>
          <w:rFonts w:ascii="Arial" w:cs="Arial" w:eastAsia="Arial" w:hAnsi="Arial"/>
          <w:sz w:val="17"/>
          <w:szCs w:val="17"/>
          <w:i w:val="1"/>
          <w:iCs w:val="1"/>
          <w:color w:val="auto"/>
        </w:rPr>
        <w:t>Vantage Acquisition</w:t>
      </w:r>
      <w:r>
        <w:rPr>
          <w:rFonts w:ascii="Arial" w:cs="Arial" w:eastAsia="Arial" w:hAnsi="Arial"/>
          <w:sz w:val="17"/>
          <w:szCs w:val="17"/>
          <w:color w:val="auto"/>
        </w:rPr>
        <w:t xml:space="preserve"> and Note 3 - </w:t>
      </w:r>
      <w:r>
        <w:rPr>
          <w:rFonts w:ascii="Arial" w:cs="Arial" w:eastAsia="Arial" w:hAnsi="Arial"/>
          <w:sz w:val="17"/>
          <w:szCs w:val="17"/>
          <w:i w:val="1"/>
          <w:iCs w:val="1"/>
          <w:color w:val="auto"/>
        </w:rPr>
        <w:t>Pershing Square</w:t>
      </w:r>
      <w:r>
        <w:rPr>
          <w:rFonts w:ascii="Arial" w:cs="Arial" w:eastAsia="Arial" w:hAnsi="Arial"/>
          <w:sz w:val="17"/>
          <w:szCs w:val="17"/>
          <w:color w:val="auto"/>
        </w:rPr>
        <w:t xml:space="preserve"> for additional information. The accompanying Condensed Consolidated Financial Statements reflect the assets acquired, liabilities assumed, and results of operations of Vantage for the post-acquisition period.</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Vantage operates in the United States (U.S.) and Bermuda. Vantage writes insurance business in the U.S. on both an admitted and excess and surplus basis, and writes specialty insurance and reinsurance business in Bermuda on a worldwide basis. Insurance product lines offered by its U.S. insurance subsidiaries include casualty, property, professional liability, financial lines, healthcare, construction, and political risk and credit. Insurance products offered by its Bermuda subsidiary include financial and professional lines and healthcare and excess casualty. Vantage’s reinsurance operations include specialty, property and casualty, financial lines, and property catastrophe. Vantage also earns net investment income and net fee income.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unaudited Condensed Consolidated Financial Statements have been prepared by Howard Hughes Holdings Inc. in accordance with accounting principles generally accepted in the United States of America (GAAP). References to HHH, the Company, we, us, and our refer to Howard Hughes Holdings Inc. and its consolidated subsidiaries, unless otherwise specifically stated. References to The Howard Hughes Corporation (HHC) or Howard Hughes Communities refer to The Howard Hughes Corporation and its consolidated real estate development subsidiaries, unless otherwise specifically stated. References to Vantage refer to Howard Hughes Insurance Holdings, LLC and its recently acquired consolidated insurance and reinsurance subsidiaries, unless otherwise specifically stated.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accordance with the instructions to Form 10-Q and Article 10 of Regulation S-X as issued by the Securities and Exchange Commission (the SEC), these Condensed Consolidated Financial Statements do not include all of the information and disclosures required by GAAP for complete financial statements. Readers of this quarterly report on Form 10-Q (Quarterly Report) should refer to the Howard Hughes Holdings Inc. audited Consolidated Financial Statements, which are included in its annual report on Form 10-K for the fiscal year ended December 31, 2025, filed with the SEC on February 19, 2026 (the Annual Report). In the opinion of management, all normal recurring adjustments necessary for a fair presentation of the financial position, results of operations, comprehensive income, cash flows, and equity for the interim periods have been included. The results for the three and nine months ended September 30, 2026, are not necessarily indicative of the results that may be expected for the year ending December 31, 2026, and future fiscal years.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Principles of Consolidation and Basis of Presentation </w:t>
      </w:r>
      <w:r>
        <w:rPr>
          <w:rFonts w:ascii="Arial" w:cs="Arial" w:eastAsia="Arial" w:hAnsi="Arial"/>
          <w:sz w:val="17"/>
          <w:szCs w:val="17"/>
          <w:color w:val="000000"/>
        </w:rPr>
        <w:t>The Condensed Consolidated Financial Statements include the accounts of Howard</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Hughes Holdings Inc. and its subsidiaries after elimination of intercompany balances and transactions. The Company also consolidates certain variable interest entities (VIEs) in accordance with Financial Accounting Standards Board’s (FASB) Accounting Standards Codification (ASC) 810 </w:t>
      </w:r>
      <w:r>
        <w:rPr>
          <w:rFonts w:ascii="Arial" w:cs="Arial" w:eastAsia="Arial" w:hAnsi="Arial"/>
          <w:sz w:val="17"/>
          <w:szCs w:val="17"/>
          <w:i w:val="1"/>
          <w:iCs w:val="1"/>
          <w:color w:val="000000"/>
        </w:rPr>
        <w:t>Consolidation</w:t>
      </w:r>
      <w:r>
        <w:rPr>
          <w:rFonts w:ascii="Arial" w:cs="Arial" w:eastAsia="Arial" w:hAnsi="Arial"/>
          <w:sz w:val="17"/>
          <w:szCs w:val="17"/>
          <w:color w:val="000000"/>
        </w:rPr>
        <w:t>. The outside equity interests in certain entities controlled by the Company are reflected in the Condensed Consolidated Financial</w:t>
      </w:r>
      <w:r>
        <w:rPr>
          <w:rFonts w:ascii="Arial" w:cs="Arial" w:eastAsia="Arial" w:hAnsi="Arial"/>
          <w:sz w:val="17"/>
          <w:szCs w:val="17"/>
          <w:i w:val="1"/>
          <w:iCs w:val="1"/>
          <w:color w:val="000000"/>
        </w:rPr>
        <w:t xml:space="preserve"> </w:t>
      </w:r>
      <w:r>
        <w:rPr>
          <w:rFonts w:ascii="Arial" w:cs="Arial" w:eastAsia="Arial" w:hAnsi="Arial"/>
          <w:sz w:val="17"/>
          <w:szCs w:val="17"/>
          <w:color w:val="000000"/>
        </w:rPr>
        <w:t>Statements as noncontrolling interests. Certain prior-period amounts have been reclassified to conform to the current-period presentation. These reclassifications had no effect on previously reported total assets, total liabilities, stockholders' equity, net income, or cash flows.</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Management has evaluated for disclosure or recognition all material events occurring subsequent to the date of the Condensed Consolidated Financial Statements up to the date and time this Quarterly Report was filed.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00" w:hanging="436"/>
        <w:spacing w:after="0"/>
        <w:tabs>
          <w:tab w:leader="none" w:pos="50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Insurance-Related Significant Accounting Policies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Investments in Equity Securities </w:t>
      </w:r>
      <w:r>
        <w:rPr>
          <w:rFonts w:ascii="Arial" w:cs="Arial" w:eastAsia="Arial" w:hAnsi="Arial"/>
          <w:sz w:val="17"/>
          <w:szCs w:val="17"/>
          <w:color w:val="auto"/>
        </w:rPr>
        <w:t>Investments in equity securities are carried at fair value and changes in fair value are recorded in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gain (loss), net in the Condensed Consolidated Statements of Operations. Realized investment gains and losses on equity securities are determined using cost calculated on a specific identification basis and recognized upon the sale of such securities in Investment gain (loss), net. Dividend income is recognized in Net insurance investment income.</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Short-Term Investments </w:t>
      </w:r>
      <w:r>
        <w:rPr>
          <w:rFonts w:ascii="Arial" w:cs="Arial" w:eastAsia="Arial" w:hAnsi="Arial"/>
          <w:sz w:val="17"/>
          <w:szCs w:val="17"/>
          <w:color w:val="auto"/>
        </w:rPr>
        <w:t>The Company’s short-term investments consist of U.S. Government securities with original maturities greater than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and less than 12 months. These investments are recorded at fair value, which typically approximates cost. Interest income on short-term investments is recognized in Net insurance investment income in the Condensed Consolidated Statements of Operations.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Investments in Fixed Maturity Securities </w:t>
      </w:r>
      <w:r>
        <w:rPr>
          <w:rFonts w:ascii="Arial" w:cs="Arial" w:eastAsia="Arial" w:hAnsi="Arial"/>
          <w:sz w:val="17"/>
          <w:szCs w:val="17"/>
          <w:color w:val="auto"/>
        </w:rPr>
        <w:t>Investments in fixed maturity securities are classified as available-for-sale (AFS) on the acquisition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classification is reevaluated at each balance sheet date. AFS securities are reported at fair value, net of valuation allowance for expected credit losses, with unrealized changes in fair value recorded as a separate component of accumulated other comprehensive income (AOCI) in the Condensed Consolidated Statements of Equity. Realized investment gains and losses on AFS fixed maturity securities are determined using cost calculated on a specific identification basis and recognized upon the sale of such securities in Investment gain (loss), net in the Condensed Consolidated Statements of Operations. For AFS fixed maturity securities in an unrealized loss position, the Company recognizes a loss in earnings when it intends to sell a security or it is more likely than not that the Company will be required to sell a security before recovery of its amortized cost basis. If a portion of the unrealized loss is determined to be related to credit factors, the Company records an allowance for credit losses, limited to the amount by which amortized cost exceeds fair value, with a corresponding charge to Investment gain (loss), net in the Condensed Consolidated Statements of Operations. Any portion of the unrealized loss that is not attributable to credit-related factors is recognized in accumulated other comprehensive income (loss).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Interest and dividend income on fixed maturity securities is recognized in Net insurance investment income, net of investment management and custody fees, in the Condensed Consolidated Statements of Operations. Premiums and discounts on fixed maturity securities are amortized or accreted into net insurance investment income using the effective yield method.</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Other Investments </w:t>
      </w:r>
      <w:r>
        <w:rPr>
          <w:rFonts w:ascii="Arial" w:cs="Arial" w:eastAsia="Arial" w:hAnsi="Arial"/>
          <w:sz w:val="17"/>
          <w:szCs w:val="17"/>
          <w:color w:val="auto"/>
        </w:rPr>
        <w:t>The Company has an investment in a limited partnership which is carried at fair value. As a practical expedient, the fair value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using the net asset value reported by the external fund manager. The Company does not have control or significant influence over the partnership. This investment is valued at $4.9 million as of September 30, 2026, and is presented in Other assets, net on the Condensed Consolidated Balance Sheets. Changes in fair value are recorded in Investment gain (loss), net in the Condensed Consolidated Statements of Operations.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Restricted Assets </w:t>
      </w:r>
      <w:r>
        <w:rPr>
          <w:rFonts w:ascii="Arial" w:cs="Arial" w:eastAsia="Arial" w:hAnsi="Arial"/>
          <w:sz w:val="17"/>
          <w:szCs w:val="17"/>
          <w:color w:val="auto"/>
        </w:rPr>
        <w:t>The Company’s insurance subsidiaries are required to maintain assets on deposit with various regulatory authorities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operations, as well as pledge assets as collateral for letters of credit and reinsurance operations. As of September 30, 2026, these restricted assets included $259.5 million of restricted cash and $30.2 million of short-term and fixed maturity security investments.</w:t>
      </w:r>
    </w:p>
    <w:p>
      <w:pPr>
        <w:spacing w:after="0" w:line="201"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b w:val="1"/>
          <w:bCs w:val="1"/>
          <w:i w:val="1"/>
          <w:iCs w:val="1"/>
          <w:color w:val="auto"/>
        </w:rPr>
        <w:t xml:space="preserve">Insurance Premiums </w:t>
      </w:r>
      <w:r>
        <w:rPr>
          <w:rFonts w:ascii="Arial" w:cs="Arial" w:eastAsia="Arial" w:hAnsi="Arial"/>
          <w:sz w:val="17"/>
          <w:szCs w:val="17"/>
          <w:color w:val="auto"/>
        </w:rPr>
        <w:t>Insurance premiums written are recorded in accordance with the terms of the underlying policies at the policy inception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primarily earned on a pro rata basis over the term of the policies, which generally do not exceed one year. Unearned premiums represent the portion of premiums written that relate to the unexpired terms of the policies in force.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0" w:hanging="436"/>
        <w:spacing w:after="0"/>
        <w:tabs>
          <w:tab w:leader="none" w:pos="5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Reinsurance Premiums </w:t>
      </w:r>
      <w:r>
        <w:rPr>
          <w:rFonts w:ascii="Arial" w:cs="Arial" w:eastAsia="Arial" w:hAnsi="Arial"/>
          <w:sz w:val="17"/>
          <w:szCs w:val="17"/>
          <w:color w:val="auto"/>
        </w:rPr>
        <w:t>Reinsurance premiums written for excess of loss reinsurance contracts are recorded based on the terms of the underlying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policies. Reinsurance premiums written for pro rata reinsurance contracts are recorded based on amounts reported by brokers and ceding companies, supplemented by the Company’s own estimates of premiums where reports have not been received. The determination of estimates is based on the Company’s experience with the ceding companies, familiarity with the market, timing of reported information, analysis and understanding of the characteristics of each line of business, and judgment of the impact of various factors, including premium or loss trends on the volume of business written and ceded to the Company. On an ongoing basis, the Company’s underwriters review the amounts reported by these third parties for reasonableness based on their experience and knowledge of the subject class of business, taking into account management’s historical experience with the brokers or ceding companies. In addition, reinsurance contracts under which the Company assumes business generally contain specific provisions which allow the Company to perform audits of the ceding company to ensure compliance with the terms and conditions of the contract, including accurate and timely reporting of information. Premium estimates are updated when new information is received and differences between such estimates and actual amounts are recorded in the period in which estimates are changed, or the actual amounts are determined.</w:t>
      </w: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multi-year reinsurance contracts which are payable in annual installments, only the initial annual installment is included as premiums written at policy inception, due to the ability of the reinsured to commute or cancel coverage under certain conditions during the term of the policy. The remaining annual installments are included as premiums written at each successive anniversary date within the multi-year term.</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Reinsurance premiums written, irrespective of the class of business, are generally earned on a pro rata basis over the terms of the underlying policies or reinsurance contracts. Contracts and policies written on a losses-occurring basis cover claims that may occur during the term of the contract or policy, which is typically 12 months. Accordingly, the related reinsurance premium is earned evenly over the term. Contracts which are written on a risks-attaching basis cover claims which attach to the underlying insurance policies written during the terms of these contracts. Premiums earned on risks-attaching contracts usually extend beyond the original term of the reinsurance contract, typically resulting in recognition of reinsurance premiums earned over a 24-month period.</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Reinstatement Premiums </w:t>
      </w:r>
      <w:r>
        <w:rPr>
          <w:rFonts w:ascii="Arial" w:cs="Arial" w:eastAsia="Arial" w:hAnsi="Arial"/>
          <w:sz w:val="17"/>
          <w:szCs w:val="17"/>
          <w:color w:val="auto"/>
        </w:rPr>
        <w:t>Reinstatement premiums for the Company’s reinsurance operations are recognized at the time a loss event occurs,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coverage limits for the remaining life of the contract are reinstated under pre-defined contract or policy terms. Reinsurance reinstatement premiums are fully earned when recognized. The accrual of reinstatement premiums is based on an estimate of claims and claim expenses, which reflects the Company’s judgment.</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Insurance Policy Deferred Acquisition Costs (DAC) and Valuation of Businesses Acquired </w:t>
      </w:r>
      <w:r>
        <w:rPr>
          <w:rFonts w:ascii="Arial" w:cs="Arial" w:eastAsia="Arial" w:hAnsi="Arial"/>
          <w:sz w:val="17"/>
          <w:szCs w:val="17"/>
          <w:color w:val="auto"/>
        </w:rPr>
        <w:t>Insurance policy acquisition costs are incurred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issuance of insurance and reinsurance contracts and consist principally of commissions, brokerage, and premium taxes. Costs directly related to the successful acquisition of new and renewal contracts are deferred and amortized over the period in which the related premiums are earned. Deferred acquisition costs are presented net of deferred ceding commissions, which are amortized over the same period as the related ceded premiums are earned. Certain reinsurance contracts include adjustable commission or profit-sharing provisions, which are estimated and included in deferred acquisition costs based on expected claims and claim expenses on those contracts, and are shown net of commissions and profit commissions earned on ceded reinsurance. Deferred acquisition costs are included in Deferred expenses, net on the Condensed Consolidated Balance Sheets and the related amortization of these costs is included in Insurance underwriting expenses on the Condensed Consolidated Statements of Operations.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acquisition accounting, Vantage’s historical deferred acquisition costs were eliminated as of the acquisition date. Accordingly, the deferred acquisition cost balance reflected in the Condensed Consolidated Balance Sheets represents only insurance policy acquisition costs incurred subsequent to the Vantage Acquisition date. The Company considers anticipated investment income in determining whether a premium deficiency exists for short-duration contracts. Deferred acquisition costs are reviewed for recoverability and are limited to amounts expected to be recovered from future earned premiums. The recoverability of deferred acquisition costs is evaluated based on the estimated profitability of the related unearned premiums, taking into consideration anticipated claims and claim expenses, investment income, and historical and current underwriting experience.</w:t>
      </w: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Value of business acquired (VOBA) represents the estimated fair value of future profits associated with acquired insurance and reinsurance contracts in force at the Vantage Acquisition date, net of servicing costs and an appropriate risk adjustment. VOBA of $304.0 million was recognized as part of the Vantage Acquisition. This balance will be amortized over the estimated lives of the related contracts in proportion to estimated premiums, gross profits, or expected earnings, depending on the characteristics of the underlying business. Amortization is expected to occur substantially within the first 12 months following the acquisition, with 90% recognized in year one, 9% in year two, and 1% in year three. Amortization expense is included within Insurance underwriting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Reserves for Claims and Claim Expenses </w:t>
      </w:r>
      <w:r>
        <w:rPr>
          <w:rFonts w:ascii="Arial" w:cs="Arial" w:eastAsia="Arial" w:hAnsi="Arial"/>
          <w:sz w:val="17"/>
          <w:szCs w:val="17"/>
          <w:color w:val="auto"/>
        </w:rPr>
        <w:t>The reserves for claims and claim expenses include estimates for unpaid losses on reported claims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an estimate of losses incurred but not reported (IBNR). The reserve is based on individual claims, case reserves, and other reserve estimates reported by insureds and ceding companies, as well as management estimates of ultimate losses. Ultimate losses are estimated using various generally accepted actuarial methods. Inherent in the estimates of ultimate losses are expected trends in claim severity and frequency and other factors which could vary significantly as claims are settled.</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Accordingly, claims and claim expenses ultimately paid may differ materially from the amounts recorded in the Condensed Consolidated Financial Statements. These estimates are reviewed regularly and, as experience develops and new information becomes known, the reserves are adjusted as necessary. Such adjustments, if any, are reflected in the Condensed Consolidated Statements of Operations in the period in which they become known and are accounted for as changes in estimates.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Reinsurance </w:t>
      </w:r>
      <w:r>
        <w:rPr>
          <w:rFonts w:ascii="Arial" w:cs="Arial" w:eastAsia="Arial" w:hAnsi="Arial"/>
          <w:sz w:val="17"/>
          <w:szCs w:val="17"/>
          <w:color w:val="auto"/>
        </w:rPr>
        <w:t>The Company purchases reinsurance to increase capacity and to limit the impact of individual losses and events on its underwriting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results by reinsuring certain levels of risk with other insurance enterprises or reinsurers. The Company uses pro rata, excess of loss, and facultative reinsurance contracts. The premiums paid to reinsurers or ceded written insurance premiums are recognized over the coverage period. Prepaid reinsurance premiums represent the portion of premiums ceded which relate to the unexpired term of the contracts in force. Ceded reinsurance contracts do not relieve the Company of its primary obligation to its (re)insureds.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Reinsurance recoverable on unpaid losses is estimated in a manner consistent with the associated claim liability. Reinsurance recoverable related to IBNR is generally developed as part of the Company’s loss reserving process, therefore, its estimation is subject to similar risks and uncertainties as the estimation of IBNR. In certain instances, the Company obtains collateral, including letters of credit and trust accounts to reduce the credit exposure on its reinsurance recoverable. The Company reports its reinsurance recoverable on paid and unpaid losses net of an allowance for expected credit loss, if necessary. The allowance is based upon the Company’s ongoing review of amounts outstanding, the financial condition of its reinsurers, amounts and form of collateral obtained and other relevant factors.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effect of reinsurance on premiums written and earned during the post-acquisition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280" w:type="dxa"/>
            <w:vAlign w:val="bottom"/>
            <w:tcBorders>
              <w:top w:val="single" w:sz="8" w:color="auto"/>
            </w:tcBorders>
            <w:shd w:val="clear" w:color="auto" w:fill="D8D8D8"/>
          </w:tcPr>
          <w:p>
            <w:pPr>
              <w:spacing w:after="0"/>
              <w:rPr>
                <w:sz w:val="15"/>
                <w:szCs w:val="15"/>
                <w:color w:val="auto"/>
              </w:rPr>
            </w:pPr>
          </w:p>
        </w:tc>
        <w:tc>
          <w:tcPr>
            <w:tcW w:w="2080" w:type="dxa"/>
            <w:vAlign w:val="bottom"/>
            <w:tcBorders>
              <w:top w:val="single" w:sz="8" w:color="auto"/>
            </w:tcBorders>
            <w:shd w:val="clear" w:color="auto" w:fill="D8D8D8"/>
          </w:tcPr>
          <w:p>
            <w:pPr>
              <w:jc w:val="center"/>
              <w:ind w:right="115"/>
              <w:spacing w:after="0" w:line="180" w:lineRule="exact"/>
              <w:rPr>
                <w:sz w:val="20"/>
                <w:szCs w:val="20"/>
                <w:color w:val="auto"/>
              </w:rPr>
            </w:pPr>
            <w:r>
              <w:rPr>
                <w:rFonts w:ascii="Arial" w:cs="Arial" w:eastAsia="Arial" w:hAnsi="Arial"/>
                <w:sz w:val="17"/>
                <w:szCs w:val="17"/>
                <w:b w:val="1"/>
                <w:bCs w:val="1"/>
                <w:color w:val="auto"/>
                <w:w w:val="99"/>
              </w:rPr>
              <w:t>Three Months Ended</w:t>
            </w:r>
          </w:p>
        </w:tc>
        <w:tc>
          <w:tcPr>
            <w:tcW w:w="240" w:type="dxa"/>
            <w:vAlign w:val="bottom"/>
            <w:tcBorders>
              <w:top w:val="single" w:sz="8" w:color="auto"/>
            </w:tcBorders>
            <w:shd w:val="clear" w:color="auto" w:fill="D8D8D8"/>
          </w:tcPr>
          <w:p>
            <w:pPr>
              <w:spacing w:after="0"/>
              <w:rPr>
                <w:sz w:val="15"/>
                <w:szCs w:val="15"/>
                <w:color w:val="auto"/>
              </w:rPr>
            </w:pPr>
          </w:p>
        </w:tc>
        <w:tc>
          <w:tcPr>
            <w:tcW w:w="2100" w:type="dxa"/>
            <w:vAlign w:val="bottom"/>
            <w:tcBorders>
              <w:top w:val="single" w:sz="8" w:color="auto"/>
            </w:tcBorders>
            <w:shd w:val="clear" w:color="auto" w:fill="D8D8D8"/>
          </w:tcPr>
          <w:p>
            <w:pPr>
              <w:ind w:left="140"/>
              <w:spacing w:after="0" w:line="180"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vMerge w:val="continue"/>
            <w:shd w:val="clear" w:color="auto" w:fill="D8D8D8"/>
          </w:tcPr>
          <w:p>
            <w:pPr>
              <w:spacing w:after="0"/>
              <w:rPr>
                <w:sz w:val="19"/>
                <w:szCs w:val="19"/>
                <w:color w:val="auto"/>
              </w:rPr>
            </w:pPr>
          </w:p>
        </w:tc>
        <w:tc>
          <w:tcPr>
            <w:tcW w:w="2280" w:type="dxa"/>
            <w:vAlign w:val="bottom"/>
            <w:tcBorders>
              <w:bottom w:val="single" w:sz="8" w:color="auto"/>
            </w:tcBorders>
            <w:shd w:val="clear" w:color="auto" w:fill="D8D8D8"/>
          </w:tcPr>
          <w:p>
            <w:pPr>
              <w:spacing w:after="0"/>
              <w:rPr>
                <w:sz w:val="19"/>
                <w:szCs w:val="19"/>
                <w:color w:val="auto"/>
              </w:rPr>
            </w:pPr>
          </w:p>
        </w:tc>
        <w:tc>
          <w:tcPr>
            <w:tcW w:w="2080" w:type="dxa"/>
            <w:vAlign w:val="bottom"/>
            <w:tcBorders>
              <w:bottom w:val="single" w:sz="8" w:color="auto"/>
            </w:tcBorders>
            <w:shd w:val="clear" w:color="auto" w:fill="D8D8D8"/>
          </w:tcPr>
          <w:p>
            <w:pPr>
              <w:jc w:val="center"/>
              <w:ind w:right="115"/>
              <w:spacing w:after="0"/>
              <w:rPr>
                <w:sz w:val="20"/>
                <w:szCs w:val="20"/>
                <w:color w:val="auto"/>
              </w:rPr>
            </w:pPr>
            <w:r>
              <w:rPr>
                <w:rFonts w:ascii="Arial" w:cs="Arial" w:eastAsia="Arial" w:hAnsi="Arial"/>
                <w:sz w:val="17"/>
                <w:szCs w:val="17"/>
                <w:b w:val="1"/>
                <w:bCs w:val="1"/>
                <w:color w:val="auto"/>
              </w:rPr>
              <w:t>September 30, 2026</w:t>
            </w:r>
          </w:p>
        </w:tc>
        <w:tc>
          <w:tcPr>
            <w:tcW w:w="240" w:type="dxa"/>
            <w:vAlign w:val="bottom"/>
            <w:tcBorders>
              <w:bottom w:val="single" w:sz="8" w:color="auto"/>
            </w:tcBorders>
            <w:shd w:val="clear" w:color="auto" w:fill="D8D8D8"/>
          </w:tcPr>
          <w:p>
            <w:pPr>
              <w:spacing w:after="0"/>
              <w:rPr>
                <w:sz w:val="19"/>
                <w:szCs w:val="19"/>
                <w:color w:val="auto"/>
              </w:rPr>
            </w:pPr>
          </w:p>
        </w:tc>
        <w:tc>
          <w:tcPr>
            <w:tcW w:w="210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7"/>
                <w:szCs w:val="17"/>
                <w:b w:val="1"/>
                <w:bCs w:val="1"/>
                <w:color w:val="auto"/>
              </w:rPr>
              <w:t>September 30, 2026</w:t>
            </w:r>
          </w:p>
        </w:tc>
        <w:tc>
          <w:tcPr>
            <w:tcW w:w="0" w:type="dxa"/>
            <w:vAlign w:val="bottom"/>
          </w:tcPr>
          <w:p>
            <w:pPr>
              <w:spacing w:after="0"/>
              <w:rPr>
                <w:sz w:val="1"/>
                <w:szCs w:val="1"/>
                <w:color w:val="auto"/>
              </w:rPr>
            </w:pPr>
          </w:p>
        </w:tc>
      </w:tr>
      <w:tr>
        <w:trPr>
          <w:trHeight w:val="214"/>
        </w:trPr>
        <w:tc>
          <w:tcPr>
            <w:tcW w:w="4540" w:type="dxa"/>
            <w:vAlign w:val="bottom"/>
          </w:tcPr>
          <w:p>
            <w:pPr>
              <w:ind w:left="20"/>
              <w:spacing w:after="0"/>
              <w:rPr>
                <w:sz w:val="20"/>
                <w:szCs w:val="20"/>
                <w:color w:val="auto"/>
              </w:rPr>
            </w:pPr>
            <w:r>
              <w:rPr>
                <w:rFonts w:ascii="Arial" w:cs="Arial" w:eastAsia="Arial" w:hAnsi="Arial"/>
                <w:sz w:val="17"/>
                <w:szCs w:val="17"/>
                <w:b w:val="1"/>
                <w:bCs w:val="1"/>
                <w:color w:val="auto"/>
              </w:rPr>
              <w:t>Premiums written</w:t>
            </w:r>
          </w:p>
        </w:tc>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7"/>
                <w:szCs w:val="17"/>
                <w:color w:val="auto"/>
              </w:rPr>
              <w:t>Direct</w:t>
            </w:r>
          </w:p>
        </w:tc>
        <w:tc>
          <w:tcPr>
            <w:tcW w:w="228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2080" w:type="dxa"/>
            <w:vAlign w:val="bottom"/>
          </w:tcPr>
          <w:p>
            <w:pPr>
              <w:jc w:val="center"/>
              <w:ind w:left="1255"/>
              <w:spacing w:after="0"/>
              <w:rPr>
                <w:sz w:val="20"/>
                <w:szCs w:val="20"/>
                <w:color w:val="auto"/>
              </w:rPr>
            </w:pPr>
            <w:r>
              <w:rPr>
                <w:rFonts w:ascii="Arial" w:cs="Arial" w:eastAsia="Arial" w:hAnsi="Arial"/>
                <w:sz w:val="17"/>
                <w:szCs w:val="17"/>
                <w:b w:val="1"/>
                <w:bCs w:val="1"/>
                <w:color w:val="auto"/>
              </w:rPr>
              <w:t>284,705</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100" w:type="dxa"/>
            <w:vAlign w:val="bottom"/>
          </w:tcPr>
          <w:p>
            <w:pPr>
              <w:jc w:val="center"/>
              <w:ind w:left="1235"/>
              <w:spacing w:after="0"/>
              <w:rPr>
                <w:sz w:val="20"/>
                <w:szCs w:val="20"/>
                <w:color w:val="auto"/>
              </w:rPr>
            </w:pPr>
            <w:r>
              <w:rPr>
                <w:rFonts w:ascii="Arial" w:cs="Arial" w:eastAsia="Arial" w:hAnsi="Arial"/>
                <w:sz w:val="17"/>
                <w:szCs w:val="17"/>
                <w:b w:val="1"/>
                <w:bCs w:val="1"/>
                <w:color w:val="auto"/>
              </w:rPr>
              <w:t>388,041</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7"/>
                <w:szCs w:val="17"/>
                <w:color w:val="auto"/>
              </w:rPr>
              <w:t>Assumed</w:t>
            </w:r>
          </w:p>
        </w:tc>
        <w:tc>
          <w:tcPr>
            <w:tcW w:w="2280" w:type="dxa"/>
            <w:vAlign w:val="bottom"/>
          </w:tcPr>
          <w:p>
            <w:pPr>
              <w:spacing w:after="0"/>
              <w:rPr>
                <w:sz w:val="19"/>
                <w:szCs w:val="19"/>
                <w:color w:val="auto"/>
              </w:rPr>
            </w:pPr>
          </w:p>
        </w:tc>
        <w:tc>
          <w:tcPr>
            <w:tcW w:w="2080" w:type="dxa"/>
            <w:vAlign w:val="bottom"/>
          </w:tcPr>
          <w:p>
            <w:pPr>
              <w:jc w:val="center"/>
              <w:ind w:left="1255"/>
              <w:spacing w:after="0"/>
              <w:rPr>
                <w:sz w:val="20"/>
                <w:szCs w:val="20"/>
                <w:color w:val="auto"/>
              </w:rPr>
            </w:pPr>
            <w:r>
              <w:rPr>
                <w:rFonts w:ascii="Arial" w:cs="Arial" w:eastAsia="Arial" w:hAnsi="Arial"/>
                <w:sz w:val="17"/>
                <w:szCs w:val="17"/>
                <w:b w:val="1"/>
                <w:bCs w:val="1"/>
                <w:color w:val="auto"/>
              </w:rPr>
              <w:t>101,276</w:t>
            </w:r>
          </w:p>
        </w:tc>
        <w:tc>
          <w:tcPr>
            <w:tcW w:w="240" w:type="dxa"/>
            <w:vAlign w:val="bottom"/>
          </w:tcPr>
          <w:p>
            <w:pPr>
              <w:spacing w:after="0"/>
              <w:rPr>
                <w:sz w:val="19"/>
                <w:szCs w:val="19"/>
                <w:color w:val="auto"/>
              </w:rPr>
            </w:pPr>
          </w:p>
        </w:tc>
        <w:tc>
          <w:tcPr>
            <w:tcW w:w="2100" w:type="dxa"/>
            <w:vAlign w:val="bottom"/>
          </w:tcPr>
          <w:p>
            <w:pPr>
              <w:jc w:val="center"/>
              <w:ind w:left="1235"/>
              <w:spacing w:after="0"/>
              <w:rPr>
                <w:sz w:val="20"/>
                <w:szCs w:val="20"/>
                <w:color w:val="auto"/>
              </w:rPr>
            </w:pPr>
            <w:r>
              <w:rPr>
                <w:rFonts w:ascii="Arial" w:cs="Arial" w:eastAsia="Arial" w:hAnsi="Arial"/>
                <w:sz w:val="17"/>
                <w:szCs w:val="17"/>
                <w:b w:val="1"/>
                <w:bCs w:val="1"/>
                <w:color w:val="auto"/>
              </w:rPr>
              <w:t>153,999</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Ceded</w:t>
            </w:r>
          </w:p>
        </w:tc>
        <w:tc>
          <w:tcPr>
            <w:tcW w:w="2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left="1235"/>
              <w:spacing w:after="0"/>
              <w:rPr>
                <w:sz w:val="20"/>
                <w:szCs w:val="20"/>
                <w:color w:val="auto"/>
              </w:rPr>
            </w:pPr>
            <w:r>
              <w:rPr>
                <w:rFonts w:ascii="Arial" w:cs="Arial" w:eastAsia="Arial" w:hAnsi="Arial"/>
                <w:sz w:val="17"/>
                <w:szCs w:val="17"/>
                <w:b w:val="1"/>
                <w:bCs w:val="1"/>
                <w:color w:val="auto"/>
                <w:w w:val="98"/>
              </w:rPr>
              <w:t>(113,013)</w:t>
            </w: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left="1235"/>
              <w:spacing w:after="0"/>
              <w:rPr>
                <w:sz w:val="20"/>
                <w:szCs w:val="20"/>
                <w:color w:val="auto"/>
              </w:rPr>
            </w:pPr>
            <w:r>
              <w:rPr>
                <w:rFonts w:ascii="Arial" w:cs="Arial" w:eastAsia="Arial" w:hAnsi="Arial"/>
                <w:sz w:val="17"/>
                <w:szCs w:val="17"/>
                <w:b w:val="1"/>
                <w:bCs w:val="1"/>
                <w:color w:val="auto"/>
              </w:rPr>
              <w:t>(161,864)</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7"/>
                <w:szCs w:val="17"/>
                <w:color w:val="auto"/>
              </w:rPr>
              <w:t>Net written insurance premiums</w:t>
            </w:r>
          </w:p>
        </w:tc>
        <w:tc>
          <w:tcPr>
            <w:tcW w:w="228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2080" w:type="dxa"/>
            <w:vAlign w:val="bottom"/>
          </w:tcPr>
          <w:p>
            <w:pPr>
              <w:jc w:val="center"/>
              <w:ind w:left="1255"/>
              <w:spacing w:after="0"/>
              <w:rPr>
                <w:sz w:val="20"/>
                <w:szCs w:val="20"/>
                <w:color w:val="auto"/>
              </w:rPr>
            </w:pPr>
            <w:r>
              <w:rPr>
                <w:rFonts w:ascii="Arial" w:cs="Arial" w:eastAsia="Arial" w:hAnsi="Arial"/>
                <w:sz w:val="17"/>
                <w:szCs w:val="17"/>
                <w:b w:val="1"/>
                <w:bCs w:val="1"/>
                <w:color w:val="auto"/>
              </w:rPr>
              <w:t>272,968</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100" w:type="dxa"/>
            <w:vAlign w:val="bottom"/>
          </w:tcPr>
          <w:p>
            <w:pPr>
              <w:jc w:val="center"/>
              <w:ind w:left="1235"/>
              <w:spacing w:after="0"/>
              <w:rPr>
                <w:sz w:val="20"/>
                <w:szCs w:val="20"/>
                <w:color w:val="auto"/>
              </w:rPr>
            </w:pPr>
            <w:r>
              <w:rPr>
                <w:rFonts w:ascii="Arial" w:cs="Arial" w:eastAsia="Arial" w:hAnsi="Arial"/>
                <w:sz w:val="17"/>
                <w:szCs w:val="17"/>
                <w:b w:val="1"/>
                <w:bCs w:val="1"/>
                <w:color w:val="auto"/>
              </w:rPr>
              <w:t>380,176</w:t>
            </w:r>
          </w:p>
        </w:tc>
        <w:tc>
          <w:tcPr>
            <w:tcW w:w="0" w:type="dxa"/>
            <w:vAlign w:val="bottom"/>
          </w:tcPr>
          <w:p>
            <w:pPr>
              <w:spacing w:after="0"/>
              <w:rPr>
                <w:sz w:val="1"/>
                <w:szCs w:val="1"/>
                <w:color w:val="auto"/>
              </w:rPr>
            </w:pPr>
          </w:p>
        </w:tc>
      </w:tr>
      <w:tr>
        <w:trPr>
          <w:trHeight w:val="310"/>
        </w:trPr>
        <w:tc>
          <w:tcPr>
            <w:tcW w:w="4540" w:type="dxa"/>
            <w:vAlign w:val="bottom"/>
          </w:tcPr>
          <w:p>
            <w:pPr>
              <w:ind w:left="20"/>
              <w:spacing w:after="0"/>
              <w:rPr>
                <w:sz w:val="20"/>
                <w:szCs w:val="20"/>
                <w:color w:val="auto"/>
              </w:rPr>
            </w:pPr>
            <w:r>
              <w:rPr>
                <w:rFonts w:ascii="Arial" w:cs="Arial" w:eastAsia="Arial" w:hAnsi="Arial"/>
                <w:sz w:val="17"/>
                <w:szCs w:val="17"/>
                <w:b w:val="1"/>
                <w:bCs w:val="1"/>
                <w:color w:val="auto"/>
              </w:rPr>
              <w:t>Premiums earned</w:t>
            </w:r>
          </w:p>
        </w:tc>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7"/>
                <w:szCs w:val="17"/>
                <w:color w:val="auto"/>
              </w:rPr>
              <w:t>Direct</w:t>
            </w:r>
          </w:p>
        </w:tc>
        <w:tc>
          <w:tcPr>
            <w:tcW w:w="228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2080" w:type="dxa"/>
            <w:vAlign w:val="bottom"/>
          </w:tcPr>
          <w:p>
            <w:pPr>
              <w:jc w:val="center"/>
              <w:ind w:left="1255"/>
              <w:spacing w:after="0"/>
              <w:rPr>
                <w:sz w:val="20"/>
                <w:szCs w:val="20"/>
                <w:color w:val="auto"/>
              </w:rPr>
            </w:pPr>
            <w:r>
              <w:rPr>
                <w:rFonts w:ascii="Arial" w:cs="Arial" w:eastAsia="Arial" w:hAnsi="Arial"/>
                <w:sz w:val="17"/>
                <w:szCs w:val="17"/>
                <w:b w:val="1"/>
                <w:bCs w:val="1"/>
                <w:color w:val="auto"/>
              </w:rPr>
              <w:t>263,820</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100" w:type="dxa"/>
            <w:vAlign w:val="bottom"/>
          </w:tcPr>
          <w:p>
            <w:pPr>
              <w:jc w:val="center"/>
              <w:ind w:left="1235"/>
              <w:spacing w:after="0"/>
              <w:rPr>
                <w:sz w:val="20"/>
                <w:szCs w:val="20"/>
                <w:color w:val="auto"/>
              </w:rPr>
            </w:pPr>
            <w:r>
              <w:rPr>
                <w:rFonts w:ascii="Arial" w:cs="Arial" w:eastAsia="Arial" w:hAnsi="Arial"/>
                <w:sz w:val="17"/>
                <w:szCs w:val="17"/>
                <w:b w:val="1"/>
                <w:bCs w:val="1"/>
                <w:color w:val="auto"/>
              </w:rPr>
              <w:t>349,380</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7"/>
                <w:szCs w:val="17"/>
                <w:color w:val="auto"/>
              </w:rPr>
              <w:t>Assumed</w:t>
            </w:r>
          </w:p>
        </w:tc>
        <w:tc>
          <w:tcPr>
            <w:tcW w:w="2280" w:type="dxa"/>
            <w:vAlign w:val="bottom"/>
          </w:tcPr>
          <w:p>
            <w:pPr>
              <w:spacing w:after="0"/>
              <w:rPr>
                <w:sz w:val="19"/>
                <w:szCs w:val="19"/>
                <w:color w:val="auto"/>
              </w:rPr>
            </w:pPr>
          </w:p>
        </w:tc>
        <w:tc>
          <w:tcPr>
            <w:tcW w:w="2080" w:type="dxa"/>
            <w:vAlign w:val="bottom"/>
          </w:tcPr>
          <w:p>
            <w:pPr>
              <w:jc w:val="center"/>
              <w:ind w:left="1255"/>
              <w:spacing w:after="0"/>
              <w:rPr>
                <w:sz w:val="20"/>
                <w:szCs w:val="20"/>
                <w:color w:val="auto"/>
              </w:rPr>
            </w:pPr>
            <w:r>
              <w:rPr>
                <w:rFonts w:ascii="Arial" w:cs="Arial" w:eastAsia="Arial" w:hAnsi="Arial"/>
                <w:sz w:val="17"/>
                <w:szCs w:val="17"/>
                <w:b w:val="1"/>
                <w:bCs w:val="1"/>
                <w:color w:val="auto"/>
              </w:rPr>
              <w:t>170,067</w:t>
            </w:r>
          </w:p>
        </w:tc>
        <w:tc>
          <w:tcPr>
            <w:tcW w:w="240" w:type="dxa"/>
            <w:vAlign w:val="bottom"/>
          </w:tcPr>
          <w:p>
            <w:pPr>
              <w:spacing w:after="0"/>
              <w:rPr>
                <w:sz w:val="19"/>
                <w:szCs w:val="19"/>
                <w:color w:val="auto"/>
              </w:rPr>
            </w:pPr>
          </w:p>
        </w:tc>
        <w:tc>
          <w:tcPr>
            <w:tcW w:w="2100" w:type="dxa"/>
            <w:vAlign w:val="bottom"/>
          </w:tcPr>
          <w:p>
            <w:pPr>
              <w:jc w:val="center"/>
              <w:ind w:left="1235"/>
              <w:spacing w:after="0"/>
              <w:rPr>
                <w:sz w:val="20"/>
                <w:szCs w:val="20"/>
                <w:color w:val="auto"/>
              </w:rPr>
            </w:pPr>
            <w:r>
              <w:rPr>
                <w:rFonts w:ascii="Arial" w:cs="Arial" w:eastAsia="Arial" w:hAnsi="Arial"/>
                <w:sz w:val="17"/>
                <w:szCs w:val="17"/>
                <w:b w:val="1"/>
                <w:bCs w:val="1"/>
                <w:color w:val="auto"/>
              </w:rPr>
              <w:t>218,232</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Ceded</w:t>
            </w:r>
          </w:p>
        </w:tc>
        <w:tc>
          <w:tcPr>
            <w:tcW w:w="2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left="1235"/>
              <w:spacing w:after="0"/>
              <w:rPr>
                <w:sz w:val="20"/>
                <w:szCs w:val="20"/>
                <w:color w:val="auto"/>
              </w:rPr>
            </w:pPr>
            <w:r>
              <w:rPr>
                <w:rFonts w:ascii="Arial" w:cs="Arial" w:eastAsia="Arial" w:hAnsi="Arial"/>
                <w:sz w:val="17"/>
                <w:szCs w:val="17"/>
                <w:b w:val="1"/>
                <w:bCs w:val="1"/>
                <w:color w:val="auto"/>
                <w:w w:val="98"/>
              </w:rPr>
              <w:t>(118,038)</w:t>
            </w: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left="1235"/>
              <w:spacing w:after="0"/>
              <w:rPr>
                <w:sz w:val="20"/>
                <w:szCs w:val="20"/>
                <w:color w:val="auto"/>
              </w:rPr>
            </w:pPr>
            <w:r>
              <w:rPr>
                <w:rFonts w:ascii="Arial" w:cs="Arial" w:eastAsia="Arial" w:hAnsi="Arial"/>
                <w:sz w:val="17"/>
                <w:szCs w:val="17"/>
                <w:b w:val="1"/>
                <w:bCs w:val="1"/>
                <w:color w:val="auto"/>
              </w:rPr>
              <w:t>(154,516)</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earned insurance premiums</w:t>
            </w:r>
          </w:p>
        </w:tc>
        <w:tc>
          <w:tcPr>
            <w:tcW w:w="2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2080" w:type="dxa"/>
            <w:vAlign w:val="bottom"/>
            <w:tcBorders>
              <w:bottom w:val="single" w:sz="8" w:color="auto"/>
            </w:tcBorders>
          </w:tcPr>
          <w:p>
            <w:pPr>
              <w:jc w:val="center"/>
              <w:ind w:left="1255"/>
              <w:spacing w:after="0"/>
              <w:rPr>
                <w:sz w:val="20"/>
                <w:szCs w:val="20"/>
                <w:color w:val="auto"/>
              </w:rPr>
            </w:pPr>
            <w:r>
              <w:rPr>
                <w:rFonts w:ascii="Arial" w:cs="Arial" w:eastAsia="Arial" w:hAnsi="Arial"/>
                <w:sz w:val="17"/>
                <w:szCs w:val="17"/>
                <w:b w:val="1"/>
                <w:bCs w:val="1"/>
                <w:color w:val="auto"/>
              </w:rPr>
              <w:t>315,849</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2100" w:type="dxa"/>
            <w:vAlign w:val="bottom"/>
            <w:tcBorders>
              <w:bottom w:val="single" w:sz="8" w:color="auto"/>
            </w:tcBorders>
          </w:tcPr>
          <w:p>
            <w:pPr>
              <w:jc w:val="center"/>
              <w:ind w:left="1235"/>
              <w:spacing w:after="0"/>
              <w:rPr>
                <w:sz w:val="20"/>
                <w:szCs w:val="20"/>
                <w:color w:val="auto"/>
              </w:rPr>
            </w:pPr>
            <w:r>
              <w:rPr>
                <w:rFonts w:ascii="Arial" w:cs="Arial" w:eastAsia="Arial" w:hAnsi="Arial"/>
                <w:sz w:val="17"/>
                <w:szCs w:val="17"/>
                <w:b w:val="1"/>
                <w:bCs w:val="1"/>
                <w:color w:val="auto"/>
              </w:rPr>
              <w:t>413,096</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underwrites a significant amount of its reinsurance business through brokers. There is credit risk associated with payments of reinsurance balances to the Company in regard to these brokers' ability to fulfill their contractual obligations. In addition, in some jurisdictions, if the broker fails to make payments to the insured under the Company’s policy, the Company may remain liable to the insured for the deficiency. The brokerages used by the Company are large and well established, and there are no indications they are financially distressed. The following table includes the brokers that individually contributed more than 10% of total gross written insurance premiums during the post-acquisition period: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Borders>
              <w:top w:val="single" w:sz="8" w:color="auto"/>
            </w:tcBorders>
            <w:shd w:val="clear" w:color="auto" w:fill="D8D8D8"/>
          </w:tcPr>
          <w:p>
            <w:pPr>
              <w:spacing w:after="0"/>
              <w:rPr>
                <w:sz w:val="15"/>
                <w:szCs w:val="15"/>
                <w:color w:val="auto"/>
              </w:rPr>
            </w:pPr>
          </w:p>
        </w:tc>
        <w:tc>
          <w:tcPr>
            <w:tcW w:w="6640" w:type="dxa"/>
            <w:vAlign w:val="bottom"/>
            <w:tcBorders>
              <w:top w:val="single" w:sz="8" w:color="auto"/>
            </w:tcBorders>
            <w:shd w:val="clear" w:color="auto" w:fill="D8D8D8"/>
          </w:tcPr>
          <w:p>
            <w:pPr>
              <w:jc w:val="right"/>
              <w:ind w:right="55"/>
              <w:spacing w:after="0" w:line="176" w:lineRule="exact"/>
              <w:rPr>
                <w:sz w:val="20"/>
                <w:szCs w:val="20"/>
                <w:color w:val="auto"/>
              </w:rPr>
            </w:pPr>
            <w:r>
              <w:rPr>
                <w:rFonts w:ascii="Arial" w:cs="Arial" w:eastAsia="Arial" w:hAnsi="Arial"/>
                <w:sz w:val="17"/>
                <w:szCs w:val="17"/>
                <w:b w:val="1"/>
                <w:bCs w:val="1"/>
                <w:color w:val="auto"/>
              </w:rPr>
              <w:t>% of Gross Written Insurance</w:t>
            </w:r>
          </w:p>
        </w:tc>
      </w:tr>
      <w:tr>
        <w:trPr>
          <w:trHeight w:val="229"/>
        </w:trPr>
        <w:tc>
          <w:tcPr>
            <w:tcW w:w="4600" w:type="dxa"/>
            <w:vAlign w:val="bottom"/>
            <w:tcBorders>
              <w:bottom w:val="single" w:sz="8" w:color="auto"/>
            </w:tcBorders>
            <w:shd w:val="clear" w:color="auto" w:fill="D8D8D8"/>
          </w:tcPr>
          <w:p>
            <w:pPr>
              <w:spacing w:after="0"/>
              <w:rPr>
                <w:sz w:val="19"/>
                <w:szCs w:val="19"/>
                <w:color w:val="auto"/>
              </w:rPr>
            </w:pPr>
          </w:p>
        </w:tc>
        <w:tc>
          <w:tcPr>
            <w:tcW w:w="6640" w:type="dxa"/>
            <w:vAlign w:val="bottom"/>
            <w:tcBorders>
              <w:bottom w:val="single" w:sz="8" w:color="auto"/>
            </w:tcBorders>
            <w:shd w:val="clear" w:color="auto" w:fill="D8D8D8"/>
          </w:tcPr>
          <w:p>
            <w:pPr>
              <w:jc w:val="right"/>
              <w:ind w:right="835"/>
              <w:spacing w:after="0"/>
              <w:rPr>
                <w:sz w:val="20"/>
                <w:szCs w:val="20"/>
                <w:color w:val="auto"/>
              </w:rPr>
            </w:pPr>
            <w:r>
              <w:rPr>
                <w:rFonts w:ascii="Arial" w:cs="Arial" w:eastAsia="Arial" w:hAnsi="Arial"/>
                <w:sz w:val="17"/>
                <w:szCs w:val="17"/>
                <w:b w:val="1"/>
                <w:bCs w:val="1"/>
                <w:color w:val="auto"/>
              </w:rPr>
              <w:t>Premiums</w:t>
            </w:r>
          </w:p>
        </w:tc>
      </w:tr>
      <w:tr>
        <w:trPr>
          <w:trHeight w:val="214"/>
        </w:trPr>
        <w:tc>
          <w:tcPr>
            <w:tcW w:w="4600" w:type="dxa"/>
            <w:vAlign w:val="bottom"/>
          </w:tcPr>
          <w:p>
            <w:pPr>
              <w:ind w:left="20"/>
              <w:spacing w:after="0"/>
              <w:rPr>
                <w:sz w:val="20"/>
                <w:szCs w:val="20"/>
                <w:color w:val="auto"/>
              </w:rPr>
            </w:pPr>
            <w:r>
              <w:rPr>
                <w:rFonts w:ascii="Arial" w:cs="Arial" w:eastAsia="Arial" w:hAnsi="Arial"/>
                <w:sz w:val="17"/>
                <w:szCs w:val="17"/>
                <w:color w:val="auto"/>
              </w:rPr>
              <w:t>Aon</w:t>
            </w:r>
          </w:p>
        </w:tc>
        <w:tc>
          <w:tcPr>
            <w:tcW w:w="6640" w:type="dxa"/>
            <w:vAlign w:val="bottom"/>
          </w:tcPr>
          <w:p>
            <w:pPr>
              <w:jc w:val="right"/>
              <w:spacing w:after="0"/>
              <w:rPr>
                <w:sz w:val="20"/>
                <w:szCs w:val="20"/>
                <w:color w:val="auto"/>
              </w:rPr>
            </w:pPr>
            <w:r>
              <w:rPr>
                <w:rFonts w:ascii="Arial" w:cs="Arial" w:eastAsia="Arial" w:hAnsi="Arial"/>
                <w:sz w:val="17"/>
                <w:szCs w:val="17"/>
                <w:b w:val="1"/>
                <w:bCs w:val="1"/>
                <w:color w:val="auto"/>
              </w:rPr>
              <w:t>13.1 %</w:t>
            </w:r>
          </w:p>
        </w:tc>
      </w:tr>
      <w:tr>
        <w:trPr>
          <w:trHeight w:val="23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Marsh</w:t>
            </w:r>
          </w:p>
        </w:tc>
        <w:tc>
          <w:tcPr>
            <w:tcW w:w="6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60" w:hanging="441"/>
        <w:spacing w:after="0"/>
        <w:tabs>
          <w:tab w:leader="none" w:pos="4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Fee Income </w:t>
      </w:r>
      <w:r>
        <w:rPr>
          <w:rFonts w:ascii="Arial" w:cs="Arial" w:eastAsia="Arial" w:hAnsi="Arial"/>
          <w:sz w:val="17"/>
          <w:szCs w:val="17"/>
          <w:color w:val="auto"/>
        </w:rPr>
        <w:t>Fee income receivable primarily includes amounts from third parties relating to potential variable fees. Revenue is recognized when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variable fee is probable of being realized and the amount of the variable fee can be reliably estimated. The probability of the variable fee being realized is assessed based on an evaluation of the terms and conditions of the reinsurance contracts, historical experience, and any other relevant factors. The estimation of the amount of the variable fee to recognize takes into consideration the anticipated profitability of the underlying reinsurance contracts, as well as any limitations or contingencies specified in the contracts. Variable consideration is recognized in revenue only to the extent that it is probable that a significant reversal will not occur when the related uncertainty is resolved. Management reassesses estimates of variable consideration at each reporting date throughout the contract period.</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Foreign Currency </w:t>
      </w:r>
      <w:r>
        <w:rPr>
          <w:rFonts w:ascii="Arial" w:cs="Arial" w:eastAsia="Arial" w:hAnsi="Arial"/>
          <w:sz w:val="17"/>
          <w:szCs w:val="17"/>
          <w:color w:val="auto"/>
        </w:rPr>
        <w:t>The U.S. dollar is the functional currency of the Company and its subsidiaries. Vantage occasionally transacts business in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currencies. Monetary assets and liabilities denominated in foreign currencies are revalued at the prevailing exchange rate at the balance sheet date, and revenues and expenses denominated in foreign currencies are translated at the prevailing exchange rate on the transaction date, with the resulting foreign exchange gains or losses included in Other income (loss), net in the Condensed Consolidated Statements of Operations. Non-monetary assets and liabilities denominated in foreign currencies are translated at the prevailing exchange rate on the transaction date and are not subsequently revalued or remeasured.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Insurance-Related Statutory Capital and Dividend Restrictions </w:t>
      </w:r>
      <w:r>
        <w:rPr>
          <w:rFonts w:ascii="Arial" w:cs="Arial" w:eastAsia="Arial" w:hAnsi="Arial"/>
          <w:sz w:val="17"/>
          <w:szCs w:val="17"/>
          <w:color w:val="auto"/>
        </w:rPr>
        <w:t>The Company’s insurance subsidiaries are subject to insurance laws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in the jurisdictions in which they operate and have regulatory capital and solvency requirements and restrictions on the ability of such subsidiaries to pay dividends to the parent company. The ability of the insurance and reinsurance subsidiaries to pay dividends to the parent company is also influenced by the maintenance of financial strength ratings assigned by independent rating agencies. Additionally, as a condition to the approval by the Delaware Department of Insurance (the Department) of the Vantage Acquisition, the Company has agreed that, until June 4, 2028, any dividends (whether ordinary or otherwise) by the Company’s Delaware insurance subsidiaries will require the Department’s prior approval. As of September 30, 2026, all insurance subsidiaries exceeded minimum regulatory capital requirements.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00497F"/>
        </w:rPr>
        <w:t xml:space="preserve">Restricted Cash </w:t>
      </w:r>
      <w:r>
        <w:rPr>
          <w:rFonts w:ascii="Arial" w:cs="Arial" w:eastAsia="Arial" w:hAnsi="Arial"/>
          <w:sz w:val="17"/>
          <w:szCs w:val="17"/>
          <w:color w:val="000000"/>
        </w:rPr>
        <w:t>Restricted cash reflects amounts segregated in escrow accounts in the name of the Company, primarily related to escrowed</w:t>
      </w:r>
      <w:r>
        <w:rPr>
          <w:rFonts w:ascii="Arial" w:cs="Arial" w:eastAsia="Arial" w:hAnsi="Arial"/>
          <w:sz w:val="17"/>
          <w:szCs w:val="17"/>
          <w:b w:val="1"/>
          <w:bCs w:val="1"/>
          <w:color w:val="00497F"/>
        </w:rPr>
        <w:t xml:space="preserve"> </w:t>
      </w:r>
      <w:r>
        <w:rPr>
          <w:rFonts w:ascii="Arial" w:cs="Arial" w:eastAsia="Arial" w:hAnsi="Arial"/>
          <w:sz w:val="17"/>
          <w:szCs w:val="17"/>
          <w:color w:val="000000"/>
        </w:rPr>
        <w:t>condominium deposits by buyers and other amounts related to taxes, insurance, and legally restricted security deposits and leasing costs associated with real estate operations, as well as deposits with various regulatory authorities to support insurance and reinsurance operations.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Accounts Receivable, net </w:t>
      </w:r>
      <w:r>
        <w:rPr>
          <w:rFonts w:ascii="Arial" w:cs="Arial" w:eastAsia="Arial" w:hAnsi="Arial"/>
          <w:sz w:val="17"/>
          <w:szCs w:val="17"/>
          <w:color w:val="000000"/>
        </w:rPr>
        <w:t>Accounts receivable, net includes insurance premiums receivable, straight-line rent receivables, tenant receivables,</w:t>
      </w:r>
      <w:r>
        <w:rPr>
          <w:rFonts w:ascii="Arial" w:cs="Arial" w:eastAsia="Arial" w:hAnsi="Arial"/>
          <w:sz w:val="17"/>
          <w:szCs w:val="17"/>
          <w:b w:val="1"/>
          <w:bCs w:val="1"/>
          <w:color w:val="00497F"/>
        </w:rPr>
        <w:t xml:space="preserve"> </w:t>
      </w:r>
      <w:r>
        <w:rPr>
          <w:rFonts w:ascii="Arial" w:cs="Arial" w:eastAsia="Arial" w:hAnsi="Arial"/>
          <w:sz w:val="17"/>
          <w:szCs w:val="17"/>
          <w:color w:val="000000"/>
        </w:rPr>
        <w:t>related-party receivables, and other receivables.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Insurance premiums receivable includes amounts due from agents, brokers, and insureds that are both currently due and amounts not yet due on insurance policies and reinsurance contracts, and are reported net of an allowance for expected credit losses, if necessary. On a quarterly basis, management reviews these receivables for collectability. This analysis is based on relevant information about past events, including historical experience, current conditions, and reasonable and supportable forecasts that affect the collectability of the reported amount. In certain instances, credit risk may be reduced by the Company’s right to offset loss obligations and/or unearned premiums against premiums receivable. The Company recognizes reserves for estimated losses in earnings if the estimated loss amount is probable and can be reasonably estimated.</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Straight-line rent receivables arise from the recognition of rental income on a straight-line basis over the term of the lease when lease agreements contain scheduled rent increases or rent concessions. Tenant receivables represent amounts billed and currently due from tenants for contractual base rent, reimbursements of property operating expenses, and other lease-related charges. On a quarterly basis, management reviews the lease-related receivables for collectability. This analysis includes a review of past due accounts and considers factors such as the credit quality of tenants, current economic conditions, and changes in customer payment trends. When full collection of a lease-related receivable or future lease payment is deemed to be not probable, a reserve for the receivable balance is charged against rental revenue and future rental revenue is recognized on a cash basis. The Company also records reserves for estimated losses if the estimated loss amount is probable and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60" w:hanging="446"/>
        <w:spacing w:after="0"/>
        <w:tabs>
          <w:tab w:leader="none" w:pos="49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Related-party receivables as of December 31, 2025 were primarily due from the Floreo joint venture and related to reimbursable overhead costs incurred by the Company on behalf of Floreo and an outstanding balance of guaranty fees associated with Floreo’s bond financing. The Company received payment for the outstanding balance of guaranty fees during the third quarter of 2026. As of September 30, 2026, following a reconsideration event, the Floreo joint venture was consolidated. As such, any remaining related-party receivable balances are now eliminated in consolidation. See Note 10 - </w:t>
      </w:r>
      <w:r>
        <w:rPr>
          <w:rFonts w:ascii="Arial" w:cs="Arial" w:eastAsia="Arial" w:hAnsi="Arial"/>
          <w:sz w:val="17"/>
          <w:szCs w:val="17"/>
          <w:i w:val="1"/>
          <w:iCs w:val="1"/>
          <w:color w:val="auto"/>
        </w:rPr>
        <w:t>Acquisitions and Dispositions of Real Estate Assets</w:t>
      </w:r>
      <w:r>
        <w:rPr>
          <w:rFonts w:ascii="Arial" w:cs="Arial" w:eastAsia="Arial" w:hAnsi="Arial"/>
          <w:sz w:val="17"/>
          <w:szCs w:val="17"/>
          <w:color w:val="auto"/>
        </w:rPr>
        <w:t xml:space="preserve"> for additional information on the consolidation of the Floreo joint venture.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receivables are primarily related to other short-term trade receivables. The Company is exposed to credit losses through the sale of goods and services to customers and assesses its exposure to credit loss related to these receivables on a quarterly basis based on historical collection experience and future expectations by portfolio. The Company records an allowance for credit losses if the estimated loss amount is probable.</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following table represents the components of Accounts receivable, net of amounts considered uncollectible, in the accompanying Condensed 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480" w:type="dxa"/>
            <w:vAlign w:val="bottom"/>
            <w:tcBorders>
              <w:top w:val="single" w:sz="8" w:color="auto"/>
              <w:bottom w:val="single" w:sz="8" w:color="auto"/>
            </w:tcBorders>
            <w:shd w:val="clear" w:color="auto" w:fill="D8D8D8"/>
          </w:tcPr>
          <w:p>
            <w:pPr>
              <w:spacing w:after="0"/>
              <w:rPr>
                <w:sz w:val="21"/>
                <w:szCs w:val="21"/>
                <w:color w:val="auto"/>
              </w:rPr>
            </w:pPr>
          </w:p>
        </w:tc>
        <w:tc>
          <w:tcPr>
            <w:tcW w:w="1940" w:type="dxa"/>
            <w:vAlign w:val="bottom"/>
            <w:tcBorders>
              <w:top w:val="single" w:sz="8" w:color="auto"/>
              <w:bottom w:val="single" w:sz="8" w:color="auto"/>
            </w:tcBorders>
            <w:shd w:val="clear" w:color="auto" w:fill="D8D8D8"/>
          </w:tcPr>
          <w:p>
            <w:pPr>
              <w:jc w:val="right"/>
              <w:ind w:right="195"/>
              <w:spacing w:after="0"/>
              <w:rPr>
                <w:sz w:val="20"/>
                <w:szCs w:val="20"/>
                <w:color w:val="auto"/>
              </w:rPr>
            </w:pPr>
            <w:r>
              <w:rPr>
                <w:rFonts w:ascii="Arial" w:cs="Arial" w:eastAsia="Arial" w:hAnsi="Arial"/>
                <w:sz w:val="17"/>
                <w:szCs w:val="17"/>
                <w:b w:val="1"/>
                <w:bCs w:val="1"/>
                <w:color w:val="auto"/>
              </w:rPr>
              <w:t>September 30, 2026</w:t>
            </w:r>
          </w:p>
        </w:tc>
        <w:tc>
          <w:tcPr>
            <w:tcW w:w="280" w:type="dxa"/>
            <w:vAlign w:val="bottom"/>
            <w:tcBorders>
              <w:top w:val="single" w:sz="8" w:color="auto"/>
              <w:bottom w:val="single" w:sz="8" w:color="auto"/>
            </w:tcBorders>
            <w:shd w:val="clear" w:color="auto" w:fill="D8D8D8"/>
          </w:tcPr>
          <w:p>
            <w:pPr>
              <w:spacing w:after="0"/>
              <w:rPr>
                <w:sz w:val="21"/>
                <w:szCs w:val="21"/>
                <w:color w:val="auto"/>
              </w:rPr>
            </w:pPr>
          </w:p>
        </w:tc>
        <w:tc>
          <w:tcPr>
            <w:tcW w:w="1840" w:type="dxa"/>
            <w:vAlign w:val="bottom"/>
            <w:tcBorders>
              <w:top w:val="single" w:sz="8" w:color="auto"/>
              <w:bottom w:val="single" w:sz="8" w:color="auto"/>
            </w:tcBorders>
            <w:shd w:val="clear" w:color="auto" w:fill="D8D8D8"/>
          </w:tcPr>
          <w:p>
            <w:pPr>
              <w:jc w:val="right"/>
              <w:ind w:right="175"/>
              <w:spacing w:after="0"/>
              <w:rPr>
                <w:sz w:val="20"/>
                <w:szCs w:val="20"/>
                <w:color w:val="auto"/>
              </w:rPr>
            </w:pPr>
            <w:r>
              <w:rPr>
                <w:rFonts w:ascii="Arial" w:cs="Arial" w:eastAsia="Arial" w:hAnsi="Arial"/>
                <w:sz w:val="17"/>
                <w:szCs w:val="17"/>
                <w:color w:val="auto"/>
              </w:rPr>
              <w:t>December 31, 2025</w:t>
            </w: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color w:val="auto"/>
              </w:rPr>
              <w:t>Insurance premiums receivable</w:t>
            </w:r>
          </w:p>
        </w:tc>
        <w:tc>
          <w:tcPr>
            <w:tcW w:w="24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760,995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Straight-line rent receivables</w:t>
            </w:r>
          </w:p>
        </w:tc>
        <w:tc>
          <w:tcPr>
            <w:tcW w:w="24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104,307</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96,975</w:t>
            </w: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Tenant receivables</w:t>
            </w:r>
          </w:p>
        </w:tc>
        <w:tc>
          <w:tcPr>
            <w:tcW w:w="24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9,957</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5,512</w:t>
            </w:r>
          </w:p>
        </w:tc>
      </w:tr>
      <w:tr>
        <w:trPr>
          <w:trHeight w:val="230"/>
        </w:trPr>
        <w:tc>
          <w:tcPr>
            <w:tcW w:w="4700" w:type="dxa"/>
            <w:vAlign w:val="bottom"/>
          </w:tcPr>
          <w:p>
            <w:pPr>
              <w:ind w:left="20"/>
              <w:spacing w:after="0"/>
              <w:rPr>
                <w:sz w:val="20"/>
                <w:szCs w:val="20"/>
                <w:color w:val="auto"/>
              </w:rPr>
            </w:pPr>
            <w:r>
              <w:rPr>
                <w:rFonts w:ascii="Arial" w:cs="Arial" w:eastAsia="Arial" w:hAnsi="Arial"/>
                <w:sz w:val="17"/>
                <w:szCs w:val="17"/>
                <w:color w:val="auto"/>
              </w:rPr>
              <w:t>Related-party receivables</w:t>
            </w:r>
          </w:p>
        </w:tc>
        <w:tc>
          <w:tcPr>
            <w:tcW w:w="24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18,640</w:t>
            </w:r>
          </w:p>
        </w:tc>
      </w:tr>
      <w:tr>
        <w:trPr>
          <w:trHeight w:val="23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receivables</w:t>
            </w:r>
          </w:p>
        </w:tc>
        <w:tc>
          <w:tcPr>
            <w:tcW w:w="24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7,989</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12,995</w:t>
            </w:r>
          </w:p>
        </w:tc>
      </w:tr>
      <w:tr>
        <w:trPr>
          <w:trHeight w:val="22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Accounts receivable, net (a)</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883,267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134,122</w:t>
            </w:r>
          </w:p>
        </w:tc>
      </w:tr>
    </w:tbl>
    <w:p>
      <w:pPr>
        <w:spacing w:after="0" w:line="134" w:lineRule="exact"/>
        <w:rPr>
          <w:sz w:val="20"/>
          <w:szCs w:val="20"/>
          <w:color w:val="auto"/>
        </w:rPr>
      </w:pPr>
    </w:p>
    <w:p>
      <w:pPr>
        <w:jc w:val="both"/>
        <w:ind w:left="340" w:hanging="332"/>
        <w:spacing w:after="0" w:line="265"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September 30, 2026, the total reserve balance for amounts considered uncollectible was $6.4 million, comprised of $6.3 million attributable to lease-related receivables and $0.1 million attributable to the allowance for credit losses related to other accounts receivables. As of December 31, 2025, the total reserve balance was $7.2 million, comprised of $7.0 million attributable to lease-related receivables and $0.2 million attributable to the allowance for credit losses related to other accounts receivables.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impacts of the collectability reserves in the accompanying Condensed Consolidated Statements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0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920" w:type="dxa"/>
            <w:vAlign w:val="bottom"/>
            <w:tcBorders>
              <w:top w:val="single" w:sz="8" w:color="auto"/>
            </w:tcBorders>
            <w:gridSpan w:val="5"/>
            <w:shd w:val="clear" w:color="auto" w:fill="D8D8D8"/>
          </w:tcPr>
          <w:p>
            <w:pPr>
              <w:ind w:left="100"/>
              <w:spacing w:after="0" w:line="180" w:lineRule="exact"/>
              <w:rPr>
                <w:sz w:val="20"/>
                <w:szCs w:val="20"/>
                <w:color w:val="auto"/>
              </w:rPr>
            </w:pPr>
            <w:r>
              <w:rPr>
                <w:rFonts w:ascii="Arial" w:cs="Arial" w:eastAsia="Arial" w:hAnsi="Arial"/>
                <w:sz w:val="17"/>
                <w:szCs w:val="17"/>
                <w:b w:val="1"/>
                <w:bCs w:val="1"/>
                <w:color w:val="auto"/>
              </w:rPr>
              <w:t>Three Months Ended September</w:t>
            </w:r>
          </w:p>
        </w:tc>
        <w:tc>
          <w:tcPr>
            <w:tcW w:w="120" w:type="dxa"/>
            <w:vAlign w:val="bottom"/>
            <w:tcBorders>
              <w:top w:val="single" w:sz="8" w:color="auto"/>
            </w:tcBorders>
            <w:shd w:val="clear" w:color="auto" w:fill="D8D8D8"/>
          </w:tcPr>
          <w:p>
            <w:pPr>
              <w:spacing w:after="0"/>
              <w:rPr>
                <w:sz w:val="15"/>
                <w:szCs w:val="15"/>
                <w:color w:val="auto"/>
              </w:rPr>
            </w:pPr>
          </w:p>
        </w:tc>
        <w:tc>
          <w:tcPr>
            <w:tcW w:w="2700" w:type="dxa"/>
            <w:vAlign w:val="bottom"/>
            <w:tcBorders>
              <w:top w:val="single" w:sz="8" w:color="auto"/>
            </w:tcBorders>
            <w:gridSpan w:val="3"/>
            <w:shd w:val="clear" w:color="auto" w:fill="D8D8D8"/>
          </w:tcPr>
          <w:p>
            <w:pPr>
              <w:jc w:val="right"/>
              <w:ind w:right="55"/>
              <w:spacing w:after="0" w:line="180" w:lineRule="exact"/>
              <w:rPr>
                <w:sz w:val="20"/>
                <w:szCs w:val="20"/>
                <w:color w:val="auto"/>
              </w:rPr>
            </w:pPr>
            <w:r>
              <w:rPr>
                <w:rFonts w:ascii="Arial" w:cs="Arial" w:eastAsia="Arial" w:hAnsi="Arial"/>
                <w:sz w:val="17"/>
                <w:szCs w:val="17"/>
                <w:b w:val="1"/>
                <w:bCs w:val="1"/>
                <w:color w:val="auto"/>
              </w:rPr>
              <w:t>Nine Months Ended September</w:t>
            </w:r>
          </w:p>
        </w:tc>
        <w:tc>
          <w:tcPr>
            <w:tcW w:w="0" w:type="dxa"/>
            <w:vAlign w:val="bottom"/>
          </w:tcPr>
          <w:p>
            <w:pPr>
              <w:spacing w:after="0"/>
              <w:rPr>
                <w:sz w:val="1"/>
                <w:szCs w:val="1"/>
                <w:color w:val="auto"/>
              </w:rPr>
            </w:pPr>
          </w:p>
        </w:tc>
      </w:tr>
      <w:tr>
        <w:trPr>
          <w:trHeight w:val="225"/>
        </w:trPr>
        <w:tc>
          <w:tcPr>
            <w:tcW w:w="5500" w:type="dxa"/>
            <w:vAlign w:val="bottom"/>
            <w:tcBorders>
              <w:bottom w:val="single" w:sz="8" w:color="D8D8D8"/>
            </w:tcBorders>
            <w:vMerge w:val="continue"/>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460" w:type="dxa"/>
            <w:vAlign w:val="bottom"/>
            <w:tcBorders>
              <w:bottom w:val="single" w:sz="8" w:color="auto"/>
            </w:tcBorders>
            <w:gridSpan w:val="2"/>
            <w:shd w:val="clear" w:color="auto" w:fill="D8D8D8"/>
          </w:tcPr>
          <w:p>
            <w:pPr>
              <w:jc w:val="right"/>
              <w:ind w:right="135"/>
              <w:spacing w:after="0"/>
              <w:rPr>
                <w:sz w:val="20"/>
                <w:szCs w:val="20"/>
                <w:color w:val="auto"/>
              </w:rPr>
            </w:pPr>
            <w:r>
              <w:rPr>
                <w:rFonts w:ascii="Arial" w:cs="Arial" w:eastAsia="Arial" w:hAnsi="Arial"/>
                <w:sz w:val="17"/>
                <w:szCs w:val="17"/>
                <w:b w:val="1"/>
                <w:bCs w:val="1"/>
                <w:color w:val="auto"/>
              </w:rPr>
              <w:t>30,</w:t>
            </w:r>
          </w:p>
        </w:tc>
        <w:tc>
          <w:tcPr>
            <w:tcW w:w="1060" w:type="dxa"/>
            <w:vAlign w:val="bottom"/>
            <w:tcBorders>
              <w:bottom w:val="single" w:sz="8" w:color="auto"/>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120" w:type="dxa"/>
            <w:vAlign w:val="bottom"/>
            <w:tcBorders>
              <w:bottom w:val="single" w:sz="8" w:color="auto"/>
            </w:tcBorders>
            <w:shd w:val="clear" w:color="auto" w:fill="D8D8D8"/>
          </w:tcPr>
          <w:p>
            <w:pPr>
              <w:spacing w:after="0"/>
              <w:rPr>
                <w:sz w:val="19"/>
                <w:szCs w:val="19"/>
                <w:color w:val="auto"/>
              </w:rPr>
            </w:pPr>
          </w:p>
        </w:tc>
        <w:tc>
          <w:tcPr>
            <w:tcW w:w="1160" w:type="dxa"/>
            <w:vAlign w:val="bottom"/>
            <w:tcBorders>
              <w:bottom w:val="single" w:sz="8" w:color="auto"/>
            </w:tcBorders>
            <w:shd w:val="clear" w:color="auto" w:fill="D8D8D8"/>
          </w:tcPr>
          <w:p>
            <w:pPr>
              <w:spacing w:after="0"/>
              <w:rPr>
                <w:sz w:val="19"/>
                <w:szCs w:val="19"/>
                <w:color w:val="auto"/>
              </w:rPr>
            </w:pPr>
          </w:p>
        </w:tc>
        <w:tc>
          <w:tcPr>
            <w:tcW w:w="480" w:type="dxa"/>
            <w:vAlign w:val="bottom"/>
            <w:tcBorders>
              <w:bottom w:val="single" w:sz="8" w:color="auto"/>
            </w:tcBorders>
            <w:shd w:val="clear" w:color="auto" w:fill="D8D8D8"/>
          </w:tcPr>
          <w:p>
            <w:pPr>
              <w:jc w:val="right"/>
              <w:ind w:right="155"/>
              <w:spacing w:after="0"/>
              <w:rPr>
                <w:sz w:val="20"/>
                <w:szCs w:val="20"/>
                <w:color w:val="auto"/>
              </w:rPr>
            </w:pPr>
            <w:r>
              <w:rPr>
                <w:rFonts w:ascii="Arial" w:cs="Arial" w:eastAsia="Arial" w:hAnsi="Arial"/>
                <w:sz w:val="17"/>
                <w:szCs w:val="17"/>
                <w:b w:val="1"/>
                <w:bCs w:val="1"/>
                <w:color w:val="auto"/>
                <w:w w:val="92"/>
              </w:rPr>
              <w:t>30,</w:t>
            </w:r>
          </w:p>
        </w:tc>
        <w:tc>
          <w:tcPr>
            <w:tcW w:w="1060" w:type="dxa"/>
            <w:vAlign w:val="bottom"/>
            <w:tcBorders>
              <w:bottom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Statements of Operations Location</w:t>
            </w:r>
          </w:p>
        </w:tc>
        <w:tc>
          <w:tcPr>
            <w:tcW w:w="30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435"/>
              <w:spacing w:after="0"/>
              <w:rPr>
                <w:sz w:val="20"/>
                <w:szCs w:val="20"/>
                <w:color w:val="auto"/>
              </w:rPr>
            </w:pPr>
            <w:r>
              <w:rPr>
                <w:rFonts w:ascii="Arial" w:cs="Arial" w:eastAsia="Arial" w:hAnsi="Arial"/>
                <w:sz w:val="17"/>
                <w:szCs w:val="17"/>
                <w:b w:val="1"/>
                <w:bCs w:val="1"/>
                <w:color w:val="auto"/>
              </w:rPr>
              <w:t>2026</w:t>
            </w:r>
          </w:p>
        </w:tc>
        <w:tc>
          <w:tcPr>
            <w:tcW w:w="36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395"/>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auto"/>
            </w:tcBorders>
            <w:shd w:val="clear" w:color="auto" w:fill="D8D8D8"/>
          </w:tcPr>
          <w:p>
            <w:pPr>
              <w:spacing w:after="0"/>
              <w:rPr>
                <w:sz w:val="19"/>
                <w:szCs w:val="19"/>
                <w:color w:val="auto"/>
              </w:rPr>
            </w:pPr>
          </w:p>
        </w:tc>
        <w:tc>
          <w:tcPr>
            <w:tcW w:w="120" w:type="dxa"/>
            <w:vAlign w:val="bottom"/>
            <w:tcBorders>
              <w:bottom w:val="single" w:sz="8" w:color="auto"/>
            </w:tcBorders>
            <w:shd w:val="clear" w:color="auto" w:fill="D8D8D8"/>
          </w:tcPr>
          <w:p>
            <w:pPr>
              <w:spacing w:after="0"/>
              <w:rPr>
                <w:sz w:val="19"/>
                <w:szCs w:val="19"/>
                <w:color w:val="auto"/>
              </w:rPr>
            </w:pPr>
          </w:p>
        </w:tc>
        <w:tc>
          <w:tcPr>
            <w:tcW w:w="1160" w:type="dxa"/>
            <w:vAlign w:val="bottom"/>
            <w:tcBorders>
              <w:bottom w:val="single" w:sz="8" w:color="auto"/>
            </w:tcBorders>
            <w:shd w:val="clear" w:color="auto" w:fill="D8D8D8"/>
          </w:tcPr>
          <w:p>
            <w:pPr>
              <w:jc w:val="right"/>
              <w:ind w:right="315"/>
              <w:spacing w:after="0"/>
              <w:rPr>
                <w:sz w:val="20"/>
                <w:szCs w:val="20"/>
                <w:color w:val="auto"/>
              </w:rPr>
            </w:pPr>
            <w:r>
              <w:rPr>
                <w:rFonts w:ascii="Arial" w:cs="Arial" w:eastAsia="Arial" w:hAnsi="Arial"/>
                <w:sz w:val="17"/>
                <w:szCs w:val="17"/>
                <w:b w:val="1"/>
                <w:bCs w:val="1"/>
                <w:color w:val="auto"/>
              </w:rPr>
              <w:t>2026</w:t>
            </w:r>
          </w:p>
        </w:tc>
        <w:tc>
          <w:tcPr>
            <w:tcW w:w="4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41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5500" w:type="dxa"/>
            <w:vAlign w:val="bottom"/>
          </w:tcPr>
          <w:p>
            <w:pPr>
              <w:ind w:left="20"/>
              <w:spacing w:after="0"/>
              <w:rPr>
                <w:sz w:val="20"/>
                <w:szCs w:val="20"/>
                <w:color w:val="auto"/>
              </w:rPr>
            </w:pPr>
            <w:r>
              <w:rPr>
                <w:rFonts w:ascii="Arial" w:cs="Arial" w:eastAsia="Arial" w:hAnsi="Arial"/>
                <w:sz w:val="17"/>
                <w:szCs w:val="17"/>
                <w:color w:val="auto"/>
              </w:rPr>
              <w:t>Rental revenue</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(2,324)</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center"/>
              <w:ind w:left="535"/>
              <w:spacing w:after="0"/>
              <w:rPr>
                <w:sz w:val="20"/>
                <w:szCs w:val="20"/>
                <w:color w:val="auto"/>
              </w:rPr>
            </w:pPr>
            <w:r>
              <w:rPr>
                <w:rFonts w:ascii="Arial" w:cs="Arial" w:eastAsia="Arial" w:hAnsi="Arial"/>
                <w:sz w:val="17"/>
                <w:szCs w:val="17"/>
                <w:color w:val="auto"/>
                <w:w w:val="98"/>
              </w:rPr>
              <w:t>494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68</w:t>
            </w:r>
          </w:p>
        </w:tc>
        <w:tc>
          <w:tcPr>
            <w:tcW w:w="4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3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(recovery of) doubtful accounts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206</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535"/>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(income) expense impact</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(2,118)</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center"/>
              <w:ind w:left="535"/>
              <w:spacing w:after="0"/>
              <w:rPr>
                <w:sz w:val="20"/>
                <w:szCs w:val="20"/>
                <w:color w:val="auto"/>
              </w:rPr>
            </w:pPr>
            <w:r>
              <w:rPr>
                <w:rFonts w:ascii="Arial" w:cs="Arial" w:eastAsia="Arial" w:hAnsi="Arial"/>
                <w:sz w:val="17"/>
                <w:szCs w:val="17"/>
                <w:color w:val="auto"/>
                <w:w w:val="98"/>
              </w:rPr>
              <w:t>149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338</w:t>
            </w: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00497F"/>
        </w:rPr>
        <w:t xml:space="preserve">Municipal District Receivables, net </w:t>
      </w:r>
      <w:r>
        <w:rPr>
          <w:rFonts w:ascii="Arial" w:cs="Arial" w:eastAsia="Arial" w:hAnsi="Arial"/>
          <w:sz w:val="17"/>
          <w:szCs w:val="17"/>
          <w:color w:val="000000"/>
        </w:rPr>
        <w:t>Municipal district receivables, net are development costs that the Company incurs within its MPCs and expects</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to be reimbursed for by special-purpose political subdivisions. These subdivisions are formed under state law to finance public infrastructure that benefits land within their boundaries. They include Municipal Utility Districts (MUD) in Houston, Texas and Community Facilities Districts (CFD) in Arizona. Each type of district is governed by its own state statute, which defines the infrastructure and costs that qualify for reimbursement. The Company applies a consistent accounting approach to both. The Company typically advances funds to build qualifying public infrastructure, which must be designed, bid, and constructed in accordance with the applicable statute and local requirements. The district Board of Directors authorizes and approves all reimbursable development contracts, and uses bond sale proceeds to reimburse the developer for its construction costs. At the date the expenditures occur, the Company determines the costs it believes will be eligible for reimbursement under the applicable statute and recognizes those costs as municipal district receivables. As of September 30, 2026, following the consolidation of Floreo in July 2026, related CFD receivables are included in the consolidated Municipal district receivables, net balance. Prior to the consolidation of Floreo, the Company did not have consolidated CFD receivables as development has not yet started in Teravalis. See Note 10 - </w:t>
      </w:r>
      <w:r>
        <w:rPr>
          <w:rFonts w:ascii="Arial" w:cs="Arial" w:eastAsia="Arial" w:hAnsi="Arial"/>
          <w:sz w:val="17"/>
          <w:szCs w:val="17"/>
          <w:i w:val="1"/>
          <w:iCs w:val="1"/>
          <w:color w:val="000000"/>
        </w:rPr>
        <w:t>Acquisitions and Dispositions of Real Estate</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Assets </w:t>
      </w:r>
      <w:r>
        <w:rPr>
          <w:rFonts w:ascii="Arial" w:cs="Arial" w:eastAsia="Arial" w:hAnsi="Arial"/>
          <w:sz w:val="17"/>
          <w:szCs w:val="17"/>
          <w:color w:val="000000"/>
        </w:rPr>
        <w:t>for further discussion of the Floreo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60" w:hanging="446"/>
        <w:spacing w:after="0"/>
        <w:tabs>
          <w:tab w:leader="none" w:pos="4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Sale of MUD Receivables </w:t>
      </w:r>
      <w:r>
        <w:rPr>
          <w:rFonts w:ascii="Arial" w:cs="Arial" w:eastAsia="Arial" w:hAnsi="Arial"/>
          <w:sz w:val="17"/>
          <w:szCs w:val="17"/>
          <w:color w:val="000000"/>
        </w:rPr>
        <w:t>The Company has entered into various transactions to transfer reimbursement rights related to its current and anticipated</w:t>
      </w:r>
      <w:r>
        <w:rPr>
          <w:rFonts w:ascii="Arial" w:cs="Arial" w:eastAsia="Arial" w:hAnsi="Arial"/>
          <w:sz w:val="17"/>
          <w:szCs w:val="17"/>
          <w:b w:val="1"/>
          <w:bCs w:val="1"/>
          <w:color w:val="00497F"/>
        </w:rPr>
        <w:t xml:space="preserve"> </w:t>
      </w:r>
      <w:r>
        <w:rPr>
          <w:rFonts w:ascii="Arial" w:cs="Arial" w:eastAsia="Arial" w:hAnsi="Arial"/>
          <w:sz w:val="17"/>
          <w:szCs w:val="17"/>
          <w:color w:val="000000"/>
        </w:rPr>
        <w:t>future MUD receivables, as well as interest owed on its current MUD receivables, in exchange for cash consideration. For each transaction, the Company allocated the cash consideration received between the existing MUD receivables and anticipated future MUD receivables using the relative fair value method. As a result of these transactions, the Company derecognized the existing MUD receivables and related accrued interest, and recognized a loss on sale equal to the excess of their carrying amount over the consideration allocated to them.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initial impacts of the MUD sale transactions: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4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540" w:type="dxa"/>
            <w:vAlign w:val="bottom"/>
            <w:tcBorders>
              <w:top w:val="single" w:sz="8" w:color="auto"/>
            </w:tcBorders>
            <w:shd w:val="clear" w:color="auto" w:fill="D8D8D8"/>
          </w:tcPr>
          <w:p>
            <w:pPr>
              <w:spacing w:after="0"/>
              <w:rPr>
                <w:sz w:val="15"/>
                <w:szCs w:val="15"/>
                <w:color w:val="auto"/>
              </w:rPr>
            </w:pPr>
          </w:p>
        </w:tc>
        <w:tc>
          <w:tcPr>
            <w:tcW w:w="1160" w:type="dxa"/>
            <w:vAlign w:val="bottom"/>
            <w:tcBorders>
              <w:top w:val="single" w:sz="8" w:color="auto"/>
            </w:tcBorders>
            <w:shd w:val="clear" w:color="auto" w:fill="D8D8D8"/>
          </w:tcPr>
          <w:p>
            <w:pPr>
              <w:jc w:val="right"/>
              <w:ind w:right="155"/>
              <w:spacing w:after="0" w:line="180" w:lineRule="exact"/>
              <w:rPr>
                <w:sz w:val="20"/>
                <w:szCs w:val="20"/>
                <w:color w:val="auto"/>
              </w:rPr>
            </w:pPr>
            <w:r>
              <w:rPr>
                <w:rFonts w:ascii="Arial" w:cs="Arial" w:eastAsia="Arial" w:hAnsi="Arial"/>
                <w:sz w:val="17"/>
                <w:szCs w:val="17"/>
                <w:b w:val="1"/>
                <w:bCs w:val="1"/>
                <w:color w:val="auto"/>
              </w:rPr>
              <w:t>September</w:t>
            </w:r>
          </w:p>
        </w:tc>
        <w:tc>
          <w:tcPr>
            <w:tcW w:w="260" w:type="dxa"/>
            <w:vAlign w:val="bottom"/>
            <w:tcBorders>
              <w:top w:val="single" w:sz="8" w:color="auto"/>
            </w:tcBorders>
            <w:shd w:val="clear" w:color="auto" w:fill="D8D8D8"/>
          </w:tcPr>
          <w:p>
            <w:pPr>
              <w:spacing w:after="0"/>
              <w:rPr>
                <w:sz w:val="15"/>
                <w:szCs w:val="15"/>
                <w:color w:val="auto"/>
              </w:rPr>
            </w:pPr>
          </w:p>
        </w:tc>
        <w:tc>
          <w:tcPr>
            <w:tcW w:w="1120" w:type="dxa"/>
            <w:vAlign w:val="bottom"/>
            <w:tcBorders>
              <w:top w:val="single" w:sz="8" w:color="auto"/>
            </w:tcBorders>
            <w:vMerge w:val="restart"/>
            <w:shd w:val="clear" w:color="auto" w:fill="D8D8D8"/>
          </w:tcPr>
          <w:p>
            <w:pPr>
              <w:jc w:val="right"/>
              <w:ind w:right="215"/>
              <w:spacing w:after="0"/>
              <w:rPr>
                <w:sz w:val="20"/>
                <w:szCs w:val="20"/>
                <w:color w:val="auto"/>
              </w:rPr>
            </w:pPr>
            <w:r>
              <w:rPr>
                <w:rFonts w:ascii="Arial" w:cs="Arial" w:eastAsia="Arial" w:hAnsi="Arial"/>
                <w:sz w:val="17"/>
                <w:szCs w:val="17"/>
                <w:b w:val="1"/>
                <w:bCs w:val="1"/>
                <w:color w:val="auto"/>
              </w:rPr>
              <w:t>May 2025</w:t>
            </w:r>
          </w:p>
        </w:tc>
        <w:tc>
          <w:tcPr>
            <w:tcW w:w="220" w:type="dxa"/>
            <w:vAlign w:val="bottom"/>
            <w:tcBorders>
              <w:top w:val="single" w:sz="8" w:color="auto"/>
            </w:tcBorders>
            <w:shd w:val="clear" w:color="auto" w:fill="D8D8D8"/>
          </w:tcPr>
          <w:p>
            <w:pPr>
              <w:spacing w:after="0"/>
              <w:rPr>
                <w:sz w:val="15"/>
                <w:szCs w:val="15"/>
                <w:color w:val="auto"/>
              </w:rPr>
            </w:pPr>
          </w:p>
        </w:tc>
        <w:tc>
          <w:tcPr>
            <w:tcW w:w="1120" w:type="dxa"/>
            <w:vAlign w:val="bottom"/>
            <w:tcBorders>
              <w:top w:val="single" w:sz="8" w:color="auto"/>
            </w:tcBorders>
            <w:vMerge w:val="restart"/>
            <w:shd w:val="clear" w:color="auto" w:fill="D8D8D8"/>
          </w:tcPr>
          <w:p>
            <w:pPr>
              <w:jc w:val="right"/>
              <w:ind w:right="175"/>
              <w:spacing w:after="0"/>
              <w:rPr>
                <w:sz w:val="20"/>
                <w:szCs w:val="20"/>
                <w:color w:val="auto"/>
              </w:rPr>
            </w:pPr>
            <w:r>
              <w:rPr>
                <w:rFonts w:ascii="Arial" w:cs="Arial" w:eastAsia="Arial" w:hAnsi="Arial"/>
                <w:sz w:val="17"/>
                <w:szCs w:val="17"/>
                <w:b w:val="1"/>
                <w:bCs w:val="1"/>
                <w:color w:val="auto"/>
              </w:rPr>
              <w:t>April 2026</w:t>
            </w:r>
          </w:p>
        </w:tc>
        <w:tc>
          <w:tcPr>
            <w:tcW w:w="240" w:type="dxa"/>
            <w:vAlign w:val="bottom"/>
            <w:tcBorders>
              <w:top w:val="single" w:sz="8" w:color="auto"/>
            </w:tcBorders>
            <w:shd w:val="clear" w:color="auto" w:fill="D8D8D8"/>
          </w:tcPr>
          <w:p>
            <w:pPr>
              <w:spacing w:after="0"/>
              <w:rPr>
                <w:sz w:val="15"/>
                <w:szCs w:val="15"/>
                <w:color w:val="auto"/>
              </w:rPr>
            </w:pPr>
          </w:p>
        </w:tc>
        <w:tc>
          <w:tcPr>
            <w:tcW w:w="1120" w:type="dxa"/>
            <w:vAlign w:val="bottom"/>
            <w:tcBorders>
              <w:top w:val="single" w:sz="8" w:color="auto"/>
            </w:tcBorders>
            <w:vMerge w:val="restart"/>
            <w:shd w:val="clear" w:color="auto" w:fill="D8D8D8"/>
          </w:tcPr>
          <w:p>
            <w:pPr>
              <w:jc w:val="right"/>
              <w:ind w:right="195"/>
              <w:spacing w:after="0"/>
              <w:rPr>
                <w:sz w:val="20"/>
                <w:szCs w:val="20"/>
                <w:color w:val="auto"/>
              </w:rPr>
            </w:pPr>
            <w:r>
              <w:rPr>
                <w:rFonts w:ascii="Arial" w:cs="Arial" w:eastAsia="Arial" w:hAnsi="Arial"/>
                <w:sz w:val="17"/>
                <w:szCs w:val="17"/>
                <w:b w:val="1"/>
                <w:bCs w:val="1"/>
                <w:color w:val="auto"/>
              </w:rPr>
              <w:t>July 2026</w:t>
            </w:r>
          </w:p>
        </w:tc>
        <w:tc>
          <w:tcPr>
            <w:tcW w:w="200" w:type="dxa"/>
            <w:vAlign w:val="bottom"/>
            <w:tcBorders>
              <w:top w:val="single" w:sz="8" w:color="auto"/>
            </w:tcBorders>
            <w:shd w:val="clear" w:color="auto" w:fill="D8D8D8"/>
          </w:tcPr>
          <w:p>
            <w:pPr>
              <w:spacing w:after="0"/>
              <w:rPr>
                <w:sz w:val="15"/>
                <w:szCs w:val="15"/>
                <w:color w:val="auto"/>
              </w:rPr>
            </w:pPr>
          </w:p>
        </w:tc>
        <w:tc>
          <w:tcPr>
            <w:tcW w:w="1120" w:type="dxa"/>
            <w:vAlign w:val="bottom"/>
            <w:tcBorders>
              <w:top w:val="single" w:sz="8" w:color="auto"/>
            </w:tcBorders>
            <w:shd w:val="clear" w:color="auto" w:fill="D8D8D8"/>
          </w:tcPr>
          <w:p>
            <w:pPr>
              <w:jc w:val="right"/>
              <w:ind w:right="115"/>
              <w:spacing w:after="0" w:line="180" w:lineRule="exact"/>
              <w:rPr>
                <w:sz w:val="20"/>
                <w:szCs w:val="20"/>
                <w:color w:val="auto"/>
              </w:rPr>
            </w:pPr>
            <w:r>
              <w:rPr>
                <w:rFonts w:ascii="Arial" w:cs="Arial" w:eastAsia="Arial" w:hAnsi="Arial"/>
                <w:sz w:val="17"/>
                <w:szCs w:val="17"/>
                <w:b w:val="1"/>
                <w:bCs w:val="1"/>
                <w:color w:val="auto"/>
              </w:rPr>
              <w:t>September</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auto"/>
            </w:tcBorders>
            <w:vMerge w:val="continue"/>
            <w:shd w:val="clear" w:color="auto" w:fill="D8D8D8"/>
          </w:tcPr>
          <w:p>
            <w:pPr>
              <w:spacing w:after="0"/>
              <w:rPr>
                <w:sz w:val="19"/>
                <w:szCs w:val="19"/>
                <w:color w:val="auto"/>
              </w:rPr>
            </w:pPr>
          </w:p>
        </w:tc>
        <w:tc>
          <w:tcPr>
            <w:tcW w:w="540" w:type="dxa"/>
            <w:vAlign w:val="bottom"/>
            <w:tcBorders>
              <w:bottom w:val="single" w:sz="8" w:color="auto"/>
            </w:tcBorders>
            <w:shd w:val="clear" w:color="auto" w:fill="D8D8D8"/>
          </w:tcPr>
          <w:p>
            <w:pPr>
              <w:spacing w:after="0"/>
              <w:rPr>
                <w:sz w:val="19"/>
                <w:szCs w:val="19"/>
                <w:color w:val="auto"/>
              </w:rPr>
            </w:pPr>
          </w:p>
        </w:tc>
        <w:tc>
          <w:tcPr>
            <w:tcW w:w="1160" w:type="dxa"/>
            <w:vAlign w:val="bottom"/>
            <w:tcBorders>
              <w:bottom w:val="single" w:sz="8" w:color="auto"/>
            </w:tcBorders>
            <w:shd w:val="clear" w:color="auto" w:fill="D8D8D8"/>
          </w:tcPr>
          <w:p>
            <w:pPr>
              <w:jc w:val="right"/>
              <w:ind w:right="415"/>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2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2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55"/>
              <w:spacing w:after="0"/>
              <w:rPr>
                <w:sz w:val="20"/>
                <w:szCs w:val="20"/>
                <w:color w:val="auto"/>
              </w:rPr>
            </w:pPr>
            <w:r>
              <w:rPr>
                <w:rFonts w:ascii="Arial" w:cs="Arial" w:eastAsia="Arial" w:hAnsi="Arial"/>
                <w:sz w:val="17"/>
                <w:szCs w:val="17"/>
                <w:b w:val="1"/>
                <w:bCs w:val="1"/>
                <w:color w:val="auto"/>
              </w:rPr>
              <w:t>2026</w:t>
            </w: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Allocation of MUD receivables transferred (a):</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240"/>
              <w:spacing w:after="0"/>
              <w:rPr>
                <w:sz w:val="20"/>
                <w:szCs w:val="20"/>
                <w:color w:val="auto"/>
              </w:rPr>
            </w:pPr>
            <w:r>
              <w:rPr>
                <w:rFonts w:ascii="Arial" w:cs="Arial" w:eastAsia="Arial" w:hAnsi="Arial"/>
                <w:sz w:val="17"/>
                <w:szCs w:val="17"/>
                <w:color w:val="auto"/>
              </w:rPr>
              <w:t>Existing MUD receivables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186,004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146,974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1,485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73,310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171,792</w:t>
            </w: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7"/>
                <w:szCs w:val="17"/>
                <w:color w:val="auto"/>
              </w:rPr>
              <w:t>Accrued interest</w:t>
            </w:r>
          </w:p>
        </w:tc>
        <w:tc>
          <w:tcPr>
            <w:tcW w:w="54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9,295</w:t>
            </w:r>
          </w:p>
        </w:tc>
        <w:tc>
          <w:tcPr>
            <w:tcW w:w="26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14,065</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36</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6,592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8,746</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7"/>
                <w:szCs w:val="17"/>
                <w:color w:val="auto"/>
              </w:rPr>
              <w:t>Future MUD receivables</w:t>
            </w:r>
          </w:p>
        </w:tc>
        <w:tc>
          <w:tcPr>
            <w:tcW w:w="54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39,996</w:t>
            </w:r>
          </w:p>
        </w:tc>
        <w:tc>
          <w:tcPr>
            <w:tcW w:w="26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95,905</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26,095</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14,600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35,762</w:t>
            </w:r>
          </w:p>
        </w:tc>
        <w:tc>
          <w:tcPr>
            <w:tcW w:w="0" w:type="dxa"/>
            <w:vAlign w:val="bottom"/>
          </w:tcPr>
          <w:p>
            <w:pPr>
              <w:spacing w:after="0"/>
              <w:rPr>
                <w:sz w:val="1"/>
                <w:szCs w:val="1"/>
                <w:color w:val="auto"/>
              </w:rPr>
            </w:pPr>
          </w:p>
        </w:tc>
      </w:tr>
      <w:tr>
        <w:trPr>
          <w:trHeight w:val="545"/>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Allocation of cash consideration received (a):</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240"/>
              <w:spacing w:after="0"/>
              <w:rPr>
                <w:sz w:val="20"/>
                <w:szCs w:val="20"/>
                <w:color w:val="auto"/>
              </w:rPr>
            </w:pPr>
            <w:r>
              <w:rPr>
                <w:rFonts w:ascii="Arial" w:cs="Arial" w:eastAsia="Arial" w:hAnsi="Arial"/>
                <w:sz w:val="17"/>
                <w:szCs w:val="17"/>
                <w:color w:val="auto"/>
              </w:rPr>
              <w:t>Existing MUD receivables</w:t>
            </w:r>
          </w:p>
        </w:tc>
        <w:tc>
          <w:tcPr>
            <w:tcW w:w="54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146,648</w:t>
            </w:r>
          </w:p>
        </w:tc>
        <w:tc>
          <w:tcPr>
            <w:tcW w:w="26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112,842</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966</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49,517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99,348</w:t>
            </w: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7"/>
                <w:szCs w:val="17"/>
                <w:color w:val="auto"/>
              </w:rPr>
              <w:t>Future MUD receivables</w:t>
            </w:r>
          </w:p>
        </w:tc>
        <w:tc>
          <w:tcPr>
            <w:tcW w:w="54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30,032</w:t>
            </w:r>
          </w:p>
        </w:tc>
        <w:tc>
          <w:tcPr>
            <w:tcW w:w="26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67,201</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16,574</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9,048</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19,680</w:t>
            </w:r>
          </w:p>
        </w:tc>
        <w:tc>
          <w:tcPr>
            <w:tcW w:w="0" w:type="dxa"/>
            <w:vAlign w:val="bottom"/>
          </w:tcPr>
          <w:p>
            <w:pPr>
              <w:spacing w:after="0"/>
              <w:rPr>
                <w:sz w:val="1"/>
                <w:szCs w:val="1"/>
                <w:color w:val="auto"/>
              </w:rPr>
            </w:pPr>
          </w:p>
        </w:tc>
      </w:tr>
      <w:tr>
        <w:trPr>
          <w:trHeight w:val="291"/>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 (loss) on sale of MUD receivables (a)</w:t>
            </w: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(48,651)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(48,197)</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(30,385)</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(81,190)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40" w:hanging="332"/>
        <w:spacing w:after="0" w:line="301" w:lineRule="auto"/>
        <w:tabs>
          <w:tab w:leader="none" w:pos="338"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table includes the initial amounts recognized for each transaction and does not include the impacts of any changes in estimates in future periods. Refer to the below for discussion of the impact of any changes in estimates.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these transactions, the Company is required to complete future development activities. As such, liabilities associated with the future development spend were recorded at amortized cost in Other liabilities, net on the Condensed Consolidated Balance Sheets. The associated discounts, which represent the differences between the total future development spend and the allocated cash proceeds, are being amortized into interest expense over the expected development period using the effective interest method. As of September 30, 2026, the total remaining liability was $92.3 million and the total unamortized discount was $30.1 million. As of December 31, 2025, the total remaining liability was $64.4 million and the total unamortized discount was $12.8 million. Interest expense related to the discount amortization was $6.4 million for the three months ended September 30, 2026, and $14.3 million for the nine months ended September 30, 2026, compared to $7.2 million for the three months ended September 30, 2025, and $16.4 million for the nine months ended September 30, 2025. The Company records each transaction using the information available at closing and subsequent changes in these estimates are recognized in Gain (loss) on sale of MUD receivables in the period identified. The Company recognized a gain of $6.2 million in Gain (loss) on sale of MUD receivables for the three and nine months ended September 30, 2026 related to changes in estimates.</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00497F"/>
        </w:rPr>
        <w:t xml:space="preserve">Use of Estimates </w:t>
      </w:r>
      <w:r>
        <w:rPr>
          <w:rFonts w:ascii="Arial" w:cs="Arial" w:eastAsia="Arial" w:hAnsi="Arial"/>
          <w:sz w:val="17"/>
          <w:szCs w:val="17"/>
          <w:color w:val="000000"/>
        </w:rPr>
        <w:t>The preparation of financial statements in conformity with GAAP requires management to make estimates and assumptions.</w:t>
      </w:r>
      <w:r>
        <w:rPr>
          <w:rFonts w:ascii="Arial" w:cs="Arial" w:eastAsia="Arial" w:hAnsi="Arial"/>
          <w:sz w:val="17"/>
          <w:szCs w:val="17"/>
          <w:b w:val="1"/>
          <w:bCs w:val="1"/>
          <w:color w:val="00497F"/>
        </w:rPr>
        <w:t xml:space="preserve"> </w:t>
      </w:r>
      <w:r>
        <w:rPr>
          <w:rFonts w:ascii="Arial" w:cs="Arial" w:eastAsia="Arial" w:hAnsi="Arial"/>
          <w:sz w:val="17"/>
          <w:szCs w:val="17"/>
          <w:color w:val="000000"/>
        </w:rPr>
        <w:t>These estimates and assumptions affect the reported amounts of assets and liabilities, the disclosure of contingent assets and liabilities at the date of the financial statements, and the reported amounts of revenues and expenses during the reporting periods. The estimates and assumptions include, but are not limited to, capitalization of development costs, provision for income taxes, recoverable amounts of receivables and deferred tax assets, initial valuations of tangible and intangible assets acquired, and the related useful lives of assets upon which depreciation and amortization is based. Estimates and assumptions have also been made with respect to future revenues and costs, and the fair value of warrants, certain financial instruments, debt, and options granted. MPC cost of sales estimates are highly judgmental as they are sensitive to cost escalation, sales price escalation, and lot absorption, which are subject to judgment and affected by expectations about future market or economic conditions. Reserves for claims and claim expenses are subject to considerable estimation error due to the inherent uncertainty in projecting ultimate claim cost. Additionally, the future cash flow estimates and fair values used for impairment analysis are highly judgmental and reflect current and projected trends in rental, occupancy, pricing, development costs, sales pace, capitalization rates, selling costs, and estimated holding periods for the applicable assets. Evaluations of goodwill and indefinite-lived intangible assets for impairment also require considerable judgment. These estimates are affected by expectations about future market or economic conditions, and as such, actual results could differ from these and other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60" w:hanging="446"/>
        <w:spacing w:after="0"/>
        <w:tabs>
          <w:tab w:leader="none" w:pos="49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Impairment Analysis</w:t>
      </w:r>
    </w:p>
    <w:p>
      <w:pPr>
        <w:spacing w:after="0" w:line="250"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b w:val="1"/>
          <w:bCs w:val="1"/>
          <w:i w:val="1"/>
          <w:iCs w:val="1"/>
          <w:color w:val="auto"/>
        </w:rPr>
        <w:t xml:space="preserve">Long-Lived Assets </w:t>
      </w:r>
      <w:r>
        <w:rPr>
          <w:rFonts w:ascii="Arial" w:cs="Arial" w:eastAsia="Arial" w:hAnsi="Arial"/>
          <w:sz w:val="17"/>
          <w:szCs w:val="17"/>
          <w:color w:val="auto"/>
        </w:rPr>
        <w:t>The Company reviews its long-lived assets for potential impairment indicators when events or changes in circumstances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indicate that the carrying amount may not be recoverable. Impairment or disposal of long</w:t>
      </w:r>
      <w:r>
        <w:rPr>
          <w:rFonts w:ascii="MS PGothic" w:cs="MS PGothic" w:eastAsia="MS PGothic" w:hAnsi="MS PGothic"/>
          <w:sz w:val="17"/>
          <w:szCs w:val="17"/>
          <w:color w:val="auto"/>
        </w:rPr>
        <w:t>‑</w:t>
      </w:r>
      <w:r>
        <w:rPr>
          <w:rFonts w:ascii="Arial" w:cs="Arial" w:eastAsia="Arial" w:hAnsi="Arial"/>
          <w:sz w:val="17"/>
          <w:szCs w:val="17"/>
          <w:color w:val="auto"/>
        </w:rPr>
        <w:t xml:space="preserve"> lived assets in accordance with ASC 360, </w:t>
      </w:r>
      <w:r>
        <w:rPr>
          <w:rFonts w:ascii="Arial" w:cs="Arial" w:eastAsia="Arial" w:hAnsi="Arial"/>
          <w:sz w:val="17"/>
          <w:szCs w:val="17"/>
          <w:i w:val="1"/>
          <w:iCs w:val="1"/>
          <w:color w:val="auto"/>
        </w:rPr>
        <w:t>Property, Plant,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Equipment, </w:t>
      </w:r>
      <w:r>
        <w:rPr>
          <w:rFonts w:ascii="Arial" w:cs="Arial" w:eastAsia="Arial" w:hAnsi="Arial"/>
          <w:sz w:val="17"/>
          <w:szCs w:val="17"/>
          <w:color w:val="auto"/>
        </w:rPr>
        <w:t>requires that if impairment indicators exist and expected undiscounted cash flows generated by the asset over an anticipated</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period are less than its carrying amount, an impairment provision should be recorded to write down the carrying amount of the asset to its fair value. The impairment analysis does not consider the timing of future cash flows and whether the asset is expected to earn an above- or below-market rate of return. No impairment charges were recorded for long-lived assets during the three and nine months ended September 30, 2026, or 2025.</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periodically evaluates strategic alternatives with respect to each property and may revise the strategy from time to time, including the intent to hold the asset on a long-term basis or the timing of potential asset dispositions. For example, the Company may decide to sell property that is held for use, and the sale price may be less than the carrying amount. As a result, changes in strategy could result in impairment charges in future periods.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Investments in Unconsolidated Ventures </w:t>
      </w:r>
      <w:r>
        <w:rPr>
          <w:rFonts w:ascii="Arial" w:cs="Arial" w:eastAsia="Arial" w:hAnsi="Arial"/>
          <w:sz w:val="17"/>
          <w:szCs w:val="17"/>
          <w:color w:val="auto"/>
        </w:rPr>
        <w:t>The Company evaluates each investment in an unconsolidated venture discussed in Note 5 -</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Investments in Unconsolidated Ventures </w:t>
      </w:r>
      <w:r>
        <w:rPr>
          <w:rFonts w:ascii="Arial" w:cs="Arial" w:eastAsia="Arial" w:hAnsi="Arial"/>
          <w:sz w:val="17"/>
          <w:szCs w:val="17"/>
          <w:color w:val="auto"/>
        </w:rPr>
        <w:t>periodically for recoverability and valuation declines that are other-than-temporary. If the decrease in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an investment is deemed to be other-than-temporary, the investment is reduced to its estimated fair value. No impairment charges were recorded for investments in unconsolidated ventures during the three and nine months ended September 30, 2026, or 2025.</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Goodwill and Other Intangibles </w:t>
      </w:r>
      <w:r>
        <w:rPr>
          <w:rFonts w:ascii="Arial" w:cs="Arial" w:eastAsia="Arial" w:hAnsi="Arial"/>
          <w:sz w:val="17"/>
          <w:szCs w:val="17"/>
          <w:color w:val="auto"/>
        </w:rPr>
        <w:t>Goodwill represents the excess of the consideration transferred over the fair value of the identifiable net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in a business combination. Goodwill is not amortized and is subject to periodic impairment testing. Other intangible assets with a finite life are amortized over the estimated useful life of the asset. Other intangible assets with an indefinite useful life are not amortized.</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Goodwill and other indefinite-life intangible assets are tested for impairment on an annual basis or more frequently if events or changes in circumstances indicate that the carrying amount may not be recoverable. Finite-lived intangible assets are reviewed for indicators of impairment on an annual basis or more frequently if events or changes in circumstances indicate that the carrying amount may not be recoverable, and tested for impairment if appropriate.</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goodwill impairment test first assesses qualitative factors to determine whether goodwill is likely impaired. If the qualitative assessment indicates that it is more likely than not that the fair value of a reporting unit is less than its carrying amount including goodwill, the Company will then perform a quantitative goodwill impairment test. If goodwill or other intangible assets are impaired, they are written down to their estimated fair value with a corresponding expense reflected in the Company’s Condensed Consolidated Statements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Variable Interest Entities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interests in various legal entities that represent a VIE. The Company determines if a legal entity is a VIE by performing a qualitative analysis that requires certain subjective decisions, taking into consideration the design of the entity, the variability that the entity was designed to create and pass along to its interest holders, the rights of the parties and the purpose of the arrangement. Upon the occurrence of certain reconsideration events, the Company reassesses its initial determination as to whether the entity is a VIE.</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also performs a qualitative assessment of each VIE to determine if it is the primary beneficiary. The Company is the primary beneficiary and would consolidate the VIE if it has a controlling financial interest where it has both (a) the power to direct the economically significant activities of the entity and (b) the obligation to absorb losses of, or the right to receive benefits from, the entity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Estate VIEs</w:t>
      </w: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Consolidated Real Estate VIEs </w:t>
      </w:r>
      <w:r>
        <w:rPr>
          <w:rFonts w:ascii="Arial" w:cs="Arial" w:eastAsia="Arial" w:hAnsi="Arial"/>
          <w:sz w:val="17"/>
          <w:szCs w:val="17"/>
          <w:color w:val="auto"/>
        </w:rPr>
        <w:t>The Company’s Condensed Consolidated Balance Sheets included the following amounts related to its</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real estate VIEs. The assets of these consolidated VIEs may only be used to settle obligations of the respective VIE and are not available to satisfy the obligations of the Company or its other subsidiaries. The liabilities of these consolidated VIEs are non-recourse to the Company and are payable solely from the assets of the respective VIE, with the exception of the Floreo debt obligation which is subject to the guaranty described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100" w:type="dxa"/>
            <w:vAlign w:val="bottom"/>
            <w:tcBorders>
              <w:top w:val="single" w:sz="8" w:color="auto"/>
              <w:bottom w:val="single" w:sz="8" w:color="auto"/>
            </w:tcBorders>
            <w:shd w:val="clear" w:color="auto" w:fill="D8D8D8"/>
          </w:tcPr>
          <w:p>
            <w:pPr>
              <w:spacing w:after="0"/>
              <w:rPr>
                <w:sz w:val="21"/>
                <w:szCs w:val="21"/>
                <w:color w:val="auto"/>
              </w:rPr>
            </w:pPr>
          </w:p>
        </w:tc>
        <w:tc>
          <w:tcPr>
            <w:tcW w:w="1960" w:type="dxa"/>
            <w:vAlign w:val="bottom"/>
            <w:tcBorders>
              <w:top w:val="single" w:sz="8" w:color="auto"/>
              <w:bottom w:val="single" w:sz="8" w:color="auto"/>
            </w:tcBorders>
            <w:shd w:val="clear" w:color="auto" w:fill="D8D8D8"/>
          </w:tcPr>
          <w:p>
            <w:pPr>
              <w:jc w:val="right"/>
              <w:ind w:right="215"/>
              <w:spacing w:after="0"/>
              <w:rPr>
                <w:sz w:val="20"/>
                <w:szCs w:val="20"/>
                <w:color w:val="auto"/>
              </w:rPr>
            </w:pPr>
            <w:r>
              <w:rPr>
                <w:rFonts w:ascii="Arial" w:cs="Arial" w:eastAsia="Arial" w:hAnsi="Arial"/>
                <w:sz w:val="17"/>
                <w:szCs w:val="17"/>
                <w:b w:val="1"/>
                <w:bCs w:val="1"/>
                <w:color w:val="auto"/>
              </w:rPr>
              <w:t>September 30, 2026</w:t>
            </w:r>
          </w:p>
        </w:tc>
        <w:tc>
          <w:tcPr>
            <w:tcW w:w="260" w:type="dxa"/>
            <w:vAlign w:val="bottom"/>
            <w:tcBorders>
              <w:top w:val="single" w:sz="8" w:color="auto"/>
              <w:bottom w:val="single" w:sz="8" w:color="auto"/>
            </w:tcBorders>
            <w:shd w:val="clear" w:color="auto" w:fill="D8D8D8"/>
          </w:tcPr>
          <w:p>
            <w:pPr>
              <w:spacing w:after="0"/>
              <w:rPr>
                <w:sz w:val="21"/>
                <w:szCs w:val="21"/>
                <w:color w:val="auto"/>
              </w:rPr>
            </w:pPr>
          </w:p>
        </w:tc>
        <w:tc>
          <w:tcPr>
            <w:tcW w:w="1840" w:type="dxa"/>
            <w:vAlign w:val="bottom"/>
            <w:tcBorders>
              <w:top w:val="single" w:sz="8" w:color="auto"/>
              <w:bottom w:val="single" w:sz="8" w:color="auto"/>
            </w:tcBorders>
            <w:shd w:val="clear" w:color="auto" w:fill="D8D8D8"/>
          </w:tcPr>
          <w:p>
            <w:pPr>
              <w:jc w:val="right"/>
              <w:ind w:right="175"/>
              <w:spacing w:after="0"/>
              <w:rPr>
                <w:sz w:val="20"/>
                <w:szCs w:val="20"/>
                <w:color w:val="auto"/>
              </w:rPr>
            </w:pPr>
            <w:r>
              <w:rPr>
                <w:rFonts w:ascii="Arial" w:cs="Arial" w:eastAsia="Arial" w:hAnsi="Arial"/>
                <w:sz w:val="17"/>
                <w:szCs w:val="17"/>
                <w:color w:val="auto"/>
              </w:rPr>
              <w:t>December 31, 2025</w:t>
            </w:r>
          </w:p>
        </w:tc>
      </w:tr>
      <w:tr>
        <w:trPr>
          <w:trHeight w:val="214"/>
        </w:trPr>
        <w:tc>
          <w:tcPr>
            <w:tcW w:w="5080" w:type="dxa"/>
            <w:vAlign w:val="bottom"/>
          </w:tcPr>
          <w:p>
            <w:pPr>
              <w:ind w:left="20"/>
              <w:spacing w:after="0"/>
              <w:rPr>
                <w:sz w:val="20"/>
                <w:szCs w:val="20"/>
                <w:color w:val="auto"/>
              </w:rPr>
            </w:pPr>
            <w:r>
              <w:rPr>
                <w:rFonts w:ascii="Arial" w:cs="Arial" w:eastAsia="Arial" w:hAnsi="Arial"/>
                <w:sz w:val="17"/>
                <w:szCs w:val="17"/>
                <w:color w:val="auto"/>
              </w:rPr>
              <w:t>Master Planned Communities assets</w:t>
            </w:r>
          </w:p>
        </w:tc>
        <w:tc>
          <w:tcPr>
            <w:tcW w:w="2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825,299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543,912</w:t>
            </w:r>
          </w:p>
        </w:tc>
      </w:tr>
      <w:tr>
        <w:trPr>
          <w:trHeight w:val="229"/>
        </w:trPr>
        <w:tc>
          <w:tcPr>
            <w:tcW w:w="5080" w:type="dxa"/>
            <w:vAlign w:val="bottom"/>
          </w:tcPr>
          <w:p>
            <w:pPr>
              <w:ind w:left="20"/>
              <w:spacing w:after="0"/>
              <w:rPr>
                <w:sz w:val="20"/>
                <w:szCs w:val="20"/>
                <w:color w:val="auto"/>
              </w:rPr>
            </w:pPr>
            <w:r>
              <w:rPr>
                <w:rFonts w:ascii="Arial" w:cs="Arial" w:eastAsia="Arial" w:hAnsi="Arial"/>
                <w:sz w:val="17"/>
                <w:szCs w:val="17"/>
                <w:color w:val="auto"/>
              </w:rPr>
              <w:t>Buildings and equipment</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8,151</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7,161</w:t>
            </w:r>
          </w:p>
        </w:tc>
      </w:tr>
      <w:tr>
        <w:trPr>
          <w:trHeight w:val="230"/>
        </w:trPr>
        <w:tc>
          <w:tcPr>
            <w:tcW w:w="5080" w:type="dxa"/>
            <w:vAlign w:val="bottom"/>
          </w:tcPr>
          <w:p>
            <w:pPr>
              <w:ind w:left="20"/>
              <w:spacing w:after="0"/>
              <w:rPr>
                <w:sz w:val="20"/>
                <w:szCs w:val="20"/>
                <w:color w:val="auto"/>
              </w:rPr>
            </w:pPr>
            <w:r>
              <w:rPr>
                <w:rFonts w:ascii="Arial" w:cs="Arial" w:eastAsia="Arial" w:hAnsi="Arial"/>
                <w:sz w:val="17"/>
                <w:szCs w:val="17"/>
                <w:color w:val="auto"/>
              </w:rPr>
              <w:t>Less: accumulated depreciation</w:t>
            </w:r>
          </w:p>
        </w:tc>
        <w:tc>
          <w:tcPr>
            <w:tcW w:w="2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(3,167)</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(1,354)</w:t>
            </w:r>
          </w:p>
        </w:tc>
      </w:tr>
      <w:tr>
        <w:trPr>
          <w:trHeight w:val="23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Developments</w:t>
            </w:r>
          </w:p>
        </w:tc>
        <w:tc>
          <w:tcPr>
            <w:tcW w:w="2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24,965</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14,684</w:t>
            </w: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color w:val="auto"/>
              </w:rPr>
              <w:t>Net investment in real estate</w:t>
            </w:r>
          </w:p>
        </w:tc>
        <w:tc>
          <w:tcPr>
            <w:tcW w:w="2100" w:type="dxa"/>
            <w:vAlign w:val="bottom"/>
          </w:tcPr>
          <w:p>
            <w:pPr>
              <w:spacing w:after="0"/>
              <w:rPr>
                <w:sz w:val="18"/>
                <w:szCs w:val="18"/>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855,248</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564,403</w:t>
            </w:r>
          </w:p>
        </w:tc>
      </w:tr>
      <w:tr>
        <w:trPr>
          <w:trHeight w:val="229"/>
        </w:trPr>
        <w:tc>
          <w:tcPr>
            <w:tcW w:w="5080" w:type="dxa"/>
            <w:vAlign w:val="bottom"/>
          </w:tcPr>
          <w:p>
            <w:pPr>
              <w:ind w:left="20"/>
              <w:spacing w:after="0"/>
              <w:rPr>
                <w:sz w:val="20"/>
                <w:szCs w:val="20"/>
                <w:color w:val="auto"/>
              </w:rPr>
            </w:pPr>
            <w:r>
              <w:rPr>
                <w:rFonts w:ascii="Arial" w:cs="Arial" w:eastAsia="Arial" w:hAnsi="Arial"/>
                <w:sz w:val="17"/>
                <w:szCs w:val="17"/>
                <w:color w:val="auto"/>
              </w:rPr>
              <w:t>Investments in unconsolidated ventures</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934</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50,236</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22,191</w:t>
            </w:r>
          </w:p>
        </w:tc>
      </w:tr>
      <w:tr>
        <w:trPr>
          <w:trHeight w:val="229"/>
        </w:trPr>
        <w:tc>
          <w:tcPr>
            <w:tcW w:w="50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166,238</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136,418</w:t>
            </w:r>
          </w:p>
        </w:tc>
      </w:tr>
      <w:tr>
        <w:trPr>
          <w:trHeight w:val="229"/>
        </w:trPr>
        <w:tc>
          <w:tcPr>
            <w:tcW w:w="508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683</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30"/>
        </w:trPr>
        <w:tc>
          <w:tcPr>
            <w:tcW w:w="5080" w:type="dxa"/>
            <w:vAlign w:val="bottom"/>
          </w:tcPr>
          <w:p>
            <w:pPr>
              <w:ind w:left="20"/>
              <w:spacing w:after="0"/>
              <w:rPr>
                <w:sz w:val="20"/>
                <w:szCs w:val="20"/>
                <w:color w:val="auto"/>
              </w:rPr>
            </w:pPr>
            <w:r>
              <w:rPr>
                <w:rFonts w:ascii="Arial" w:cs="Arial" w:eastAsia="Arial" w:hAnsi="Arial"/>
                <w:sz w:val="17"/>
                <w:szCs w:val="17"/>
                <w:color w:val="auto"/>
              </w:rPr>
              <w:t>Municipal district receivables, net</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77,395</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080" w:type="dxa"/>
            <w:vAlign w:val="bottom"/>
          </w:tcPr>
          <w:p>
            <w:pPr>
              <w:ind w:left="20"/>
              <w:spacing w:after="0"/>
              <w:rPr>
                <w:sz w:val="20"/>
                <w:szCs w:val="20"/>
                <w:color w:val="auto"/>
              </w:rPr>
            </w:pPr>
            <w:r>
              <w:rPr>
                <w:rFonts w:ascii="Arial" w:cs="Arial" w:eastAsia="Arial" w:hAnsi="Arial"/>
                <w:sz w:val="17"/>
                <w:szCs w:val="17"/>
                <w:color w:val="auto"/>
              </w:rPr>
              <w:t>Deferred expenses, net</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17,893</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13,571</w:t>
            </w:r>
          </w:p>
        </w:tc>
      </w:tr>
      <w:tr>
        <w:trPr>
          <w:trHeight w:val="229"/>
        </w:trPr>
        <w:tc>
          <w:tcPr>
            <w:tcW w:w="508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210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3,016</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1,953</w:t>
            </w:r>
          </w:p>
        </w:tc>
      </w:tr>
      <w:tr>
        <w:trPr>
          <w:trHeight w:val="23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 net</w:t>
            </w:r>
          </w:p>
        </w:tc>
        <w:tc>
          <w:tcPr>
            <w:tcW w:w="2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27,604</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w:t>
            </w:r>
          </w:p>
        </w:tc>
      </w:tr>
      <w:tr>
        <w:trPr>
          <w:trHeight w:val="22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assets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1,199,247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739,166</w:t>
            </w:r>
          </w:p>
        </w:tc>
      </w:tr>
      <w:tr>
        <w:trPr>
          <w:trHeight w:val="309"/>
        </w:trPr>
        <w:tc>
          <w:tcPr>
            <w:tcW w:w="5080" w:type="dxa"/>
            <w:vAlign w:val="bottom"/>
          </w:tcPr>
          <w:p>
            <w:pPr>
              <w:ind w:left="20"/>
              <w:spacing w:after="0"/>
              <w:rPr>
                <w:sz w:val="20"/>
                <w:szCs w:val="20"/>
                <w:color w:val="auto"/>
              </w:rPr>
            </w:pPr>
            <w:r>
              <w:rPr>
                <w:rFonts w:ascii="Arial" w:cs="Arial" w:eastAsia="Arial" w:hAnsi="Arial"/>
                <w:sz w:val="17"/>
                <w:szCs w:val="17"/>
                <w:color w:val="auto"/>
              </w:rPr>
              <w:t>Mortgages, notes, and loans payable, net</w:t>
            </w:r>
          </w:p>
        </w:tc>
        <w:tc>
          <w:tcPr>
            <w:tcW w:w="2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270,461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liabilities, net</w:t>
            </w:r>
          </w:p>
        </w:tc>
        <w:tc>
          <w:tcPr>
            <w:tcW w:w="2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204,007</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153,969</w:t>
            </w:r>
          </w:p>
        </w:tc>
      </w:tr>
      <w:tr>
        <w:trPr>
          <w:trHeight w:val="22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474,468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153,969</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above balances primarily relate to the following consolidated real estate VIEs:</w:t>
      </w:r>
    </w:p>
    <w:p>
      <w:pPr>
        <w:spacing w:after="0" w:line="250" w:lineRule="exact"/>
        <w:rPr>
          <w:sz w:val="20"/>
          <w:szCs w:val="20"/>
          <w:color w:val="auto"/>
        </w:rPr>
      </w:pPr>
    </w:p>
    <w:p>
      <w:pPr>
        <w:ind w:left="660" w:hanging="324"/>
        <w:spacing w:after="0" w:line="257"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Floreo</w:t>
      </w:r>
      <w:r>
        <w:rPr>
          <w:rFonts w:ascii="Arial" w:cs="Arial" w:eastAsia="Arial" w:hAnsi="Arial"/>
          <w:sz w:val="17"/>
          <w:szCs w:val="17"/>
          <w:color w:val="auto"/>
        </w:rPr>
        <w:t xml:space="preserve"> In July 2026, a reconsideration event occurred related to Floreo, an MPC joint venture currently developing land in the greater Phoenix, Arizona area. Floreo is a VIE that was previously accounted for under the equity method. As a result of the reconsideration event, the Company concluded that it was the primary beneficiary, and Floreo was prospectively consolidated on July 26, 2026. Refer to Note 10 - </w:t>
      </w:r>
      <w:r>
        <w:rPr>
          <w:rFonts w:ascii="Arial" w:cs="Arial" w:eastAsia="Arial" w:hAnsi="Arial"/>
          <w:sz w:val="17"/>
          <w:szCs w:val="17"/>
          <w:i w:val="1"/>
          <w:iCs w:val="1"/>
          <w:color w:val="auto"/>
        </w:rPr>
        <w:t xml:space="preserve">Acquisitions and Dispositions of Real Estate Assets </w:t>
      </w:r>
      <w:r>
        <w:rPr>
          <w:rFonts w:ascii="Arial" w:cs="Arial" w:eastAsia="Arial" w:hAnsi="Arial"/>
          <w:sz w:val="17"/>
          <w:szCs w:val="17"/>
          <w:color w:val="auto"/>
        </w:rPr>
        <w:t>for additional information on the reconsideration event and the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the consolidation. The Secured Floreo Note, which is included in Mortgages, notes, and loans payable, net following consolidation, has a borrowing capacity of $365.0 million, and outstanding borrowings as of September 30, 2026, of $276.0 million. Floreo’s creditors only have recourse to the Company through a collateral maintenance obligation, under which a wholly owned subsidiary of the Company must post refundable cash collateral of up to $100.0 million if Floreo’s loan-to-value ratio exceeds 50%. This collateral becomes non refundable if Floreo defaults on the note. As of September 30, 2026, no collateral has been posted.</w:t>
      </w:r>
    </w:p>
    <w:p>
      <w:pPr>
        <w:spacing w:after="0" w:line="73" w:lineRule="exact"/>
        <w:rPr>
          <w:sz w:val="20"/>
          <w:szCs w:val="20"/>
          <w:color w:val="auto"/>
        </w:rPr>
      </w:pPr>
    </w:p>
    <w:p>
      <w:pPr>
        <w:ind w:left="660" w:hanging="324"/>
        <w:spacing w:after="0" w:line="266"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Teravalis</w:t>
      </w:r>
      <w:r>
        <w:rPr>
          <w:rFonts w:ascii="Arial" w:cs="Arial" w:eastAsia="Arial" w:hAnsi="Arial"/>
          <w:sz w:val="17"/>
          <w:szCs w:val="17"/>
          <w:color w:val="auto"/>
        </w:rPr>
        <w:t xml:space="preserve"> The Company entered into a joint venture agreement to develop Teravalis, an MPC in the West Valley of Phoenix, Arizona. Teravalis was determined to be a VIE, and as the Company has the power to direct the activities that most significantly impact its economic performance, the Company is the primary beneficiary and consolidates Teravalis.</w:t>
      </w:r>
    </w:p>
    <w:p>
      <w:pPr>
        <w:spacing w:after="0" w:line="79" w:lineRule="exact"/>
        <w:rPr>
          <w:sz w:val="20"/>
          <w:szCs w:val="20"/>
          <w:color w:val="auto"/>
        </w:rPr>
      </w:pPr>
    </w:p>
    <w:p>
      <w:pPr>
        <w:ind w:left="660" w:hanging="324"/>
        <w:spacing w:after="0" w:line="260"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‘Ilima</w:t>
      </w:r>
      <w:r>
        <w:rPr>
          <w:rFonts w:ascii="Arial" w:cs="Arial" w:eastAsia="Arial" w:hAnsi="Arial"/>
          <w:sz w:val="17"/>
          <w:szCs w:val="17"/>
          <w:color w:val="auto"/>
        </w:rPr>
        <w:t xml:space="preserve"> The Company entered into a joint venture agreement with Discovery Land Company to form Block E Ward Village (‘Ilima) for the purpose of developing, constructing, and operating a residential condominium tower in Ward Village. ‘Ilima was determined to be a VIE, and as the Company has the power to direct the activities that most significantly impact its economic performance, the Company is the primary beneficiary and consolidates ‘Ilima.</w:t>
      </w:r>
    </w:p>
    <w:p>
      <w:pPr>
        <w:spacing w:after="0" w:line="70" w:lineRule="exact"/>
        <w:rPr>
          <w:sz w:val="20"/>
          <w:szCs w:val="20"/>
          <w:color w:val="auto"/>
        </w:rPr>
      </w:pPr>
    </w:p>
    <w:p>
      <w:pPr>
        <w:ind w:left="660" w:hanging="324"/>
        <w:spacing w:after="0" w:line="25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Summit House</w:t>
      </w:r>
      <w:r>
        <w:rPr>
          <w:rFonts w:ascii="Arial" w:cs="Arial" w:eastAsia="Arial" w:hAnsi="Arial"/>
          <w:sz w:val="17"/>
          <w:szCs w:val="17"/>
          <w:color w:val="auto"/>
        </w:rPr>
        <w:t xml:space="preserve"> In August 2026, the Company entered into a limited liability company agreement with Discovery Summerlin Tower Investor, LLC to form Block E21 JV, LLC (Summit House) for the purpose of developing, constructing, and operating a residential condominium tower in Summerlin. Summit House was determined to be a VIE because it does not have sufficient equity at risk to finance its activities without additional subordinated financial support. As the Company has the power to direct the activities that most significantly impact Summit House’s economic performance and the obligation to absorb losses or the right to receive benefits that could potentially be significant, the Company is the primary beneficiary and consolidates Summit House.</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4960" w:hanging="446"/>
        <w:spacing w:after="0"/>
        <w:tabs>
          <w:tab w:leader="none" w:pos="49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7" w:name="page18"/>
    <w:bookmarkEnd w:id="17"/>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Other Non-Consolidated Real Estate Variable Interest Entities </w:t>
      </w:r>
      <w:r>
        <w:rPr>
          <w:rFonts w:ascii="Arial" w:cs="Arial" w:eastAsia="Arial" w:hAnsi="Arial"/>
          <w:sz w:val="17"/>
          <w:szCs w:val="17"/>
          <w:color w:val="auto"/>
        </w:rPr>
        <w:t>The Company owns interests in various other real estate related joint ventures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are classified as VIEs; however, the Company is not the primary beneficiary and accounts for these investments in accordance with the equity method. See Note 5 - </w:t>
      </w:r>
      <w:r>
        <w:rPr>
          <w:rFonts w:ascii="Arial" w:cs="Arial" w:eastAsia="Arial" w:hAnsi="Arial"/>
          <w:sz w:val="17"/>
          <w:szCs w:val="17"/>
          <w:i w:val="1"/>
          <w:iCs w:val="1"/>
          <w:color w:val="auto"/>
        </w:rPr>
        <w:t>Investments in Unconsolidated Ventures</w:t>
      </w:r>
      <w:r>
        <w:rPr>
          <w:rFonts w:ascii="Arial" w:cs="Arial" w:eastAsia="Arial" w:hAnsi="Arial"/>
          <w:sz w:val="17"/>
          <w:szCs w:val="17"/>
          <w:color w:val="auto"/>
        </w:rPr>
        <w:t xml:space="preserve">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VIEs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AdVantage Reinsurance Bermuda Ltd. </w:t>
      </w:r>
      <w:r>
        <w:rPr>
          <w:rFonts w:ascii="Arial" w:cs="Arial" w:eastAsia="Arial" w:hAnsi="Arial"/>
          <w:sz w:val="17"/>
          <w:szCs w:val="17"/>
          <w:color w:val="auto"/>
        </w:rPr>
        <w:t>The Company participates in a Bermuda-domiciled Collateralized Insurer and Segregated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structure (AdVantage) utilized to access third-party investor capital and provide underwriting capacity for certain reinsurance business originated by the Company. AdVantage is an independent company that operates through segregated accounts that are legally separated from one another, such that the assets and liabilities of each segregated account are restricted to the benefit of the applicable investors and counterparties. The segregated accounts enter into quota share and excess-of-loss reinsurance agreements principally related to business sourced or managed by the Company. The Company’s involvement with AdVantage includes underwriting, risk sourcing, administrative services, quota share participation and, in certain instances, ownership interests in segregated accounts.</w:t>
      </w:r>
    </w:p>
    <w:p>
      <w:pPr>
        <w:spacing w:after="0" w:line="205" w:lineRule="exact"/>
        <w:rPr>
          <w:sz w:val="20"/>
          <w:szCs w:val="20"/>
          <w:color w:val="auto"/>
        </w:rPr>
      </w:pPr>
    </w:p>
    <w:p>
      <w:pPr>
        <w:jc w:val="both"/>
        <w:ind w:left="660"/>
        <w:spacing w:after="0" w:line="259" w:lineRule="auto"/>
        <w:rPr>
          <w:sz w:val="20"/>
          <w:szCs w:val="20"/>
          <w:color w:val="auto"/>
        </w:rPr>
      </w:pPr>
      <w:r>
        <w:rPr>
          <w:rFonts w:ascii="Arial" w:cs="Arial" w:eastAsia="Arial" w:hAnsi="Arial"/>
          <w:sz w:val="17"/>
          <w:szCs w:val="17"/>
          <w:b w:val="1"/>
          <w:bCs w:val="1"/>
          <w:color w:val="auto"/>
        </w:rPr>
        <w:t xml:space="preserve">AV0002 </w:t>
      </w:r>
      <w:r>
        <w:rPr>
          <w:rFonts w:ascii="Arial" w:cs="Arial" w:eastAsia="Arial" w:hAnsi="Arial"/>
          <w:sz w:val="17"/>
          <w:szCs w:val="17"/>
          <w:color w:val="auto"/>
        </w:rPr>
        <w:t>As of September 30, 2026, the Company held a 50% participating, non-voting interest in the AV0002 segregated account.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power over the activities that most significantly impact the economic performance of the account, and as such, the Company is the primary beneficiary and consolidates AV0002. As of September 30, 2026, the Company’s Condensed Consolidated Balance Sheets included $24.1 million of Cash and cash equivalents related to AV0002. The assets of AV0002 may be used only to settle its obligations and are not available to satisfy the obligations of the Company or its other subsidiaries and the liabilities of AV0002 are non-recourse to the Company and are payable solely from the assets of AV0002.</w:t>
      </w:r>
    </w:p>
    <w:p>
      <w:pPr>
        <w:spacing w:after="0" w:line="206" w:lineRule="exact"/>
        <w:rPr>
          <w:sz w:val="20"/>
          <w:szCs w:val="20"/>
          <w:color w:val="auto"/>
        </w:rPr>
      </w:pPr>
    </w:p>
    <w:p>
      <w:pPr>
        <w:jc w:val="both"/>
        <w:ind w:left="660"/>
        <w:spacing w:after="0" w:line="256" w:lineRule="auto"/>
        <w:rPr>
          <w:sz w:val="20"/>
          <w:szCs w:val="20"/>
          <w:color w:val="auto"/>
        </w:rPr>
      </w:pPr>
      <w:r>
        <w:rPr>
          <w:rFonts w:ascii="Arial" w:cs="Arial" w:eastAsia="Arial" w:hAnsi="Arial"/>
          <w:sz w:val="17"/>
          <w:szCs w:val="17"/>
          <w:b w:val="1"/>
          <w:bCs w:val="1"/>
          <w:color w:val="auto"/>
        </w:rPr>
        <w:t xml:space="preserve">AV0003, AV0004, AV0005, and AV0006 </w:t>
      </w:r>
      <w:r>
        <w:rPr>
          <w:rFonts w:ascii="Arial" w:cs="Arial" w:eastAsia="Arial" w:hAnsi="Arial"/>
          <w:sz w:val="17"/>
          <w:szCs w:val="17"/>
          <w:color w:val="auto"/>
        </w:rPr>
        <w:t>The Company also does business with AdVantage segregated accounts AV0003, AV0004,</w:t>
      </w:r>
      <w:r>
        <w:rPr>
          <w:rFonts w:ascii="Arial" w:cs="Arial" w:eastAsia="Arial" w:hAnsi="Arial"/>
          <w:sz w:val="17"/>
          <w:szCs w:val="17"/>
          <w:b w:val="1"/>
          <w:bCs w:val="1"/>
          <w:color w:val="auto"/>
        </w:rPr>
        <w:t xml:space="preserve"> </w:t>
      </w:r>
      <w:r>
        <w:rPr>
          <w:rFonts w:ascii="Arial" w:cs="Arial" w:eastAsia="Arial" w:hAnsi="Arial"/>
          <w:sz w:val="17"/>
          <w:szCs w:val="17"/>
          <w:color w:val="auto"/>
        </w:rPr>
        <w:t>AV0005, and AV0006 (together, the Segregated Accounts). The Segregated Accounts were formed prior to the Vantage Acquisition in connection with third-party investors. Pursuant to separate Reinsurance Services Agreements among the Segregated Accounts, AdVantage, and a Vantage subsidiary, the Company sources risk on behalf of each Segregated Account, to match the risk and return appetite of the applicable third-party investors. As of September 30, 2026, separate quota share arrangements between each Segregated Account and the Company represented a variable interest; however, as the Company does not have power over the activities that most significantly impact the economic performance of the Segregated Accounts, it is not the primary beneficiary and does not consolidate the Segregated Accounts.</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revenue components associated with the Segregated Accounts are as follows:</w:t>
      </w:r>
    </w:p>
    <w:p>
      <w:pPr>
        <w:spacing w:after="0" w:line="29" w:lineRule="exact"/>
        <w:rPr>
          <w:sz w:val="20"/>
          <w:szCs w:val="20"/>
          <w:color w:val="auto"/>
        </w:rPr>
      </w:pPr>
    </w:p>
    <w:p>
      <w:pPr>
        <w:ind w:left="1300" w:hanging="324"/>
        <w:spacing w:after="0" w:line="251" w:lineRule="auto"/>
        <w:rPr>
          <w:sz w:val="20"/>
          <w:szCs w:val="20"/>
          <w:color w:val="auto"/>
        </w:rPr>
      </w:pPr>
      <w:r>
        <w:rPr>
          <w:rFonts w:ascii="Arial" w:cs="Arial" w:eastAsia="Arial" w:hAnsi="Arial"/>
          <w:sz w:val="17"/>
          <w:szCs w:val="17"/>
          <w:color w:val="auto"/>
        </w:rPr>
        <w:t>– The Segregated Accounts cede to the Company, and the Company assumes from them, a quota share of the Segregated Accounts’ liabilities and premiums under each reinsurance agreement entered into by the Segregated Accounts that is sourced by the Company, subject to a cap. The quota shares range from 2.2% to 2.5%.</w:t>
      </w:r>
    </w:p>
    <w:p>
      <w:pPr>
        <w:spacing w:after="0" w:line="1" w:lineRule="exact"/>
        <w:rPr>
          <w:sz w:val="20"/>
          <w:szCs w:val="20"/>
          <w:color w:val="auto"/>
        </w:rPr>
      </w:pPr>
    </w:p>
    <w:p>
      <w:pPr>
        <w:ind w:left="1300" w:hanging="324"/>
        <w:spacing w:after="0" w:line="248" w:lineRule="auto"/>
        <w:rPr>
          <w:sz w:val="20"/>
          <w:szCs w:val="20"/>
          <w:color w:val="auto"/>
        </w:rPr>
      </w:pPr>
      <w:r>
        <w:rPr>
          <w:rFonts w:ascii="Arial" w:cs="Arial" w:eastAsia="Arial" w:hAnsi="Arial"/>
          <w:sz w:val="17"/>
          <w:szCs w:val="17"/>
          <w:color w:val="auto"/>
        </w:rPr>
        <w:t>– The Company provides certain underwriting and related services to the Segregated Accounts and receives a fixed quarterly fee based on the capital deployed.</w:t>
      </w:r>
    </w:p>
    <w:p>
      <w:pPr>
        <w:spacing w:after="0" w:line="1" w:lineRule="exact"/>
        <w:rPr>
          <w:sz w:val="20"/>
          <w:szCs w:val="20"/>
          <w:color w:val="auto"/>
        </w:rPr>
      </w:pPr>
    </w:p>
    <w:p>
      <w:pPr>
        <w:ind w:left="1300" w:hanging="324"/>
        <w:spacing w:after="0" w:line="281" w:lineRule="auto"/>
        <w:rPr>
          <w:sz w:val="20"/>
          <w:szCs w:val="20"/>
          <w:color w:val="auto"/>
        </w:rPr>
      </w:pPr>
      <w:r>
        <w:rPr>
          <w:rFonts w:ascii="Arial" w:cs="Arial" w:eastAsia="Arial" w:hAnsi="Arial"/>
          <w:sz w:val="17"/>
          <w:szCs w:val="17"/>
          <w:color w:val="auto"/>
        </w:rPr>
        <w:t>– The Segregated Accounts may also pay the Company a performance-based variable fee tied to the performance of such Segregated Accounts.</w:t>
      </w:r>
    </w:p>
    <w:p>
      <w:pPr>
        <w:spacing w:after="0" w:line="188" w:lineRule="exact"/>
        <w:rPr>
          <w:sz w:val="20"/>
          <w:szCs w:val="20"/>
          <w:color w:val="auto"/>
        </w:rPr>
      </w:pPr>
    </w:p>
    <w:p>
      <w:pPr>
        <w:jc w:val="both"/>
        <w:ind w:left="660"/>
        <w:spacing w:after="0" w:line="261" w:lineRule="auto"/>
        <w:rPr>
          <w:sz w:val="20"/>
          <w:szCs w:val="20"/>
          <w:color w:val="auto"/>
        </w:rPr>
      </w:pPr>
      <w:r>
        <w:rPr>
          <w:rFonts w:ascii="Arial" w:cs="Arial" w:eastAsia="Arial" w:hAnsi="Arial"/>
          <w:sz w:val="17"/>
          <w:szCs w:val="17"/>
          <w:color w:val="auto"/>
        </w:rPr>
        <w:t>The quota share contracts are recorded as assumed premiums and recognized ratably over the term of the underlying reinsurance agreements. The quarterly fees for services provided to the Segregated Accounts are recognized over time in the period the relevant services are provided on a proportional basis that corresponds to the time elapsed on the applicable underlying reinsurance contract term. The variable fee was considered fully constrained and thus the transaction price at inception was zero. Management assessed this estimate at the reporting date and accrued for fees to the extent it is probable that a significant reversal will not occur.</w:t>
      </w:r>
    </w:p>
    <w:p>
      <w:pPr>
        <w:spacing w:after="0" w:line="206" w:lineRule="exact"/>
        <w:rPr>
          <w:sz w:val="20"/>
          <w:szCs w:val="20"/>
          <w:color w:val="auto"/>
        </w:rPr>
      </w:pPr>
    </w:p>
    <w:p>
      <w:pPr>
        <w:jc w:val="both"/>
        <w:ind w:left="660"/>
        <w:spacing w:after="0" w:line="260" w:lineRule="auto"/>
        <w:rPr>
          <w:sz w:val="20"/>
          <w:szCs w:val="20"/>
          <w:color w:val="auto"/>
        </w:rPr>
      </w:pPr>
      <w:r>
        <w:rPr>
          <w:rFonts w:ascii="Arial" w:cs="Arial" w:eastAsia="Arial" w:hAnsi="Arial"/>
          <w:sz w:val="17"/>
          <w:szCs w:val="17"/>
          <w:color w:val="auto"/>
        </w:rPr>
        <w:t>For the three months ended September 30, 2026, Net earned insurance premiums includes $3.4 million related to the quota share agreements and Other revenues includes $18.9 million related to fixed and variable fees. For the nine months ended September 30, 2026, Net earned insurance premiums includes $4.4 million related to the quota share agreements and Other revenues includes $23.8 million related to fixed and variable fees.</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AdVantage is an independent company, and as such, the assets of AdVantage can be used only to settle obligations of AdVantage and AdVantage is solely responsible for its own liabilities and commitments. The Company’s financial exposure to AdVantage is limited to its investment in AdVantage’s preference shares, its participation on a stop-loss reinsurance arrangement provided to AV0002, its quota share arrangements provided to the Segregated Accounts, and</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4960" w:hanging="446"/>
        <w:spacing w:after="0"/>
        <w:tabs>
          <w:tab w:leader="none" w:pos="49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8" w:name="page19"/>
    <w:bookmarkEnd w:id="18"/>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counterparty credit risk, mitigated by collateral, arising from certain reinsurance cessions from the Company to AV0002. The Company has not provided any financial or other support to AdVantage that it is not contractually required to provide.</w:t>
      </w:r>
    </w:p>
    <w:p>
      <w:pPr>
        <w:spacing w:after="0" w:line="185"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b w:val="1"/>
          <w:bCs w:val="1"/>
          <w:color w:val="00497F"/>
        </w:rPr>
        <w:t xml:space="preserve">Noncontrolling Interests </w:t>
      </w:r>
      <w:r>
        <w:rPr>
          <w:rFonts w:ascii="Arial" w:cs="Arial" w:eastAsia="Arial" w:hAnsi="Arial"/>
          <w:sz w:val="17"/>
          <w:szCs w:val="17"/>
          <w:color w:val="000000"/>
        </w:rPr>
        <w:t>As of December 31, 2025, noncontrolling interests were primarily related to Teravalis. As of September 30, 2026,</w:t>
      </w:r>
      <w:r>
        <w:rPr>
          <w:rFonts w:ascii="Arial" w:cs="Arial" w:eastAsia="Arial" w:hAnsi="Arial"/>
          <w:sz w:val="17"/>
          <w:szCs w:val="17"/>
          <w:b w:val="1"/>
          <w:bCs w:val="1"/>
          <w:color w:val="00497F"/>
        </w:rPr>
        <w:t xml:space="preserve"> </w:t>
      </w:r>
      <w:r>
        <w:rPr>
          <w:rFonts w:ascii="Arial" w:cs="Arial" w:eastAsia="Arial" w:hAnsi="Arial"/>
          <w:sz w:val="17"/>
          <w:szCs w:val="17"/>
          <w:color w:val="000000"/>
        </w:rPr>
        <w:t>noncontrolling interests also related to AV0002, Floreo, and Summit House.</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Financing Receivable Credit Losses </w:t>
      </w:r>
      <w:r>
        <w:rPr>
          <w:rFonts w:ascii="Arial" w:cs="Arial" w:eastAsia="Arial" w:hAnsi="Arial"/>
          <w:sz w:val="17"/>
          <w:szCs w:val="17"/>
          <w:color w:val="000000"/>
        </w:rPr>
        <w:t>The Company is exposed to credit losses on financing receivables, which include municipal district</w:t>
      </w:r>
      <w:r>
        <w:rPr>
          <w:rFonts w:ascii="Arial" w:cs="Arial" w:eastAsia="Arial" w:hAnsi="Arial"/>
          <w:sz w:val="17"/>
          <w:szCs w:val="17"/>
          <w:b w:val="1"/>
          <w:bCs w:val="1"/>
          <w:color w:val="00497F"/>
        </w:rPr>
        <w:t xml:space="preserve"> </w:t>
      </w:r>
      <w:r>
        <w:rPr>
          <w:rFonts w:ascii="Arial" w:cs="Arial" w:eastAsia="Arial" w:hAnsi="Arial"/>
          <w:sz w:val="17"/>
          <w:szCs w:val="17"/>
          <w:color w:val="000000"/>
        </w:rPr>
        <w:t>receivables, Special Improvement District (SID) bonds, Tax Increment Financing (TIF) receivables, net investments in lease receivables, and notes receivable. The Company assesses its exposure to credit loss on a quarterly basis using historical collection experience and future expectations by portfolio segment.</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amortized cost basis of financing receivables, consisting primarily of municipal district and SID receivables, totaled $522.1 million as of September 30, 2026, and $560.3 million as of December 31, 2025. The municipal district receivables balance included accrued interest of $50.5 million as of September 30, 2026, and $48.2 million as of December 31, 2025. There was no material activity in the allowance for credit losses for financing receivables for the nine months ended September 30, 2026 and 2025.</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Financing receivables are considered to be past due once they are 30 days contractually past due under the terms of the agreement. The Company does not have significant receivables that are past due or on nonaccrual status. There have been no significant write-offs or recoveries of amounts previously written off during the current period for financing receivables.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2. Vantage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June 4, 2026, Howard Hughes Insurance Holdings, LLC, a wholly owned subsidiary of the Company, completed the acquisition of 100% of the outstanding shares of capital stock of Vantage Group Holdings Ltd., a privately held specialty insurance and reinsurance company, for cash consideration of approximately $2.1 billion. References to "Vantage" herein refer to Howard Hughes Insurance Holdings, LLC and its consolidated insurance and reinsurance subsidiaries acquired in the Vantage Acquisition, unless the context otherwise requires. Also on June 4, 2026, to support the funding of the Vantage Acquisition, the Company issued $1.0 billion of its Series A Preferred Stock to Pershing Square Holdings, Ltd. See Note 1</w:t>
      </w:r>
    </w:p>
    <w:p>
      <w:pPr>
        <w:spacing w:after="0" w:line="4" w:lineRule="exact"/>
        <w:rPr>
          <w:sz w:val="20"/>
          <w:szCs w:val="20"/>
          <w:color w:val="auto"/>
        </w:rPr>
      </w:pPr>
    </w:p>
    <w:p>
      <w:pPr>
        <w:jc w:val="both"/>
        <w:ind w:firstLine="8"/>
        <w:spacing w:after="0" w:line="256" w:lineRule="auto"/>
        <w:tabs>
          <w:tab w:leader="none" w:pos="104"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Presentation of Financial Statements and Significant Accounting Policies </w:t>
      </w:r>
      <w:r>
        <w:rPr>
          <w:rFonts w:ascii="Arial" w:cs="Arial" w:eastAsia="Arial" w:hAnsi="Arial"/>
          <w:sz w:val="17"/>
          <w:szCs w:val="17"/>
          <w:color w:val="auto"/>
        </w:rPr>
        <w:t>and Note 3 -</w:t>
      </w:r>
      <w:r>
        <w:rPr>
          <w:rFonts w:ascii="Arial" w:cs="Arial" w:eastAsia="Arial" w:hAnsi="Arial"/>
          <w:sz w:val="17"/>
          <w:szCs w:val="17"/>
          <w:i w:val="1"/>
          <w:iCs w:val="1"/>
          <w:color w:val="auto"/>
        </w:rPr>
        <w:t xml:space="preserve"> Pershing Square </w:t>
      </w:r>
      <w:r>
        <w:rPr>
          <w:rFonts w:ascii="Arial" w:cs="Arial" w:eastAsia="Arial" w:hAnsi="Arial"/>
          <w:sz w:val="17"/>
          <w:szCs w:val="17"/>
          <w:color w:val="auto"/>
        </w:rPr>
        <w:t>for additional information. The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associated with the acquisition were $1.0 million for the three months ended September 30, 2026, and $20.1 million for the nine months ended September 30, 2026, and are included in General and administrative expenses in the Condensed Consolidated Statements of Operations.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4960" w:hanging="446"/>
        <w:spacing w:after="0"/>
        <w:tabs>
          <w:tab w:leader="none" w:pos="496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Preliminary Fair Value of Net Assets Acquired and Liabilities Assumed</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acquisition constitutes a business combination and was accounted for using the acquisition method of accounting. As such, the Company recorded the assets acquired and liabilities assumed at their estimated acquisition-date fair values, as summarized in the table below. Certain data necessary to complete the purchase price allocation is not yet available, and includes, but is not limited to, the final appraisals of certain acquired assets and assumed liabilities and the final underlying tax bases of assets acquired and liabilities assumed. The Company will finalize the purchase price allocation during the 12-month period following the acquisition date, during which time the value of the assets and liabilities may be revised as appropriate.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800" w:type="dxa"/>
            <w:vAlign w:val="bottom"/>
            <w:tcBorders>
              <w:top w:val="single" w:sz="8" w:color="auto"/>
              <w:bottom w:val="single" w:sz="8" w:color="auto"/>
            </w:tcBorders>
            <w:shd w:val="clear" w:color="auto" w:fill="D8D8D8"/>
          </w:tcPr>
          <w:p>
            <w:pPr>
              <w:spacing w:after="0"/>
              <w:rPr>
                <w:sz w:val="21"/>
                <w:szCs w:val="21"/>
                <w:color w:val="auto"/>
              </w:rPr>
            </w:pPr>
          </w:p>
        </w:tc>
        <w:tc>
          <w:tcPr>
            <w:tcW w:w="1780" w:type="dxa"/>
            <w:vAlign w:val="bottom"/>
            <w:tcBorders>
              <w:top w:val="single" w:sz="8" w:color="auto"/>
              <w:bottom w:val="single" w:sz="8" w:color="auto"/>
            </w:tcBorders>
            <w:shd w:val="clear" w:color="auto" w:fill="D8D8D8"/>
          </w:tcPr>
          <w:p>
            <w:pPr>
              <w:jc w:val="right"/>
              <w:ind w:right="475"/>
              <w:spacing w:after="0"/>
              <w:rPr>
                <w:sz w:val="20"/>
                <w:szCs w:val="20"/>
                <w:color w:val="auto"/>
              </w:rPr>
            </w:pPr>
            <w:r>
              <w:rPr>
                <w:rFonts w:ascii="Arial" w:cs="Arial" w:eastAsia="Arial" w:hAnsi="Arial"/>
                <w:sz w:val="17"/>
                <w:szCs w:val="17"/>
                <w:b w:val="1"/>
                <w:bCs w:val="1"/>
                <w:color w:val="auto"/>
              </w:rPr>
              <w:t>June 4, 2026</w:t>
            </w:r>
          </w:p>
        </w:tc>
      </w:tr>
      <w:tr>
        <w:trPr>
          <w:trHeight w:val="214"/>
        </w:trPr>
        <w:tc>
          <w:tcPr>
            <w:tcW w:w="6660" w:type="dxa"/>
            <w:vAlign w:val="bottom"/>
          </w:tcPr>
          <w:p>
            <w:pPr>
              <w:ind w:left="20"/>
              <w:spacing w:after="0"/>
              <w:rPr>
                <w:sz w:val="20"/>
                <w:szCs w:val="20"/>
                <w:color w:val="auto"/>
              </w:rPr>
            </w:pPr>
            <w:r>
              <w:rPr>
                <w:rFonts w:ascii="Arial" w:cs="Arial" w:eastAsia="Arial" w:hAnsi="Arial"/>
                <w:sz w:val="17"/>
                <w:szCs w:val="17"/>
                <w:b w:val="1"/>
                <w:bCs w:val="1"/>
                <w:color w:val="auto"/>
              </w:rPr>
              <w:t>Fair value of assets acquired:</w:t>
            </w:r>
          </w:p>
        </w:tc>
        <w:tc>
          <w:tcPr>
            <w:tcW w:w="28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5"/>
        </w:trPr>
        <w:tc>
          <w:tcPr>
            <w:tcW w:w="6660" w:type="dxa"/>
            <w:vAlign w:val="bottom"/>
          </w:tcPr>
          <w:p>
            <w:pPr>
              <w:ind w:left="240"/>
              <w:spacing w:after="0"/>
              <w:rPr>
                <w:sz w:val="20"/>
                <w:szCs w:val="20"/>
                <w:color w:val="auto"/>
              </w:rPr>
            </w:pPr>
            <w:r>
              <w:rPr>
                <w:rFonts w:ascii="Arial" w:cs="Arial" w:eastAsia="Arial" w:hAnsi="Arial"/>
                <w:sz w:val="17"/>
                <w:szCs w:val="17"/>
                <w:color w:val="auto"/>
              </w:rPr>
              <w:t>Buildings and equipment</w:t>
            </w:r>
          </w:p>
        </w:tc>
        <w:tc>
          <w:tcPr>
            <w:tcW w:w="2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29"/>
        </w:trPr>
        <w:tc>
          <w:tcPr>
            <w:tcW w:w="6660" w:type="dxa"/>
            <w:vAlign w:val="bottom"/>
          </w:tcPr>
          <w:p>
            <w:pPr>
              <w:ind w:left="240"/>
              <w:spacing w:after="0"/>
              <w:rPr>
                <w:sz w:val="20"/>
                <w:szCs w:val="20"/>
                <w:color w:val="auto"/>
              </w:rPr>
            </w:pPr>
            <w:r>
              <w:rPr>
                <w:rFonts w:ascii="Arial" w:cs="Arial" w:eastAsia="Arial" w:hAnsi="Arial"/>
                <w:sz w:val="17"/>
                <w:szCs w:val="17"/>
                <w:color w:val="auto"/>
              </w:rPr>
              <w:t>Investments in fixed maturity securities</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2,608,294</w:t>
            </w:r>
          </w:p>
        </w:tc>
      </w:tr>
      <w:tr>
        <w:trPr>
          <w:trHeight w:val="230"/>
        </w:trPr>
        <w:tc>
          <w:tcPr>
            <w:tcW w:w="6660" w:type="dxa"/>
            <w:vAlign w:val="bottom"/>
          </w:tcPr>
          <w:p>
            <w:pPr>
              <w:ind w:left="240"/>
              <w:spacing w:after="0"/>
              <w:rPr>
                <w:sz w:val="20"/>
                <w:szCs w:val="20"/>
                <w:color w:val="auto"/>
              </w:rPr>
            </w:pPr>
            <w:r>
              <w:rPr>
                <w:rFonts w:ascii="Arial" w:cs="Arial" w:eastAsia="Arial" w:hAnsi="Arial"/>
                <w:sz w:val="17"/>
                <w:szCs w:val="17"/>
                <w:color w:val="auto"/>
              </w:rPr>
              <w:t>Short-term investments</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32,845</w:t>
            </w:r>
          </w:p>
        </w:tc>
      </w:tr>
      <w:tr>
        <w:trPr>
          <w:trHeight w:val="229"/>
        </w:trPr>
        <w:tc>
          <w:tcPr>
            <w:tcW w:w="6660" w:type="dxa"/>
            <w:vAlign w:val="bottom"/>
          </w:tcPr>
          <w:p>
            <w:pPr>
              <w:ind w:left="240"/>
              <w:spacing w:after="0"/>
              <w:rPr>
                <w:sz w:val="20"/>
                <w:szCs w:val="20"/>
                <w:color w:val="auto"/>
              </w:rPr>
            </w:pPr>
            <w:r>
              <w:rPr>
                <w:rFonts w:ascii="Arial" w:cs="Arial" w:eastAsia="Arial" w:hAnsi="Arial"/>
                <w:sz w:val="17"/>
                <w:szCs w:val="17"/>
                <w:color w:val="auto"/>
              </w:rPr>
              <w:t>Cash and cash equivalents</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376,321</w:t>
            </w:r>
          </w:p>
        </w:tc>
      </w:tr>
      <w:tr>
        <w:trPr>
          <w:trHeight w:val="229"/>
        </w:trPr>
        <w:tc>
          <w:tcPr>
            <w:tcW w:w="6660" w:type="dxa"/>
            <w:vAlign w:val="bottom"/>
          </w:tcPr>
          <w:p>
            <w:pPr>
              <w:ind w:left="240"/>
              <w:spacing w:after="0"/>
              <w:rPr>
                <w:sz w:val="20"/>
                <w:szCs w:val="20"/>
                <w:color w:val="auto"/>
              </w:rPr>
            </w:pPr>
            <w:r>
              <w:rPr>
                <w:rFonts w:ascii="Arial" w:cs="Arial" w:eastAsia="Arial" w:hAnsi="Arial"/>
                <w:sz w:val="17"/>
                <w:szCs w:val="17"/>
                <w:color w:val="auto"/>
              </w:rPr>
              <w:t>Restricted cash</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84,450</w:t>
            </w:r>
          </w:p>
        </w:tc>
      </w:tr>
      <w:tr>
        <w:trPr>
          <w:trHeight w:val="230"/>
        </w:trPr>
        <w:tc>
          <w:tcPr>
            <w:tcW w:w="6660" w:type="dxa"/>
            <w:vAlign w:val="bottom"/>
          </w:tcPr>
          <w:p>
            <w:pPr>
              <w:ind w:left="240"/>
              <w:spacing w:after="0"/>
              <w:rPr>
                <w:sz w:val="20"/>
                <w:szCs w:val="20"/>
                <w:color w:val="auto"/>
              </w:rPr>
            </w:pPr>
            <w:r>
              <w:rPr>
                <w:rFonts w:ascii="Arial" w:cs="Arial" w:eastAsia="Arial" w:hAnsi="Arial"/>
                <w:sz w:val="17"/>
                <w:szCs w:val="17"/>
                <w:color w:val="auto"/>
              </w:rPr>
              <w:t>Accounts receivable, net</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788,692</w:t>
            </w:r>
          </w:p>
        </w:tc>
      </w:tr>
      <w:tr>
        <w:trPr>
          <w:trHeight w:val="229"/>
        </w:trPr>
        <w:tc>
          <w:tcPr>
            <w:tcW w:w="6660" w:type="dxa"/>
            <w:vAlign w:val="bottom"/>
          </w:tcPr>
          <w:p>
            <w:pPr>
              <w:ind w:left="240"/>
              <w:spacing w:after="0"/>
              <w:rPr>
                <w:sz w:val="20"/>
                <w:szCs w:val="20"/>
                <w:color w:val="auto"/>
              </w:rPr>
            </w:pPr>
            <w:r>
              <w:rPr>
                <w:rFonts w:ascii="Arial" w:cs="Arial" w:eastAsia="Arial" w:hAnsi="Arial"/>
                <w:sz w:val="17"/>
                <w:szCs w:val="17"/>
                <w:color w:val="auto"/>
              </w:rPr>
              <w:t>Reinsurance recoverable on paid and unpaid losses</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599,056</w:t>
            </w:r>
          </w:p>
        </w:tc>
      </w:tr>
      <w:tr>
        <w:trPr>
          <w:trHeight w:val="230"/>
        </w:trPr>
        <w:tc>
          <w:tcPr>
            <w:tcW w:w="6660" w:type="dxa"/>
            <w:vAlign w:val="bottom"/>
          </w:tcPr>
          <w:p>
            <w:pPr>
              <w:ind w:left="240"/>
              <w:spacing w:after="0"/>
              <w:rPr>
                <w:sz w:val="20"/>
                <w:szCs w:val="20"/>
                <w:color w:val="auto"/>
              </w:rPr>
            </w:pPr>
            <w:r>
              <w:rPr>
                <w:rFonts w:ascii="Arial" w:cs="Arial" w:eastAsia="Arial" w:hAnsi="Arial"/>
                <w:sz w:val="17"/>
                <w:szCs w:val="17"/>
                <w:color w:val="auto"/>
              </w:rPr>
              <w:t>Intangibles, net</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571,000</w:t>
            </w:r>
          </w:p>
        </w:tc>
      </w:tr>
      <w:tr>
        <w:trPr>
          <w:trHeight w:val="236"/>
        </w:trPr>
        <w:tc>
          <w:tcPr>
            <w:tcW w:w="66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 assets, net</w:t>
            </w:r>
          </w:p>
        </w:tc>
        <w:tc>
          <w:tcPr>
            <w:tcW w:w="2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626,363</w:t>
            </w:r>
          </w:p>
        </w:tc>
      </w:tr>
      <w:tr>
        <w:trPr>
          <w:trHeight w:val="225"/>
        </w:trPr>
        <w:tc>
          <w:tcPr>
            <w:tcW w:w="6660" w:type="dxa"/>
            <w:vAlign w:val="bottom"/>
          </w:tcPr>
          <w:p>
            <w:pPr>
              <w:ind w:left="140"/>
              <w:spacing w:after="0"/>
              <w:rPr>
                <w:sz w:val="20"/>
                <w:szCs w:val="20"/>
                <w:color w:val="auto"/>
              </w:rPr>
            </w:pPr>
            <w:r>
              <w:rPr>
                <w:rFonts w:ascii="Arial" w:cs="Arial" w:eastAsia="Arial" w:hAnsi="Arial"/>
                <w:sz w:val="17"/>
                <w:szCs w:val="17"/>
                <w:color w:val="auto"/>
              </w:rPr>
              <w:t>Total estimated fair value of assets acquired</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5,687,139</w:t>
            </w:r>
          </w:p>
        </w:tc>
      </w:tr>
      <w:tr>
        <w:trPr>
          <w:trHeight w:val="374"/>
        </w:trPr>
        <w:tc>
          <w:tcPr>
            <w:tcW w:w="6660" w:type="dxa"/>
            <w:vAlign w:val="bottom"/>
          </w:tcPr>
          <w:p>
            <w:pPr>
              <w:ind w:left="20"/>
              <w:spacing w:after="0"/>
              <w:rPr>
                <w:sz w:val="20"/>
                <w:szCs w:val="20"/>
                <w:color w:val="auto"/>
              </w:rPr>
            </w:pPr>
            <w:r>
              <w:rPr>
                <w:rFonts w:ascii="Arial" w:cs="Arial" w:eastAsia="Arial" w:hAnsi="Arial"/>
                <w:sz w:val="17"/>
                <w:szCs w:val="17"/>
                <w:b w:val="1"/>
                <w:bCs w:val="1"/>
                <w:color w:val="auto"/>
              </w:rPr>
              <w:t>Fair value of liabilities assumed:</w:t>
            </w:r>
          </w:p>
        </w:tc>
        <w:tc>
          <w:tcPr>
            <w:tcW w:w="28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5"/>
        </w:trPr>
        <w:tc>
          <w:tcPr>
            <w:tcW w:w="6660" w:type="dxa"/>
            <w:vAlign w:val="bottom"/>
          </w:tcPr>
          <w:p>
            <w:pPr>
              <w:ind w:left="140"/>
              <w:spacing w:after="0"/>
              <w:rPr>
                <w:sz w:val="20"/>
                <w:szCs w:val="20"/>
                <w:color w:val="auto"/>
              </w:rPr>
            </w:pPr>
            <w:r>
              <w:rPr>
                <w:rFonts w:ascii="Arial" w:cs="Arial" w:eastAsia="Arial" w:hAnsi="Arial"/>
                <w:sz w:val="17"/>
                <w:szCs w:val="17"/>
                <w:color w:val="auto"/>
              </w:rPr>
              <w:t>Reserves for claims and claim expenses</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2,090,210</w:t>
            </w:r>
          </w:p>
        </w:tc>
      </w:tr>
      <w:tr>
        <w:trPr>
          <w:trHeight w:val="230"/>
        </w:trPr>
        <w:tc>
          <w:tcPr>
            <w:tcW w:w="6660" w:type="dxa"/>
            <w:vAlign w:val="bottom"/>
          </w:tcPr>
          <w:p>
            <w:pPr>
              <w:ind w:left="140"/>
              <w:spacing w:after="0"/>
              <w:rPr>
                <w:sz w:val="20"/>
                <w:szCs w:val="20"/>
                <w:color w:val="auto"/>
              </w:rPr>
            </w:pPr>
            <w:r>
              <w:rPr>
                <w:rFonts w:ascii="Arial" w:cs="Arial" w:eastAsia="Arial" w:hAnsi="Arial"/>
                <w:sz w:val="17"/>
                <w:szCs w:val="17"/>
                <w:color w:val="auto"/>
              </w:rPr>
              <w:t>Unearned premiums</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1,384,357</w:t>
            </w:r>
          </w:p>
        </w:tc>
      </w:tr>
      <w:tr>
        <w:trPr>
          <w:trHeight w:val="229"/>
        </w:trPr>
        <w:tc>
          <w:tcPr>
            <w:tcW w:w="6660" w:type="dxa"/>
            <w:vAlign w:val="bottom"/>
          </w:tcPr>
          <w:p>
            <w:pPr>
              <w:ind w:left="140"/>
              <w:spacing w:after="0"/>
              <w:rPr>
                <w:sz w:val="20"/>
                <w:szCs w:val="20"/>
                <w:color w:val="auto"/>
              </w:rPr>
            </w:pPr>
            <w:r>
              <w:rPr>
                <w:rFonts w:ascii="Arial" w:cs="Arial" w:eastAsia="Arial" w:hAnsi="Arial"/>
                <w:sz w:val="17"/>
                <w:szCs w:val="17"/>
                <w:color w:val="auto"/>
              </w:rPr>
              <w:t>Deferred tax liabilities, net</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18,437</w:t>
            </w:r>
          </w:p>
        </w:tc>
      </w:tr>
      <w:tr>
        <w:trPr>
          <w:trHeight w:val="237"/>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liabilities, net</w:t>
            </w:r>
          </w:p>
        </w:tc>
        <w:tc>
          <w:tcPr>
            <w:tcW w:w="2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366,271</w:t>
            </w:r>
          </w:p>
        </w:tc>
      </w:tr>
      <w:tr>
        <w:trPr>
          <w:trHeight w:val="221"/>
        </w:trPr>
        <w:tc>
          <w:tcPr>
            <w:tcW w:w="6660" w:type="dxa"/>
            <w:vAlign w:val="bottom"/>
          </w:tcPr>
          <w:p>
            <w:pPr>
              <w:ind w:left="20"/>
              <w:spacing w:after="0"/>
              <w:rPr>
                <w:sz w:val="20"/>
                <w:szCs w:val="20"/>
                <w:color w:val="auto"/>
              </w:rPr>
            </w:pPr>
            <w:r>
              <w:rPr>
                <w:rFonts w:ascii="Arial" w:cs="Arial" w:eastAsia="Arial" w:hAnsi="Arial"/>
                <w:sz w:val="17"/>
                <w:szCs w:val="17"/>
                <w:color w:val="auto"/>
              </w:rPr>
              <w:t>Total estimated fair value of liabilities assumed</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3,859,275</w:t>
            </w:r>
          </w:p>
        </w:tc>
      </w:tr>
      <w:tr>
        <w:trPr>
          <w:trHeight w:val="225"/>
        </w:trPr>
        <w:tc>
          <w:tcPr>
            <w:tcW w:w="666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8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7,753</w:t>
            </w:r>
          </w:p>
        </w:tc>
      </w:tr>
      <w:tr>
        <w:trPr>
          <w:trHeight w:val="108"/>
        </w:trPr>
        <w:tc>
          <w:tcPr>
            <w:tcW w:w="666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7"/>
                <w:szCs w:val="17"/>
                <w:color w:val="auto"/>
              </w:rPr>
              <w:t>Fair value of net assets acquired</w:t>
            </w:r>
          </w:p>
        </w:tc>
        <w:tc>
          <w:tcPr>
            <w:tcW w:w="28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1,820,111</w:t>
            </w:r>
          </w:p>
        </w:tc>
      </w:tr>
      <w:tr>
        <w:trPr>
          <w:trHeight w:val="23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Goodwill (a)</w:t>
            </w:r>
          </w:p>
        </w:tc>
        <w:tc>
          <w:tcPr>
            <w:tcW w:w="2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279,881</w:t>
            </w:r>
          </w:p>
        </w:tc>
      </w:tr>
      <w:tr>
        <w:trPr>
          <w:trHeight w:val="22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consideration</w:t>
            </w:r>
          </w:p>
        </w:tc>
        <w:tc>
          <w:tcPr>
            <w:tcW w:w="2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2,099,992</w:t>
            </w:r>
          </w:p>
        </w:tc>
      </w:tr>
    </w:tbl>
    <w:p>
      <w:pPr>
        <w:spacing w:after="0" w:line="121" w:lineRule="exact"/>
        <w:rPr>
          <w:sz w:val="20"/>
          <w:szCs w:val="20"/>
          <w:color w:val="auto"/>
        </w:rPr>
      </w:pPr>
    </w:p>
    <w:p>
      <w:pPr>
        <w:jc w:val="both"/>
        <w:ind w:left="340" w:hanging="332"/>
        <w:spacing w:after="0" w:line="262" w:lineRule="auto"/>
        <w:tabs>
          <w:tab w:leader="none" w:pos="3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excess of the purchase price over the preliminary estimated fair value of the net tangible and identifiable intangible assets acquired, net of the fair value of the liabilities assumed totaled $279.9 million in Goodwill. Goodwill represents the future economic benefits arising from other assets acquired that could not be individually identified and separately recognized, and is attributable primarily to the assembled workforce of Vantage’s underwriting, actuarial, claims and executive teams, the established specialty insurance and reinsurance platform, and financial strength ratings that could not be replicated on a comparable timeline through internal development. The Company estimated that approximately $68.5 million of the goodwill related to the acquisition of Vantage will be deductible for U.S. tax purposes. The Company has not yet completed the allocation of goodwill to its reporting units or segments, and such allocation will be finalized during the 12-month period following the acquisition date.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9" w:lineRule="exact"/>
        <w:rPr>
          <w:rFonts w:ascii="Arial" w:cs="Arial" w:eastAsia="Arial" w:hAnsi="Arial"/>
          <w:sz w:val="16"/>
          <w:szCs w:val="16"/>
          <w:color w:val="auto"/>
        </w:rPr>
      </w:pPr>
    </w:p>
    <w:p>
      <w:pPr>
        <w:ind w:left="4960" w:hanging="446"/>
        <w:spacing w:after="0"/>
        <w:tabs>
          <w:tab w:leader="none" w:pos="496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Identifiable indefinite-lived and finite-lived intangibles consisted of the following and are included in Intangibles, net on the Company’s Condensed Consolidated Balance Sheets: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240" w:type="dxa"/>
            <w:vAlign w:val="bottom"/>
            <w:tcBorders>
              <w:top w:val="single" w:sz="8" w:color="auto"/>
              <w:bottom w:val="single" w:sz="8" w:color="auto"/>
            </w:tcBorders>
            <w:shd w:val="clear" w:color="auto" w:fill="D8D8D8"/>
          </w:tcPr>
          <w:p>
            <w:pPr>
              <w:spacing w:after="0"/>
              <w:rPr>
                <w:sz w:val="21"/>
                <w:szCs w:val="21"/>
                <w:color w:val="auto"/>
              </w:rPr>
            </w:pPr>
          </w:p>
        </w:tc>
        <w:tc>
          <w:tcPr>
            <w:tcW w:w="1800" w:type="dxa"/>
            <w:vAlign w:val="bottom"/>
            <w:tcBorders>
              <w:top w:val="single" w:sz="8" w:color="auto"/>
              <w:bottom w:val="single" w:sz="8" w:color="auto"/>
            </w:tcBorders>
            <w:shd w:val="clear" w:color="auto" w:fill="D8D8D8"/>
          </w:tcPr>
          <w:p>
            <w:pPr>
              <w:jc w:val="right"/>
              <w:ind w:right="475"/>
              <w:spacing w:after="0"/>
              <w:rPr>
                <w:sz w:val="20"/>
                <w:szCs w:val="20"/>
                <w:color w:val="auto"/>
              </w:rPr>
            </w:pPr>
            <w:r>
              <w:rPr>
                <w:rFonts w:ascii="Arial" w:cs="Arial" w:eastAsia="Arial" w:hAnsi="Arial"/>
                <w:sz w:val="17"/>
                <w:szCs w:val="17"/>
                <w:b w:val="1"/>
                <w:bCs w:val="1"/>
                <w:color w:val="auto"/>
              </w:rPr>
              <w:t>June 4, 2026</w:t>
            </w:r>
          </w:p>
        </w:tc>
        <w:tc>
          <w:tcPr>
            <w:tcW w:w="210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7"/>
                <w:szCs w:val="17"/>
                <w:b w:val="1"/>
                <w:bCs w:val="1"/>
                <w:color w:val="auto"/>
              </w:rPr>
              <w:t>Economic Useful Life</w:t>
            </w:r>
          </w:p>
        </w:tc>
      </w:tr>
      <w:tr>
        <w:trPr>
          <w:trHeight w:val="214"/>
        </w:trPr>
        <w:tc>
          <w:tcPr>
            <w:tcW w:w="5100" w:type="dxa"/>
            <w:vAlign w:val="bottom"/>
          </w:tcPr>
          <w:p>
            <w:pPr>
              <w:ind w:left="20"/>
              <w:spacing w:after="0"/>
              <w:rPr>
                <w:sz w:val="20"/>
                <w:szCs w:val="20"/>
                <w:color w:val="auto"/>
              </w:rPr>
            </w:pPr>
            <w:r>
              <w:rPr>
                <w:rFonts w:ascii="Arial" w:cs="Arial" w:eastAsia="Arial" w:hAnsi="Arial"/>
                <w:sz w:val="17"/>
                <w:szCs w:val="17"/>
                <w:color w:val="auto"/>
              </w:rPr>
              <w:t>Broker relationships - insurance</w:t>
            </w:r>
          </w:p>
        </w:tc>
        <w:tc>
          <w:tcPr>
            <w:tcW w:w="22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183,000</w:t>
            </w:r>
          </w:p>
        </w:tc>
        <w:tc>
          <w:tcPr>
            <w:tcW w:w="2100" w:type="dxa"/>
            <w:vAlign w:val="bottom"/>
          </w:tcPr>
          <w:p>
            <w:pPr>
              <w:jc w:val="center"/>
              <w:spacing w:after="0"/>
              <w:rPr>
                <w:sz w:val="20"/>
                <w:szCs w:val="20"/>
                <w:color w:val="auto"/>
              </w:rPr>
            </w:pPr>
            <w:r>
              <w:rPr>
                <w:rFonts w:ascii="Arial" w:cs="Arial" w:eastAsia="Arial" w:hAnsi="Arial"/>
                <w:sz w:val="17"/>
                <w:szCs w:val="17"/>
                <w:color w:val="auto"/>
              </w:rPr>
              <w:t>17 years</w:t>
            </w:r>
          </w:p>
        </w:tc>
      </w:tr>
      <w:tr>
        <w:trPr>
          <w:trHeight w:val="225"/>
        </w:trPr>
        <w:tc>
          <w:tcPr>
            <w:tcW w:w="5100" w:type="dxa"/>
            <w:vAlign w:val="bottom"/>
          </w:tcPr>
          <w:p>
            <w:pPr>
              <w:ind w:left="20"/>
              <w:spacing w:after="0"/>
              <w:rPr>
                <w:sz w:val="20"/>
                <w:szCs w:val="20"/>
                <w:color w:val="auto"/>
              </w:rPr>
            </w:pPr>
            <w:r>
              <w:rPr>
                <w:rFonts w:ascii="Arial" w:cs="Arial" w:eastAsia="Arial" w:hAnsi="Arial"/>
                <w:sz w:val="17"/>
                <w:szCs w:val="17"/>
                <w:color w:val="auto"/>
              </w:rPr>
              <w:t>Broker relationships - reinsurance</w:t>
            </w:r>
          </w:p>
        </w:tc>
        <w:tc>
          <w:tcPr>
            <w:tcW w:w="2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44,000</w:t>
            </w:r>
          </w:p>
        </w:tc>
        <w:tc>
          <w:tcPr>
            <w:tcW w:w="2100" w:type="dxa"/>
            <w:vAlign w:val="bottom"/>
          </w:tcPr>
          <w:p>
            <w:pPr>
              <w:jc w:val="center"/>
              <w:spacing w:after="0"/>
              <w:rPr>
                <w:sz w:val="20"/>
                <w:szCs w:val="20"/>
                <w:color w:val="auto"/>
              </w:rPr>
            </w:pPr>
            <w:r>
              <w:rPr>
                <w:rFonts w:ascii="Arial" w:cs="Arial" w:eastAsia="Arial" w:hAnsi="Arial"/>
                <w:sz w:val="17"/>
                <w:szCs w:val="17"/>
                <w:color w:val="auto"/>
              </w:rPr>
              <w:t>15 years</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2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16,000</w:t>
            </w:r>
          </w:p>
        </w:tc>
        <w:tc>
          <w:tcPr>
            <w:tcW w:w="2100" w:type="dxa"/>
            <w:vAlign w:val="bottom"/>
          </w:tcPr>
          <w:p>
            <w:pPr>
              <w:jc w:val="center"/>
              <w:spacing w:after="0"/>
              <w:rPr>
                <w:sz w:val="20"/>
                <w:szCs w:val="20"/>
                <w:color w:val="auto"/>
              </w:rPr>
            </w:pPr>
            <w:r>
              <w:rPr>
                <w:rFonts w:ascii="Arial" w:cs="Arial" w:eastAsia="Arial" w:hAnsi="Arial"/>
                <w:sz w:val="17"/>
                <w:szCs w:val="17"/>
                <w:color w:val="auto"/>
              </w:rPr>
              <w:t>10 years</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Internally developed and used technology</w:t>
            </w:r>
          </w:p>
        </w:tc>
        <w:tc>
          <w:tcPr>
            <w:tcW w:w="2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9,000</w:t>
            </w:r>
          </w:p>
        </w:tc>
        <w:tc>
          <w:tcPr>
            <w:tcW w:w="2100" w:type="dxa"/>
            <w:vAlign w:val="bottom"/>
          </w:tcPr>
          <w:p>
            <w:pPr>
              <w:jc w:val="center"/>
              <w:spacing w:after="0"/>
              <w:rPr>
                <w:sz w:val="20"/>
                <w:szCs w:val="20"/>
                <w:color w:val="auto"/>
              </w:rPr>
            </w:pPr>
            <w:r>
              <w:rPr>
                <w:rFonts w:ascii="Arial" w:cs="Arial" w:eastAsia="Arial" w:hAnsi="Arial"/>
                <w:sz w:val="17"/>
                <w:szCs w:val="17"/>
                <w:color w:val="auto"/>
              </w:rPr>
              <w:t>7 years</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VOBA (a)</w:t>
            </w:r>
          </w:p>
        </w:tc>
        <w:tc>
          <w:tcPr>
            <w:tcW w:w="2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304,000</w:t>
            </w:r>
          </w:p>
        </w:tc>
        <w:tc>
          <w:tcPr>
            <w:tcW w:w="2100" w:type="dxa"/>
            <w:vAlign w:val="bottom"/>
          </w:tcPr>
          <w:p>
            <w:pPr>
              <w:jc w:val="center"/>
              <w:spacing w:after="0"/>
              <w:rPr>
                <w:sz w:val="20"/>
                <w:szCs w:val="20"/>
                <w:color w:val="auto"/>
              </w:rPr>
            </w:pPr>
            <w:r>
              <w:rPr>
                <w:rFonts w:ascii="Arial" w:cs="Arial" w:eastAsia="Arial" w:hAnsi="Arial"/>
                <w:sz w:val="17"/>
                <w:szCs w:val="17"/>
                <w:color w:val="auto"/>
              </w:rPr>
              <w:t>1 year</w:t>
            </w:r>
          </w:p>
        </w:tc>
      </w:tr>
      <w:tr>
        <w:trPr>
          <w:trHeight w:val="23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Insurance licenses</w:t>
            </w:r>
          </w:p>
        </w:tc>
        <w:tc>
          <w:tcPr>
            <w:tcW w:w="2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2100" w:type="dxa"/>
            <w:vAlign w:val="bottom"/>
          </w:tcPr>
          <w:p>
            <w:pPr>
              <w:jc w:val="center"/>
              <w:spacing w:after="0"/>
              <w:rPr>
                <w:sz w:val="20"/>
                <w:szCs w:val="20"/>
                <w:color w:val="auto"/>
              </w:rPr>
            </w:pPr>
            <w:r>
              <w:rPr>
                <w:rFonts w:ascii="Arial" w:cs="Arial" w:eastAsia="Arial" w:hAnsi="Arial"/>
                <w:sz w:val="17"/>
                <w:szCs w:val="17"/>
                <w:color w:val="auto"/>
              </w:rPr>
              <w:t>Indefinite</w:t>
            </w:r>
          </w:p>
        </w:tc>
      </w:tr>
      <w:tr>
        <w:trPr>
          <w:trHeight w:val="22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2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571,000</w:t>
            </w:r>
          </w:p>
        </w:tc>
        <w:tc>
          <w:tcPr>
            <w:tcW w:w="2100" w:type="dxa"/>
            <w:vAlign w:val="bottom"/>
            <w:tcBorders>
              <w:bottom w:val="single" w:sz="8" w:color="auto"/>
            </w:tcBorders>
          </w:tcPr>
          <w:p>
            <w:pPr>
              <w:spacing w:after="0"/>
              <w:rPr>
                <w:sz w:val="19"/>
                <w:szCs w:val="19"/>
                <w:color w:val="auto"/>
              </w:rPr>
            </w:pPr>
          </w:p>
        </w:tc>
      </w:tr>
    </w:tbl>
    <w:p>
      <w:pPr>
        <w:spacing w:after="0" w:line="161" w:lineRule="exact"/>
        <w:rPr>
          <w:sz w:val="20"/>
          <w:szCs w:val="20"/>
          <w:color w:val="auto"/>
        </w:rPr>
      </w:pPr>
    </w:p>
    <w:p>
      <w:pPr>
        <w:ind w:left="340" w:right="20" w:hanging="332"/>
        <w:spacing w:after="0" w:line="286"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majority of VOBA amortization is expected to be recognized within the first 12 months following the acquisition, with 90% recognized in year one, 9% in year two, and 1% in year three.</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engaged independent valuation specialists to assist management in determining the fair values of certain acquired assets and assumed liabilities. The determination of fair value required significant judgment and estimates and was based on information available as of the acquisition date.</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fair value of investments in fixed maturity securities was based primarily on Level 2 observable market inputs obtained from independent pricing services which use proprietary valuation models and techniques, including matrix pricing, to estimate fair value using observable market inputs.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Broker relationships represent the fair value of Vantage's existing relationships with independent insurance and reinsurance brokers, which serve as the primary distribution network for the Company's specialty insurance and reinsurance operations. The fair values were estimated using the multi-period excess earnings method under the income approach and are classified as Level 3 fair value measurements. The valuation incorporates significant unobservable inputs, including projected net written insurance premiums, retention rates based on historical experience, normalized growth assumptions, contributory asset charges, and a discount rate. The analysis also reflects management’s assumptions regarding long-term tax rates and investment yields used to estimate attributable investment income. The Company assigned estimated useful lives of 17 years for insurance broker relationships and 15 years for reinsurance broker relationships. These useful lives were determined based on an analysis of historical broker-level attrition data, which was fitted to exponential survivor curves. The selected useful lives represent the periods over which the substantial majority of the present value of economic benefits from the existing broker relationships is expected to be realized. The shorter useful life assigned to reinsurance broker relationships reflects the more concentrated nature of the reinsurance broker market. The Company considered all applicable factors, including legal, regulatory, contractual, competitive, and economic factors, and concluded that no such factors impose a useful life shorter than those selected. All broker relationship intangible assets are amortized on a straight-line basis, as the Company determined that no other method more reliably reflects the pattern in which the economic benefits of the assets are consumed.</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trade name represents the "Vantage" brand identity used in the specialty insurance and reinsurance markets. The fair value was estimated using the relief-from-royalty method under the income approach and is classified as a Level 3 fair value measurement. The valuation incorporated a royalty rate derived from market data and qualitative factors, projected net written insurance premiums with near- and long-term growth assumptions, and a discount rate. The 10-year estimated useful life reflects the expected period over which the trade name will generate incremental economic benefit distinct from the Company's own brand identity, considering the Company's anticipated brand strategy.</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Internally developed and used technology consists of custom underwriting workbenches used in Vantage's insurance and reinsurance operations. The fair value was estimated using the replacement cost method under the cost approach and is classified as a Level 3 fair value measurement. The valuation incorporated estimates of labor costs, development timing, developer’s profit, entrepreneurial incentive, and obsolescence. The 7-year estimated useful life reflects the expected period over which the existing technology platforms will continue to serve the business before requiring significant re-engineering or replacement, considering the pace of technological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VOBA was valued using a discounted cash flow model applied to the run-off of unearned premium reserves, net of reinsurance, and is classified as a Level 3 fair value measurement. The valuation incorporated assumptions for loss and expense ratios, payment patterns, capital requirements, risk margin, and a discount rate based on the U.S. Treasury yield curve as of the acquisition date. VOBA is amortized in proportion to the pattern in which the underlying unearned premiums are earned, which reflects the period over which the acquired in-force contracts will generate premium revenue. The short amortization period reflects the fact that the unearned premium revenue represents premiums on policies already written but not yet earned as of the acquisition date, substantially all of which are expected to be earned within the 12 months following the closing date based on Vantage's historical earning patterns. As such, the majority of VOBA amortization is expected to be recognized within the first 12 months following the acquisition, with 90% recognized in year one, 9% in year two, and 1% in year three.</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Insurance licenses represent the certificates of authority and surplus lines eligibility held by various Vantage subsidiaries in the United States and abroad. The fair values were valued using the comparable transaction method under the market approach and are classified as Level 2 fair value measurements. The valuation incorporated observable arm’s-length transaction prices from publicly reported acquisitions of shell insurance companies with operating licenses, with values selected based on transaction price statistics by license type. The Company determined that the insurance licenses have indefinite useful lives as no legal, regulatory, contractual, competitive, economic, or other factors limit their useful lives. State-issued certificates of authority are not subject to competitive re-bidding and remain in force continuously so long as the licensed entity maintains compliance with applicable regulatory requirements. Renewal involves routine filing obligations and negligible incremental cost. The Company reassesses the indefinite useful life classification each reporting period and will test these assets for impairment at least annually.</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Reserves for claims and claim expenses, net of reinsurance recoverable on unpaid losses, were measured using a discounted cash flow model applied to the actuarial run-off of recorded reserves and are classified as Level 3 fair value measurements. The valuation incorporated adjustments for the time value of money and risk margin based on the U.S. Treasury yield curve, actuarial payment patterns, capital requirements, cost of capital, and reserve payout assumptions. The fair value adjustment will be amortized over the estimated payout period of the underlying claims as an increase to prior accident year net claims and claim expenses.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acquired finite-lived intangible assets which are amortized over their estimated useful lives: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00" w:type="dxa"/>
            <w:vAlign w:val="bottom"/>
            <w:tcBorders>
              <w:top w:val="single" w:sz="8" w:color="auto"/>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spacing w:after="0"/>
              <w:rPr>
                <w:sz w:val="21"/>
                <w:szCs w:val="21"/>
                <w:color w:val="auto"/>
              </w:rPr>
            </w:pPr>
          </w:p>
        </w:tc>
        <w:tc>
          <w:tcPr>
            <w:tcW w:w="3140" w:type="dxa"/>
            <w:vAlign w:val="bottom"/>
            <w:tcBorders>
              <w:top w:val="single" w:sz="8" w:color="auto"/>
              <w:bottom w:val="single" w:sz="8" w:color="auto"/>
            </w:tcBorders>
            <w:gridSpan w:val="4"/>
            <w:shd w:val="clear" w:color="auto" w:fill="DBDBDB"/>
          </w:tcPr>
          <w:p>
            <w:pPr>
              <w:jc w:val="center"/>
              <w:ind w:left="995"/>
              <w:spacing w:after="0"/>
              <w:rPr>
                <w:sz w:val="20"/>
                <w:szCs w:val="20"/>
                <w:color w:val="auto"/>
              </w:rPr>
            </w:pPr>
            <w:r>
              <w:rPr>
                <w:rFonts w:ascii="Arial" w:cs="Arial" w:eastAsia="Arial" w:hAnsi="Arial"/>
                <w:sz w:val="17"/>
                <w:szCs w:val="17"/>
                <w:b w:val="1"/>
                <w:bCs w:val="1"/>
                <w:color w:val="auto"/>
                <w:w w:val="99"/>
              </w:rPr>
              <w:t>As of September 30, 2026</w:t>
            </w:r>
          </w:p>
        </w:tc>
        <w:tc>
          <w:tcPr>
            <w:tcW w:w="124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6700" w:type="dxa"/>
            <w:vAlign w:val="bottom"/>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6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ind w:right="155"/>
              <w:spacing w:after="0"/>
              <w:rPr>
                <w:sz w:val="20"/>
                <w:szCs w:val="20"/>
                <w:color w:val="auto"/>
              </w:rPr>
            </w:pPr>
            <w:r>
              <w:rPr>
                <w:rFonts w:ascii="Arial" w:cs="Arial" w:eastAsia="Arial" w:hAnsi="Arial"/>
                <w:sz w:val="17"/>
                <w:szCs w:val="17"/>
                <w:b w:val="1"/>
                <w:bCs w:val="1"/>
                <w:color w:val="auto"/>
              </w:rPr>
              <w:t>Gross Asset</w:t>
            </w:r>
          </w:p>
        </w:tc>
        <w:tc>
          <w:tcPr>
            <w:tcW w:w="240" w:type="dxa"/>
            <w:vAlign w:val="bottom"/>
            <w:shd w:val="clear" w:color="auto" w:fill="DBDBDB"/>
          </w:tcPr>
          <w:p>
            <w:pPr>
              <w:spacing w:after="0"/>
              <w:rPr>
                <w:sz w:val="13"/>
                <w:szCs w:val="13"/>
                <w:color w:val="auto"/>
              </w:rPr>
            </w:pPr>
          </w:p>
        </w:tc>
        <w:tc>
          <w:tcPr>
            <w:tcW w:w="1340" w:type="dxa"/>
            <w:vAlign w:val="bottom"/>
            <w:shd w:val="clear" w:color="auto" w:fill="DBDBDB"/>
          </w:tcPr>
          <w:p>
            <w:pPr>
              <w:jc w:val="center"/>
              <w:ind w:right="135"/>
              <w:spacing w:after="0" w:line="160" w:lineRule="exact"/>
              <w:rPr>
                <w:sz w:val="20"/>
                <w:szCs w:val="20"/>
                <w:color w:val="auto"/>
              </w:rPr>
            </w:pPr>
            <w:r>
              <w:rPr>
                <w:rFonts w:ascii="Arial" w:cs="Arial" w:eastAsia="Arial" w:hAnsi="Arial"/>
                <w:sz w:val="17"/>
                <w:szCs w:val="17"/>
                <w:b w:val="1"/>
                <w:bCs w:val="1"/>
                <w:color w:val="auto"/>
              </w:rPr>
              <w:t>Accumulated</w:t>
            </w:r>
          </w:p>
        </w:tc>
        <w:tc>
          <w:tcPr>
            <w:tcW w:w="26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115"/>
              <w:spacing w:after="0" w:line="160" w:lineRule="exact"/>
              <w:rPr>
                <w:sz w:val="20"/>
                <w:szCs w:val="20"/>
                <w:color w:val="auto"/>
              </w:rPr>
            </w:pPr>
            <w:r>
              <w:rPr>
                <w:rFonts w:ascii="Arial" w:cs="Arial" w:eastAsia="Arial" w:hAnsi="Arial"/>
                <w:sz w:val="17"/>
                <w:szCs w:val="17"/>
                <w:b w:val="1"/>
                <w:bCs w:val="1"/>
                <w:color w:val="auto"/>
                <w:w w:val="99"/>
              </w:rPr>
              <w:t>Net Carrying</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auto"/>
            </w:tcBorders>
            <w:vMerge w:val="continue"/>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vMerge w:val="continue"/>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center"/>
              <w:ind w:right="135"/>
              <w:spacing w:after="0"/>
              <w:rPr>
                <w:sz w:val="20"/>
                <w:szCs w:val="20"/>
                <w:color w:val="auto"/>
              </w:rPr>
            </w:pPr>
            <w:r>
              <w:rPr>
                <w:rFonts w:ascii="Arial" w:cs="Arial" w:eastAsia="Arial" w:hAnsi="Arial"/>
                <w:sz w:val="17"/>
                <w:szCs w:val="17"/>
                <w:b w:val="1"/>
                <w:bCs w:val="1"/>
                <w:color w:val="auto"/>
              </w:rPr>
              <w:t>Amortization</w:t>
            </w:r>
          </w:p>
        </w:tc>
        <w:tc>
          <w:tcPr>
            <w:tcW w:w="2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14"/>
        </w:trPr>
        <w:tc>
          <w:tcPr>
            <w:tcW w:w="6700" w:type="dxa"/>
            <w:vAlign w:val="bottom"/>
          </w:tcPr>
          <w:p>
            <w:pPr>
              <w:ind w:left="20"/>
              <w:spacing w:after="0"/>
              <w:rPr>
                <w:sz w:val="20"/>
                <w:szCs w:val="20"/>
                <w:color w:val="auto"/>
              </w:rPr>
            </w:pPr>
            <w:r>
              <w:rPr>
                <w:rFonts w:ascii="Arial" w:cs="Arial" w:eastAsia="Arial" w:hAnsi="Arial"/>
                <w:sz w:val="17"/>
                <w:szCs w:val="17"/>
                <w:color w:val="auto"/>
              </w:rPr>
              <w:t>Broker relationships - insurance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183,000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(3,490)</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179,510</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7"/>
                <w:szCs w:val="17"/>
                <w:color w:val="auto"/>
              </w:rPr>
              <w:t>Broker relationships - reinsurance</w:t>
            </w:r>
          </w:p>
        </w:tc>
        <w:tc>
          <w:tcPr>
            <w:tcW w:w="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44,000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43,049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16,000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15,481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7"/>
                <w:szCs w:val="17"/>
                <w:color w:val="auto"/>
              </w:rPr>
              <w:t>Internally developed and used technology</w:t>
            </w:r>
          </w:p>
        </w:tc>
        <w:tc>
          <w:tcPr>
            <w:tcW w:w="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9,000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8,583</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VOBA</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304,000</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(89,201)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214,799</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Future net amortization expense for acquired finite-lived intangible assets is estimated as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6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180" w:type="dxa"/>
            <w:vAlign w:val="bottom"/>
            <w:tcBorders>
              <w:top w:val="single" w:sz="8" w:color="auto"/>
            </w:tcBorders>
            <w:shd w:val="clear" w:color="auto" w:fill="D8D8D8"/>
          </w:tcPr>
          <w:p>
            <w:pPr>
              <w:ind w:left="120"/>
              <w:spacing w:after="0" w:line="175" w:lineRule="exact"/>
              <w:rPr>
                <w:sz w:val="20"/>
                <w:szCs w:val="20"/>
                <w:color w:val="auto"/>
              </w:rPr>
            </w:pPr>
            <w:r>
              <w:rPr>
                <w:rFonts w:ascii="Arial" w:cs="Arial" w:eastAsia="Arial" w:hAnsi="Arial"/>
                <w:sz w:val="16"/>
                <w:szCs w:val="16"/>
                <w:b w:val="1"/>
                <w:bCs w:val="1"/>
                <w:color w:val="auto"/>
              </w:rPr>
              <w:t>Statements of Operations</w:t>
            </w:r>
          </w:p>
        </w:tc>
        <w:tc>
          <w:tcPr>
            <w:tcW w:w="1180" w:type="dxa"/>
            <w:vAlign w:val="bottom"/>
            <w:tcBorders>
              <w:top w:val="single" w:sz="8" w:color="auto"/>
            </w:tcBorders>
            <w:gridSpan w:val="2"/>
            <w:shd w:val="clear" w:color="auto" w:fill="D8D8D8"/>
          </w:tcPr>
          <w:p>
            <w:pPr>
              <w:jc w:val="right"/>
              <w:spacing w:after="0" w:line="175" w:lineRule="exact"/>
              <w:rPr>
                <w:sz w:val="20"/>
                <w:szCs w:val="20"/>
                <w:color w:val="auto"/>
              </w:rPr>
            </w:pPr>
            <w:r>
              <w:rPr>
                <w:rFonts w:ascii="Arial" w:cs="Arial" w:eastAsia="Arial" w:hAnsi="Arial"/>
                <w:sz w:val="16"/>
                <w:szCs w:val="16"/>
                <w:b w:val="1"/>
                <w:bCs w:val="1"/>
                <w:color w:val="auto"/>
              </w:rPr>
              <w:t>Remaining in</w:t>
            </w:r>
          </w:p>
        </w:tc>
        <w:tc>
          <w:tcPr>
            <w:tcW w:w="240" w:type="dxa"/>
            <w:vAlign w:val="bottom"/>
            <w:tcBorders>
              <w:top w:val="single" w:sz="8" w:color="auto"/>
            </w:tcBorders>
            <w:shd w:val="clear" w:color="auto" w:fill="D8D8D8"/>
          </w:tcPr>
          <w:p>
            <w:pPr>
              <w:spacing w:after="0"/>
              <w:rPr>
                <w:sz w:val="15"/>
                <w:szCs w:val="15"/>
                <w:color w:val="auto"/>
              </w:rPr>
            </w:pPr>
          </w:p>
        </w:tc>
        <w:tc>
          <w:tcPr>
            <w:tcW w:w="800" w:type="dxa"/>
            <w:vAlign w:val="bottom"/>
            <w:tcBorders>
              <w:top w:val="single" w:sz="8" w:color="auto"/>
            </w:tcBorders>
            <w:vMerge w:val="restart"/>
            <w:shd w:val="clear" w:color="auto" w:fill="D8D8D8"/>
          </w:tcPr>
          <w:p>
            <w:pPr>
              <w:jc w:val="right"/>
              <w:ind w:right="236"/>
              <w:spacing w:after="0"/>
              <w:rPr>
                <w:sz w:val="20"/>
                <w:szCs w:val="20"/>
                <w:color w:val="auto"/>
              </w:rPr>
            </w:pPr>
            <w:r>
              <w:rPr>
                <w:rFonts w:ascii="Arial" w:cs="Arial" w:eastAsia="Arial" w:hAnsi="Arial"/>
                <w:sz w:val="16"/>
                <w:szCs w:val="16"/>
                <w:b w:val="1"/>
                <w:bCs w:val="1"/>
                <w:color w:val="auto"/>
              </w:rPr>
              <w:t>2027</w:t>
            </w:r>
          </w:p>
        </w:tc>
        <w:tc>
          <w:tcPr>
            <w:tcW w:w="240" w:type="dxa"/>
            <w:vAlign w:val="bottom"/>
            <w:tcBorders>
              <w:top w:val="single" w:sz="8" w:color="auto"/>
            </w:tcBorders>
            <w:shd w:val="clear" w:color="auto" w:fill="D8D8D8"/>
          </w:tcPr>
          <w:p>
            <w:pPr>
              <w:spacing w:after="0"/>
              <w:rPr>
                <w:sz w:val="15"/>
                <w:szCs w:val="15"/>
                <w:color w:val="auto"/>
              </w:rPr>
            </w:pPr>
          </w:p>
        </w:tc>
        <w:tc>
          <w:tcPr>
            <w:tcW w:w="800" w:type="dxa"/>
            <w:vAlign w:val="bottom"/>
            <w:tcBorders>
              <w:top w:val="single" w:sz="8" w:color="auto"/>
            </w:tcBorders>
            <w:vMerge w:val="restart"/>
            <w:shd w:val="clear" w:color="auto" w:fill="D8D8D8"/>
          </w:tcPr>
          <w:p>
            <w:pPr>
              <w:jc w:val="right"/>
              <w:ind w:right="236"/>
              <w:spacing w:after="0"/>
              <w:rPr>
                <w:sz w:val="20"/>
                <w:szCs w:val="20"/>
                <w:color w:val="auto"/>
              </w:rPr>
            </w:pPr>
            <w:r>
              <w:rPr>
                <w:rFonts w:ascii="Arial" w:cs="Arial" w:eastAsia="Arial" w:hAnsi="Arial"/>
                <w:sz w:val="16"/>
                <w:szCs w:val="16"/>
                <w:b w:val="1"/>
                <w:bCs w:val="1"/>
                <w:color w:val="auto"/>
              </w:rPr>
              <w:t>2028</w:t>
            </w:r>
          </w:p>
        </w:tc>
        <w:tc>
          <w:tcPr>
            <w:tcW w:w="240" w:type="dxa"/>
            <w:vAlign w:val="bottom"/>
            <w:tcBorders>
              <w:top w:val="single" w:sz="8" w:color="auto"/>
            </w:tcBorders>
            <w:shd w:val="clear" w:color="auto" w:fill="D8D8D8"/>
          </w:tcPr>
          <w:p>
            <w:pPr>
              <w:spacing w:after="0"/>
              <w:rPr>
                <w:sz w:val="15"/>
                <w:szCs w:val="15"/>
                <w:color w:val="auto"/>
              </w:rPr>
            </w:pPr>
          </w:p>
        </w:tc>
        <w:tc>
          <w:tcPr>
            <w:tcW w:w="800" w:type="dxa"/>
            <w:vAlign w:val="bottom"/>
            <w:tcBorders>
              <w:top w:val="single" w:sz="8" w:color="auto"/>
            </w:tcBorders>
            <w:vMerge w:val="restart"/>
            <w:shd w:val="clear" w:color="auto" w:fill="D8D8D8"/>
          </w:tcPr>
          <w:p>
            <w:pPr>
              <w:jc w:val="right"/>
              <w:ind w:right="236"/>
              <w:spacing w:after="0"/>
              <w:rPr>
                <w:sz w:val="20"/>
                <w:szCs w:val="20"/>
                <w:color w:val="auto"/>
              </w:rPr>
            </w:pPr>
            <w:r>
              <w:rPr>
                <w:rFonts w:ascii="Arial" w:cs="Arial" w:eastAsia="Arial" w:hAnsi="Arial"/>
                <w:sz w:val="16"/>
                <w:szCs w:val="16"/>
                <w:b w:val="1"/>
                <w:bCs w:val="1"/>
                <w:color w:val="auto"/>
              </w:rPr>
              <w:t>2029</w:t>
            </w:r>
          </w:p>
        </w:tc>
        <w:tc>
          <w:tcPr>
            <w:tcW w:w="240" w:type="dxa"/>
            <w:vAlign w:val="bottom"/>
            <w:tcBorders>
              <w:top w:val="single" w:sz="8" w:color="auto"/>
            </w:tcBorders>
            <w:shd w:val="clear" w:color="auto" w:fill="D8D8D8"/>
          </w:tcPr>
          <w:p>
            <w:pPr>
              <w:spacing w:after="0"/>
              <w:rPr>
                <w:sz w:val="15"/>
                <w:szCs w:val="15"/>
                <w:color w:val="auto"/>
              </w:rPr>
            </w:pPr>
          </w:p>
        </w:tc>
        <w:tc>
          <w:tcPr>
            <w:tcW w:w="800" w:type="dxa"/>
            <w:vAlign w:val="bottom"/>
            <w:tcBorders>
              <w:top w:val="single" w:sz="8" w:color="auto"/>
            </w:tcBorders>
            <w:vMerge w:val="restart"/>
            <w:shd w:val="clear" w:color="auto" w:fill="D8D8D8"/>
          </w:tcPr>
          <w:p>
            <w:pPr>
              <w:jc w:val="right"/>
              <w:ind w:right="236"/>
              <w:spacing w:after="0"/>
              <w:rPr>
                <w:sz w:val="20"/>
                <w:szCs w:val="20"/>
                <w:color w:val="auto"/>
              </w:rPr>
            </w:pPr>
            <w:r>
              <w:rPr>
                <w:rFonts w:ascii="Arial" w:cs="Arial" w:eastAsia="Arial" w:hAnsi="Arial"/>
                <w:sz w:val="16"/>
                <w:szCs w:val="16"/>
                <w:b w:val="1"/>
                <w:bCs w:val="1"/>
                <w:color w:val="auto"/>
              </w:rPr>
              <w:t>2030</w:t>
            </w:r>
          </w:p>
        </w:tc>
        <w:tc>
          <w:tcPr>
            <w:tcW w:w="240" w:type="dxa"/>
            <w:vAlign w:val="bottom"/>
            <w:tcBorders>
              <w:top w:val="single" w:sz="8" w:color="auto"/>
            </w:tcBorders>
            <w:shd w:val="clear" w:color="auto" w:fill="D8D8D8"/>
          </w:tcPr>
          <w:p>
            <w:pPr>
              <w:spacing w:after="0"/>
              <w:rPr>
                <w:sz w:val="15"/>
                <w:szCs w:val="15"/>
                <w:color w:val="auto"/>
              </w:rPr>
            </w:pPr>
          </w:p>
        </w:tc>
        <w:tc>
          <w:tcPr>
            <w:tcW w:w="820" w:type="dxa"/>
            <w:vAlign w:val="bottom"/>
            <w:tcBorders>
              <w:top w:val="single" w:sz="8" w:color="auto"/>
            </w:tcBorders>
            <w:vMerge w:val="restart"/>
            <w:shd w:val="clear" w:color="auto" w:fill="D8D8D8"/>
          </w:tcPr>
          <w:p>
            <w:pPr>
              <w:jc w:val="right"/>
              <w:ind w:right="256"/>
              <w:spacing w:after="0"/>
              <w:rPr>
                <w:sz w:val="20"/>
                <w:szCs w:val="20"/>
                <w:color w:val="auto"/>
              </w:rPr>
            </w:pPr>
            <w:r>
              <w:rPr>
                <w:rFonts w:ascii="Arial" w:cs="Arial" w:eastAsia="Arial" w:hAnsi="Arial"/>
                <w:sz w:val="16"/>
                <w:szCs w:val="16"/>
                <w:b w:val="1"/>
                <w:bCs w:val="1"/>
                <w:color w:val="auto"/>
              </w:rPr>
              <w:t>2031</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auto"/>
            </w:tcBorders>
            <w:vMerge w:val="continue"/>
            <w:shd w:val="clear" w:color="auto" w:fill="DBDBDB"/>
          </w:tcPr>
          <w:p>
            <w:pPr>
              <w:spacing w:after="0"/>
              <w:rPr>
                <w:sz w:val="18"/>
                <w:szCs w:val="18"/>
                <w:color w:val="auto"/>
              </w:rPr>
            </w:pPr>
          </w:p>
        </w:tc>
        <w:tc>
          <w:tcPr>
            <w:tcW w:w="2180" w:type="dxa"/>
            <w:vAlign w:val="bottom"/>
            <w:tcBorders>
              <w:bottom w:val="single" w:sz="8" w:color="auto"/>
            </w:tcBorders>
            <w:shd w:val="clear" w:color="auto" w:fill="D8D8D8"/>
          </w:tcPr>
          <w:p>
            <w:pPr>
              <w:ind w:left="780"/>
              <w:spacing w:after="0"/>
              <w:rPr>
                <w:sz w:val="20"/>
                <w:szCs w:val="20"/>
                <w:color w:val="auto"/>
              </w:rPr>
            </w:pPr>
            <w:r>
              <w:rPr>
                <w:rFonts w:ascii="Arial" w:cs="Arial" w:eastAsia="Arial" w:hAnsi="Arial"/>
                <w:sz w:val="16"/>
                <w:szCs w:val="16"/>
                <w:b w:val="1"/>
                <w:bCs w:val="1"/>
                <w:color w:val="auto"/>
              </w:rPr>
              <w:t>Location</w:t>
            </w:r>
          </w:p>
        </w:tc>
        <w:tc>
          <w:tcPr>
            <w:tcW w:w="30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jc w:val="right"/>
              <w:ind w:right="296"/>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shd w:val="clear" w:color="auto" w:fill="D8D8D8"/>
          </w:tcPr>
          <w:p>
            <w:pPr>
              <w:spacing w:after="0"/>
              <w:rPr>
                <w:sz w:val="18"/>
                <w:szCs w:val="18"/>
                <w:color w:val="auto"/>
              </w:rPr>
            </w:pPr>
          </w:p>
        </w:tc>
        <w:tc>
          <w:tcPr>
            <w:tcW w:w="800" w:type="dxa"/>
            <w:vAlign w:val="bottom"/>
            <w:tcBorders>
              <w:bottom w:val="single" w:sz="8" w:color="auto"/>
            </w:tcBorders>
            <w:vMerge w:val="continue"/>
            <w:shd w:val="clear" w:color="auto" w:fill="D8D8D8"/>
          </w:tcPr>
          <w:p>
            <w:pPr>
              <w:spacing w:after="0"/>
              <w:rPr>
                <w:sz w:val="18"/>
                <w:szCs w:val="18"/>
                <w:color w:val="auto"/>
              </w:rPr>
            </w:pPr>
          </w:p>
        </w:tc>
        <w:tc>
          <w:tcPr>
            <w:tcW w:w="240" w:type="dxa"/>
            <w:vAlign w:val="bottom"/>
            <w:tcBorders>
              <w:bottom w:val="single" w:sz="8" w:color="auto"/>
            </w:tcBorders>
            <w:shd w:val="clear" w:color="auto" w:fill="D8D8D8"/>
          </w:tcPr>
          <w:p>
            <w:pPr>
              <w:spacing w:after="0"/>
              <w:rPr>
                <w:sz w:val="18"/>
                <w:szCs w:val="18"/>
                <w:color w:val="auto"/>
              </w:rPr>
            </w:pPr>
          </w:p>
        </w:tc>
        <w:tc>
          <w:tcPr>
            <w:tcW w:w="800" w:type="dxa"/>
            <w:vAlign w:val="bottom"/>
            <w:tcBorders>
              <w:bottom w:val="single" w:sz="8" w:color="auto"/>
            </w:tcBorders>
            <w:vMerge w:val="continue"/>
            <w:shd w:val="clear" w:color="auto" w:fill="D8D8D8"/>
          </w:tcPr>
          <w:p>
            <w:pPr>
              <w:spacing w:after="0"/>
              <w:rPr>
                <w:sz w:val="18"/>
                <w:szCs w:val="18"/>
                <w:color w:val="auto"/>
              </w:rPr>
            </w:pPr>
          </w:p>
        </w:tc>
        <w:tc>
          <w:tcPr>
            <w:tcW w:w="240" w:type="dxa"/>
            <w:vAlign w:val="bottom"/>
            <w:tcBorders>
              <w:bottom w:val="single" w:sz="8" w:color="auto"/>
            </w:tcBorders>
            <w:shd w:val="clear" w:color="auto" w:fill="D8D8D8"/>
          </w:tcPr>
          <w:p>
            <w:pPr>
              <w:spacing w:after="0"/>
              <w:rPr>
                <w:sz w:val="18"/>
                <w:szCs w:val="18"/>
                <w:color w:val="auto"/>
              </w:rPr>
            </w:pPr>
          </w:p>
        </w:tc>
        <w:tc>
          <w:tcPr>
            <w:tcW w:w="800" w:type="dxa"/>
            <w:vAlign w:val="bottom"/>
            <w:tcBorders>
              <w:bottom w:val="single" w:sz="8" w:color="auto"/>
            </w:tcBorders>
            <w:vMerge w:val="continue"/>
            <w:shd w:val="clear" w:color="auto" w:fill="D8D8D8"/>
          </w:tcPr>
          <w:p>
            <w:pPr>
              <w:spacing w:after="0"/>
              <w:rPr>
                <w:sz w:val="18"/>
                <w:szCs w:val="18"/>
                <w:color w:val="auto"/>
              </w:rPr>
            </w:pPr>
          </w:p>
        </w:tc>
        <w:tc>
          <w:tcPr>
            <w:tcW w:w="240" w:type="dxa"/>
            <w:vAlign w:val="bottom"/>
            <w:tcBorders>
              <w:bottom w:val="single" w:sz="8" w:color="auto"/>
            </w:tcBorders>
            <w:shd w:val="clear" w:color="auto" w:fill="D8D8D8"/>
          </w:tcPr>
          <w:p>
            <w:pPr>
              <w:spacing w:after="0"/>
              <w:rPr>
                <w:sz w:val="18"/>
                <w:szCs w:val="18"/>
                <w:color w:val="auto"/>
              </w:rPr>
            </w:pPr>
          </w:p>
        </w:tc>
        <w:tc>
          <w:tcPr>
            <w:tcW w:w="800" w:type="dxa"/>
            <w:vAlign w:val="bottom"/>
            <w:tcBorders>
              <w:bottom w:val="single" w:sz="8" w:color="auto"/>
            </w:tcBorders>
            <w:vMerge w:val="continue"/>
            <w:shd w:val="clear" w:color="auto" w:fill="D8D8D8"/>
          </w:tcPr>
          <w:p>
            <w:pPr>
              <w:spacing w:after="0"/>
              <w:rPr>
                <w:sz w:val="18"/>
                <w:szCs w:val="18"/>
                <w:color w:val="auto"/>
              </w:rPr>
            </w:pPr>
          </w:p>
        </w:tc>
        <w:tc>
          <w:tcPr>
            <w:tcW w:w="240" w:type="dxa"/>
            <w:vAlign w:val="bottom"/>
            <w:tcBorders>
              <w:bottom w:val="single" w:sz="8" w:color="auto"/>
            </w:tcBorders>
            <w:shd w:val="clear" w:color="auto" w:fill="D8D8D8"/>
          </w:tcPr>
          <w:p>
            <w:pPr>
              <w:spacing w:after="0"/>
              <w:rPr>
                <w:sz w:val="18"/>
                <w:szCs w:val="18"/>
                <w:color w:val="auto"/>
              </w:rPr>
            </w:pPr>
          </w:p>
        </w:tc>
        <w:tc>
          <w:tcPr>
            <w:tcW w:w="820" w:type="dxa"/>
            <w:vAlign w:val="bottom"/>
            <w:tcBorders>
              <w:bottom w:val="single" w:sz="8" w:color="auto"/>
            </w:tcBorders>
            <w:vMerge w:val="continue"/>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660" w:type="dxa"/>
            <w:vAlign w:val="bottom"/>
            <w:vMerge w:val="restart"/>
          </w:tcPr>
          <w:p>
            <w:pPr>
              <w:ind w:left="20"/>
              <w:spacing w:after="0"/>
              <w:rPr>
                <w:sz w:val="20"/>
                <w:szCs w:val="20"/>
                <w:color w:val="auto"/>
              </w:rPr>
            </w:pPr>
            <w:r>
              <w:rPr>
                <w:rFonts w:ascii="Arial" w:cs="Arial" w:eastAsia="Arial" w:hAnsi="Arial"/>
                <w:sz w:val="17"/>
                <w:szCs w:val="17"/>
                <w:color w:val="auto"/>
              </w:rPr>
              <w:t>VOBA</w:t>
            </w:r>
          </w:p>
        </w:tc>
        <w:tc>
          <w:tcPr>
            <w:tcW w:w="2180" w:type="dxa"/>
            <w:vAlign w:val="bottom"/>
          </w:tcPr>
          <w:p>
            <w:pPr>
              <w:ind w:left="20"/>
              <w:spacing w:after="0" w:line="160" w:lineRule="exact"/>
              <w:rPr>
                <w:sz w:val="20"/>
                <w:szCs w:val="20"/>
                <w:color w:val="auto"/>
              </w:rPr>
            </w:pPr>
            <w:r>
              <w:rPr>
                <w:rFonts w:ascii="Arial" w:cs="Arial" w:eastAsia="Arial" w:hAnsi="Arial"/>
                <w:sz w:val="17"/>
                <w:szCs w:val="17"/>
                <w:color w:val="auto"/>
              </w:rPr>
              <w:t>Insurance underwriting</w:t>
            </w:r>
          </w:p>
        </w:tc>
        <w:tc>
          <w:tcPr>
            <w:tcW w:w="300" w:type="dxa"/>
            <w:vAlign w:val="bottom"/>
            <w:vMerge w:val="restart"/>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68,962</w:t>
            </w:r>
          </w:p>
        </w:tc>
        <w:tc>
          <w:tcPr>
            <w:tcW w:w="24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131,210</w:t>
            </w:r>
          </w:p>
        </w:tc>
        <w:tc>
          <w:tcPr>
            <w:tcW w:w="24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13,344</w:t>
            </w:r>
          </w:p>
        </w:tc>
        <w:tc>
          <w:tcPr>
            <w:tcW w:w="24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1,283</w:t>
            </w:r>
          </w:p>
        </w:tc>
        <w:tc>
          <w:tcPr>
            <w:tcW w:w="24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tcPr>
          <w:p>
            <w:pPr>
              <w:jc w:val="right"/>
              <w:ind w:right="15"/>
              <w:spacing w:after="0"/>
              <w:rPr>
                <w:sz w:val="20"/>
                <w:szCs w:val="20"/>
                <w:color w:val="auto"/>
              </w:rPr>
            </w:pPr>
            <w:r>
              <w:rPr>
                <w:rFonts w:ascii="Arial" w:cs="Arial" w:eastAsia="Arial" w:hAnsi="Arial"/>
                <w:sz w:val="17"/>
                <w:szCs w:val="17"/>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660" w:type="dxa"/>
            <w:vAlign w:val="bottom"/>
            <w:vMerge w:val="continue"/>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7"/>
                <w:szCs w:val="17"/>
                <w:color w:val="auto"/>
              </w:rPr>
              <w:t>expenses</w:t>
            </w:r>
          </w:p>
        </w:tc>
        <w:tc>
          <w:tcPr>
            <w:tcW w:w="3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60" w:type="dxa"/>
            <w:vAlign w:val="bottom"/>
            <w:vMerge w:val="restart"/>
          </w:tcPr>
          <w:p>
            <w:pPr>
              <w:ind w:left="20"/>
              <w:spacing w:after="0"/>
              <w:rPr>
                <w:sz w:val="20"/>
                <w:szCs w:val="20"/>
                <w:color w:val="auto"/>
              </w:rPr>
            </w:pPr>
            <w:r>
              <w:rPr>
                <w:rFonts w:ascii="Arial" w:cs="Arial" w:eastAsia="Arial" w:hAnsi="Arial"/>
                <w:sz w:val="17"/>
                <w:szCs w:val="17"/>
                <w:color w:val="auto"/>
              </w:rPr>
              <w:t>Other finite-lived intangibles</w:t>
            </w:r>
          </w:p>
        </w:tc>
        <w:tc>
          <w:tcPr>
            <w:tcW w:w="2180" w:type="dxa"/>
            <w:vAlign w:val="bottom"/>
          </w:tcPr>
          <w:p>
            <w:pPr>
              <w:ind w:left="20"/>
              <w:spacing w:after="0" w:line="176" w:lineRule="exact"/>
              <w:rPr>
                <w:sz w:val="20"/>
                <w:szCs w:val="20"/>
                <w:color w:val="auto"/>
              </w:rPr>
            </w:pPr>
            <w:r>
              <w:rPr>
                <w:rFonts w:ascii="Arial" w:cs="Arial" w:eastAsia="Arial" w:hAnsi="Arial"/>
                <w:sz w:val="17"/>
                <w:szCs w:val="17"/>
                <w:color w:val="auto"/>
              </w:rPr>
              <w:t>Depreciation and</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4,146</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16,584</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16,584</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16,583</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16,584</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16,584</w:t>
            </w:r>
          </w:p>
        </w:tc>
        <w:tc>
          <w:tcPr>
            <w:tcW w:w="0" w:type="dxa"/>
            <w:vAlign w:val="bottom"/>
          </w:tcPr>
          <w:p>
            <w:pPr>
              <w:spacing w:after="0"/>
              <w:rPr>
                <w:sz w:val="1"/>
                <w:szCs w:val="1"/>
                <w:color w:val="auto"/>
              </w:rPr>
            </w:pPr>
          </w:p>
        </w:tc>
      </w:tr>
      <w:tr>
        <w:trPr>
          <w:trHeight w:val="225"/>
        </w:trPr>
        <w:tc>
          <w:tcPr>
            <w:tcW w:w="266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amortization</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amortization expense</w:t>
            </w:r>
          </w:p>
        </w:tc>
        <w:tc>
          <w:tcPr>
            <w:tcW w:w="2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73,108</w:t>
            </w: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147,794</w:t>
            </w: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29,928</w:t>
            </w: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17,866</w:t>
            </w: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16,584</w:t>
            </w: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60" w:hanging="446"/>
        <w:spacing w:after="0"/>
        <w:tabs>
          <w:tab w:leader="none" w:pos="4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Post-Acquisition Financial Results</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summarizes the revenue and net income (loss) attributable to Vantage from the acquisition date, June 4, 2026, through September 30, 2026, as included in the Company’s Condensed Consolidated Statements of Operations. This is provided for informational purposes only and may not be indicative of future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8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180" w:type="dxa"/>
            <w:vAlign w:val="bottom"/>
            <w:tcBorders>
              <w:top w:val="single" w:sz="8" w:color="auto"/>
            </w:tcBorders>
            <w:shd w:val="clear" w:color="auto" w:fill="D8D8D8"/>
          </w:tcPr>
          <w:p>
            <w:pPr>
              <w:spacing w:after="0"/>
              <w:rPr>
                <w:sz w:val="15"/>
                <w:szCs w:val="15"/>
                <w:color w:val="auto"/>
              </w:rPr>
            </w:pPr>
          </w:p>
        </w:tc>
        <w:tc>
          <w:tcPr>
            <w:tcW w:w="2320" w:type="dxa"/>
            <w:vAlign w:val="bottom"/>
            <w:tcBorders>
              <w:top w:val="single" w:sz="8" w:color="auto"/>
            </w:tcBorders>
            <w:shd w:val="clear" w:color="auto" w:fill="D8D8D8"/>
          </w:tcPr>
          <w:p>
            <w:pPr>
              <w:jc w:val="right"/>
              <w:ind w:right="355"/>
              <w:spacing w:after="0" w:line="180" w:lineRule="exact"/>
              <w:rPr>
                <w:sz w:val="20"/>
                <w:szCs w:val="20"/>
                <w:color w:val="auto"/>
              </w:rPr>
            </w:pPr>
            <w:r>
              <w:rPr>
                <w:rFonts w:ascii="Arial" w:cs="Arial" w:eastAsia="Arial" w:hAnsi="Arial"/>
                <w:sz w:val="17"/>
                <w:szCs w:val="17"/>
                <w:b w:val="1"/>
                <w:bCs w:val="1"/>
                <w:color w:val="auto"/>
              </w:rPr>
              <w:t>Three Months Ended</w:t>
            </w:r>
          </w:p>
        </w:tc>
        <w:tc>
          <w:tcPr>
            <w:tcW w:w="2660" w:type="dxa"/>
            <w:vAlign w:val="bottom"/>
            <w:tcBorders>
              <w:top w:val="single" w:sz="8" w:color="auto"/>
            </w:tcBorders>
            <w:gridSpan w:val="2"/>
            <w:shd w:val="clear" w:color="auto" w:fill="D8D8D8"/>
          </w:tcPr>
          <w:p>
            <w:pPr>
              <w:jc w:val="right"/>
              <w:spacing w:after="0" w:line="180" w:lineRule="exact"/>
              <w:rPr>
                <w:sz w:val="20"/>
                <w:szCs w:val="20"/>
                <w:color w:val="auto"/>
              </w:rPr>
            </w:pPr>
            <w:r>
              <w:rPr>
                <w:rFonts w:ascii="Arial" w:cs="Arial" w:eastAsia="Arial" w:hAnsi="Arial"/>
                <w:sz w:val="17"/>
                <w:szCs w:val="17"/>
                <w:b w:val="1"/>
                <w:bCs w:val="1"/>
                <w:color w:val="auto"/>
              </w:rPr>
              <w:t>Nine Months Ended September</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auto"/>
            </w:tcBorders>
            <w:vMerge w:val="continue"/>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spacing w:after="0"/>
              <w:rPr>
                <w:sz w:val="19"/>
                <w:szCs w:val="19"/>
                <w:color w:val="auto"/>
              </w:rPr>
            </w:pPr>
          </w:p>
        </w:tc>
        <w:tc>
          <w:tcPr>
            <w:tcW w:w="2320" w:type="dxa"/>
            <w:vAlign w:val="bottom"/>
            <w:tcBorders>
              <w:bottom w:val="single" w:sz="8" w:color="auto"/>
            </w:tcBorders>
            <w:shd w:val="clear" w:color="auto" w:fill="D8D8D8"/>
          </w:tcPr>
          <w:p>
            <w:pPr>
              <w:jc w:val="right"/>
              <w:ind w:right="415"/>
              <w:spacing w:after="0"/>
              <w:rPr>
                <w:sz w:val="20"/>
                <w:szCs w:val="20"/>
                <w:color w:val="auto"/>
              </w:rPr>
            </w:pPr>
            <w:r>
              <w:rPr>
                <w:rFonts w:ascii="Arial" w:cs="Arial" w:eastAsia="Arial" w:hAnsi="Arial"/>
                <w:sz w:val="17"/>
                <w:szCs w:val="17"/>
                <w:b w:val="1"/>
                <w:bCs w:val="1"/>
                <w:color w:val="auto"/>
              </w:rPr>
              <w:t>September 30, 2026</w:t>
            </w:r>
          </w:p>
        </w:tc>
        <w:tc>
          <w:tcPr>
            <w:tcW w:w="580" w:type="dxa"/>
            <w:vAlign w:val="bottom"/>
            <w:tcBorders>
              <w:bottom w:val="single" w:sz="8" w:color="auto"/>
            </w:tcBorders>
            <w:shd w:val="clear" w:color="auto" w:fill="D8D8D8"/>
          </w:tcPr>
          <w:p>
            <w:pPr>
              <w:spacing w:after="0"/>
              <w:rPr>
                <w:sz w:val="19"/>
                <w:szCs w:val="19"/>
                <w:color w:val="auto"/>
              </w:rPr>
            </w:pPr>
          </w:p>
        </w:tc>
        <w:tc>
          <w:tcPr>
            <w:tcW w:w="2080" w:type="dxa"/>
            <w:vAlign w:val="bottom"/>
            <w:tcBorders>
              <w:bottom w:val="single" w:sz="8" w:color="auto"/>
            </w:tcBorders>
            <w:shd w:val="clear" w:color="auto" w:fill="D8D8D8"/>
          </w:tcPr>
          <w:p>
            <w:pPr>
              <w:jc w:val="right"/>
              <w:ind w:right="895"/>
              <w:spacing w:after="0"/>
              <w:rPr>
                <w:sz w:val="20"/>
                <w:szCs w:val="20"/>
                <w:color w:val="auto"/>
              </w:rPr>
            </w:pPr>
            <w:r>
              <w:rPr>
                <w:rFonts w:ascii="Arial" w:cs="Arial" w:eastAsia="Arial" w:hAnsi="Arial"/>
                <w:sz w:val="17"/>
                <w:szCs w:val="17"/>
                <w:b w:val="1"/>
                <w:bCs w:val="1"/>
                <w:color w:val="auto"/>
              </w:rPr>
              <w:t>30, 2026</w:t>
            </w:r>
          </w:p>
        </w:tc>
        <w:tc>
          <w:tcPr>
            <w:tcW w:w="0" w:type="dxa"/>
            <w:vAlign w:val="bottom"/>
          </w:tcPr>
          <w:p>
            <w:pPr>
              <w:spacing w:after="0"/>
              <w:rPr>
                <w:sz w:val="1"/>
                <w:szCs w:val="1"/>
                <w:color w:val="auto"/>
              </w:rPr>
            </w:pPr>
          </w:p>
        </w:tc>
      </w:tr>
      <w:tr>
        <w:trPr>
          <w:trHeight w:val="214"/>
        </w:trPr>
        <w:tc>
          <w:tcPr>
            <w:tcW w:w="50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357,529</w:t>
            </w:r>
          </w:p>
        </w:tc>
        <w:tc>
          <w:tcPr>
            <w:tcW w:w="58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470,670</w:t>
            </w:r>
          </w:p>
        </w:tc>
        <w:tc>
          <w:tcPr>
            <w:tcW w:w="0" w:type="dxa"/>
            <w:vAlign w:val="bottom"/>
          </w:tcPr>
          <w:p>
            <w:pPr>
              <w:spacing w:after="0"/>
              <w:rPr>
                <w:sz w:val="1"/>
                <w:szCs w:val="1"/>
                <w:color w:val="auto"/>
              </w:rPr>
            </w:pPr>
          </w:p>
        </w:tc>
      </w:tr>
      <w:tr>
        <w:trPr>
          <w:trHeight w:val="23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stockholders</w:t>
            </w:r>
          </w:p>
        </w:tc>
        <w:tc>
          <w:tcPr>
            <w:tcW w:w="1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55,727</w:t>
            </w:r>
          </w:p>
        </w:tc>
        <w:tc>
          <w:tcPr>
            <w:tcW w:w="5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39,997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Supplemental Pro Forma Information</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summarized pro forma consolidated income statement information assumes that the acquisition of Vantage occurred as of January 1, 2025. The pro forma amounts are for comparative purposes only, may not necessarily reflect the results of operations that would have resulted had the acquisition been completed at the beginning of the applicable period, and may not be indicative of future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40" w:type="dxa"/>
            <w:vAlign w:val="bottom"/>
            <w:tcBorders>
              <w:top w:val="single" w:sz="8" w:color="auto"/>
            </w:tcBorders>
            <w:shd w:val="clear" w:color="auto" w:fill="D8D8D8"/>
          </w:tcPr>
          <w:p>
            <w:pPr>
              <w:spacing w:after="0"/>
              <w:rPr>
                <w:sz w:val="21"/>
                <w:szCs w:val="21"/>
                <w:color w:val="auto"/>
              </w:rPr>
            </w:pPr>
          </w:p>
        </w:tc>
        <w:tc>
          <w:tcPr>
            <w:tcW w:w="300" w:type="dxa"/>
            <w:vAlign w:val="bottom"/>
            <w:tcBorders>
              <w:top w:val="single" w:sz="8" w:color="auto"/>
            </w:tcBorders>
            <w:shd w:val="clear" w:color="auto" w:fill="D8D8D8"/>
          </w:tcPr>
          <w:p>
            <w:pPr>
              <w:spacing w:after="0"/>
              <w:rPr>
                <w:sz w:val="21"/>
                <w:szCs w:val="21"/>
                <w:color w:val="auto"/>
              </w:rPr>
            </w:pPr>
          </w:p>
        </w:tc>
        <w:tc>
          <w:tcPr>
            <w:tcW w:w="3720" w:type="dxa"/>
            <w:vAlign w:val="bottom"/>
            <w:tcBorders>
              <w:top w:val="single" w:sz="8" w:color="auto"/>
            </w:tcBorders>
            <w:gridSpan w:val="4"/>
            <w:shd w:val="clear" w:color="auto" w:fill="D8D8D8"/>
          </w:tcPr>
          <w:p>
            <w:pPr>
              <w:ind w:left="20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Borders>
              <w:top w:val="single" w:sz="8" w:color="auto"/>
            </w:tcBorders>
            <w:shd w:val="clear" w:color="auto" w:fill="D8D8D8"/>
          </w:tcPr>
          <w:p>
            <w:pPr>
              <w:spacing w:after="0"/>
              <w:rPr>
                <w:sz w:val="21"/>
                <w:szCs w:val="21"/>
                <w:color w:val="auto"/>
              </w:rPr>
            </w:pPr>
          </w:p>
        </w:tc>
        <w:tc>
          <w:tcPr>
            <w:tcW w:w="3580" w:type="dxa"/>
            <w:vAlign w:val="bottom"/>
            <w:tcBorders>
              <w:top w:val="single" w:sz="8" w:color="auto"/>
            </w:tcBorders>
            <w:gridSpan w:val="3"/>
            <w:shd w:val="clear" w:color="auto" w:fill="D8D8D8"/>
          </w:tcPr>
          <w:p>
            <w:pPr>
              <w:jc w:val="right"/>
              <w:ind w:right="475"/>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24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top w:val="single" w:sz="8" w:color="auto"/>
              <w:bottom w:val="single" w:sz="8" w:color="auto"/>
            </w:tcBorders>
            <w:shd w:val="clear" w:color="auto" w:fill="D8D8D8"/>
          </w:tcPr>
          <w:p>
            <w:pPr>
              <w:spacing w:after="0"/>
              <w:rPr>
                <w:sz w:val="19"/>
                <w:szCs w:val="19"/>
                <w:color w:val="auto"/>
              </w:rPr>
            </w:pPr>
          </w:p>
        </w:tc>
        <w:tc>
          <w:tcPr>
            <w:tcW w:w="1660" w:type="dxa"/>
            <w:vAlign w:val="bottom"/>
            <w:tcBorders>
              <w:top w:val="single" w:sz="8" w:color="auto"/>
              <w:bottom w:val="single" w:sz="8" w:color="auto"/>
            </w:tcBorders>
            <w:shd w:val="clear" w:color="auto" w:fill="D8D8D8"/>
          </w:tcPr>
          <w:p>
            <w:pPr>
              <w:jc w:val="right"/>
              <w:ind w:right="735"/>
              <w:spacing w:after="0"/>
              <w:rPr>
                <w:sz w:val="20"/>
                <w:szCs w:val="20"/>
                <w:color w:val="auto"/>
              </w:rPr>
            </w:pPr>
            <w:r>
              <w:rPr>
                <w:rFonts w:ascii="Arial" w:cs="Arial" w:eastAsia="Arial" w:hAnsi="Arial"/>
                <w:sz w:val="17"/>
                <w:szCs w:val="17"/>
                <w:b w:val="1"/>
                <w:bCs w:val="1"/>
                <w:color w:val="auto"/>
              </w:rPr>
              <w:t>2026</w:t>
            </w:r>
          </w:p>
        </w:tc>
        <w:tc>
          <w:tcPr>
            <w:tcW w:w="480" w:type="dxa"/>
            <w:vAlign w:val="bottom"/>
            <w:tcBorders>
              <w:top w:val="single" w:sz="8" w:color="auto"/>
              <w:bottom w:val="single" w:sz="8" w:color="auto"/>
            </w:tcBorders>
            <w:shd w:val="clear" w:color="auto" w:fill="D8D8D8"/>
          </w:tcPr>
          <w:p>
            <w:pPr>
              <w:spacing w:after="0"/>
              <w:rPr>
                <w:sz w:val="19"/>
                <w:szCs w:val="19"/>
                <w:color w:val="auto"/>
              </w:rPr>
            </w:pPr>
          </w:p>
        </w:tc>
        <w:tc>
          <w:tcPr>
            <w:tcW w:w="1480" w:type="dxa"/>
            <w:vAlign w:val="bottom"/>
            <w:tcBorders>
              <w:top w:val="single" w:sz="8" w:color="auto"/>
              <w:bottom w:val="single" w:sz="8" w:color="auto"/>
            </w:tcBorders>
            <w:shd w:val="clear" w:color="auto" w:fill="D8D8D8"/>
          </w:tcPr>
          <w:p>
            <w:pPr>
              <w:jc w:val="right"/>
              <w:ind w:right="675"/>
              <w:spacing w:after="0"/>
              <w:rPr>
                <w:sz w:val="20"/>
                <w:szCs w:val="20"/>
                <w:color w:val="auto"/>
              </w:rPr>
            </w:pPr>
            <w:r>
              <w:rPr>
                <w:rFonts w:ascii="Arial" w:cs="Arial" w:eastAsia="Arial" w:hAnsi="Arial"/>
                <w:sz w:val="17"/>
                <w:szCs w:val="17"/>
                <w:color w:val="auto"/>
              </w:rPr>
              <w:t>2025</w:t>
            </w:r>
          </w:p>
        </w:tc>
        <w:tc>
          <w:tcPr>
            <w:tcW w:w="100" w:type="dxa"/>
            <w:vAlign w:val="bottom"/>
            <w:tcBorders>
              <w:top w:val="single" w:sz="8" w:color="D8D8D8"/>
              <w:bottom w:val="single" w:sz="8" w:color="auto"/>
            </w:tcBorders>
            <w:shd w:val="clear" w:color="auto" w:fill="D8D8D8"/>
          </w:tcPr>
          <w:p>
            <w:pPr>
              <w:spacing w:after="0"/>
              <w:rPr>
                <w:sz w:val="19"/>
                <w:szCs w:val="19"/>
                <w:color w:val="auto"/>
              </w:rPr>
            </w:pPr>
          </w:p>
        </w:tc>
        <w:tc>
          <w:tcPr>
            <w:tcW w:w="340" w:type="dxa"/>
            <w:vAlign w:val="bottom"/>
            <w:tcBorders>
              <w:top w:val="single" w:sz="8" w:color="auto"/>
              <w:bottom w:val="single" w:sz="8" w:color="auto"/>
            </w:tcBorders>
            <w:shd w:val="clear" w:color="auto" w:fill="D8D8D8"/>
          </w:tcPr>
          <w:p>
            <w:pPr>
              <w:spacing w:after="0"/>
              <w:rPr>
                <w:sz w:val="19"/>
                <w:szCs w:val="19"/>
                <w:color w:val="auto"/>
              </w:rPr>
            </w:pPr>
          </w:p>
        </w:tc>
        <w:tc>
          <w:tcPr>
            <w:tcW w:w="1600" w:type="dxa"/>
            <w:vAlign w:val="bottom"/>
            <w:tcBorders>
              <w:top w:val="single" w:sz="8" w:color="auto"/>
              <w:bottom w:val="single" w:sz="8" w:color="auto"/>
            </w:tcBorders>
            <w:shd w:val="clear" w:color="auto" w:fill="D8D8D8"/>
          </w:tcPr>
          <w:p>
            <w:pPr>
              <w:jc w:val="right"/>
              <w:ind w:right="715"/>
              <w:spacing w:after="0"/>
              <w:rPr>
                <w:sz w:val="20"/>
                <w:szCs w:val="20"/>
                <w:color w:val="auto"/>
              </w:rPr>
            </w:pPr>
            <w:r>
              <w:rPr>
                <w:rFonts w:ascii="Arial" w:cs="Arial" w:eastAsia="Arial" w:hAnsi="Arial"/>
                <w:sz w:val="17"/>
                <w:szCs w:val="17"/>
                <w:b w:val="1"/>
                <w:bCs w:val="1"/>
                <w:color w:val="auto"/>
              </w:rPr>
              <w:t>2026</w:t>
            </w:r>
          </w:p>
        </w:tc>
        <w:tc>
          <w:tcPr>
            <w:tcW w:w="500" w:type="dxa"/>
            <w:vAlign w:val="bottom"/>
            <w:tcBorders>
              <w:top w:val="single" w:sz="8" w:color="auto"/>
              <w:bottom w:val="single" w:sz="8" w:color="auto"/>
            </w:tcBorders>
            <w:shd w:val="clear" w:color="auto" w:fill="D8D8D8"/>
          </w:tcPr>
          <w:p>
            <w:pPr>
              <w:spacing w:after="0"/>
              <w:rPr>
                <w:sz w:val="19"/>
                <w:szCs w:val="19"/>
                <w:color w:val="auto"/>
              </w:rPr>
            </w:pPr>
          </w:p>
        </w:tc>
        <w:tc>
          <w:tcPr>
            <w:tcW w:w="1480" w:type="dxa"/>
            <w:vAlign w:val="bottom"/>
            <w:tcBorders>
              <w:top w:val="single" w:sz="8" w:color="auto"/>
              <w:bottom w:val="single" w:sz="8" w:color="auto"/>
            </w:tcBorders>
            <w:shd w:val="clear" w:color="auto" w:fill="D8D8D8"/>
          </w:tcPr>
          <w:p>
            <w:pPr>
              <w:jc w:val="right"/>
              <w:ind w:right="67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324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660" w:type="dxa"/>
            <w:vAlign w:val="bottom"/>
          </w:tcPr>
          <w:p>
            <w:pPr>
              <w:jc w:val="right"/>
              <w:ind w:right="35"/>
              <w:spacing w:after="0"/>
              <w:rPr>
                <w:sz w:val="20"/>
                <w:szCs w:val="20"/>
                <w:color w:val="auto"/>
              </w:rPr>
            </w:pPr>
            <w:r>
              <w:rPr>
                <w:rFonts w:ascii="Arial" w:cs="Arial" w:eastAsia="Arial" w:hAnsi="Arial"/>
                <w:sz w:val="17"/>
                <w:szCs w:val="17"/>
                <w:b w:val="1"/>
                <w:bCs w:val="1"/>
                <w:color w:val="auto"/>
              </w:rPr>
              <w:t>636,296</w:t>
            </w:r>
          </w:p>
        </w:tc>
        <w:tc>
          <w:tcPr>
            <w:tcW w:w="48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702,791</w:t>
            </w:r>
          </w:p>
        </w:tc>
        <w:tc>
          <w:tcPr>
            <w:tcW w:w="10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600" w:type="dxa"/>
            <w:vAlign w:val="bottom"/>
          </w:tcPr>
          <w:p>
            <w:pPr>
              <w:jc w:val="right"/>
              <w:ind w:right="15"/>
              <w:spacing w:after="0"/>
              <w:rPr>
                <w:sz w:val="20"/>
                <w:szCs w:val="20"/>
                <w:color w:val="auto"/>
              </w:rPr>
            </w:pPr>
            <w:r>
              <w:rPr>
                <w:rFonts w:ascii="Arial" w:cs="Arial" w:eastAsia="Arial" w:hAnsi="Arial"/>
                <w:sz w:val="17"/>
                <w:szCs w:val="17"/>
                <w:b w:val="1"/>
                <w:bCs w:val="1"/>
                <w:color w:val="auto"/>
              </w:rPr>
              <w:t>2,576,876</w:t>
            </w:r>
          </w:p>
        </w:tc>
        <w:tc>
          <w:tcPr>
            <w:tcW w:w="50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1,682,134</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7"/>
                <w:szCs w:val="17"/>
                <w:color w:val="auto"/>
              </w:rPr>
              <w:t>Net income (loss) attributable to common</w:t>
            </w:r>
          </w:p>
        </w:tc>
        <w:tc>
          <w:tcPr>
            <w:tcW w:w="3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(1,087)</w:t>
            </w:r>
          </w:p>
        </w:tc>
        <w:tc>
          <w:tcPr>
            <w:tcW w:w="4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146,320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237,645</w:t>
            </w:r>
          </w:p>
        </w:tc>
        <w:tc>
          <w:tcPr>
            <w:tcW w:w="5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111,851</w:t>
            </w:r>
          </w:p>
        </w:tc>
        <w:tc>
          <w:tcPr>
            <w:tcW w:w="0" w:type="dxa"/>
            <w:vAlign w:val="bottom"/>
          </w:tcPr>
          <w:p>
            <w:pPr>
              <w:spacing w:after="0"/>
              <w:rPr>
                <w:sz w:val="1"/>
                <w:szCs w:val="1"/>
                <w:color w:val="auto"/>
              </w:rPr>
            </w:pPr>
          </w:p>
        </w:tc>
      </w:tr>
      <w:tr>
        <w:trPr>
          <w:trHeight w:val="22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stockholders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pro forma results include amortization of the fair value adjustments related to VOBA, identifiable finite-lived intangible assets, and reserves for claims and claim expenses, net of the related tax impacts. The pro forma adjustments include estimates and assumptions based on currently available information, which management believes are reasonable.</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3. 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Pershing Square is considered a related party due to its ownership interest in the Company and its representation on the Company’s Board of Directors. The following disclosures summarize the material transactions and arrangements between the Company and Pershing Square during the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Series A Non-voting Exchangeable Perpetual Preferred Stock Issuance to Pershing Square</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June 4, 2026, in connection with the Vantage Acquisition, the Company entered into a Subscription Agreement, pursuant to which it issued and sold 140,000 shares of Series A Preferred Stock with a par value of $0.01 per share to an affiliate of Pershing Square for $1.0 billion in a private placement. Net proceeds from the issuance were used to fund a portion of the Vantage Acquisition consideration and to provide additional capital to Vantage for working capital and general corporate purposes.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Preferred Stock Authorized </w:t>
      </w:r>
      <w:r>
        <w:rPr>
          <w:rFonts w:ascii="Arial" w:cs="Arial" w:eastAsia="Arial" w:hAnsi="Arial"/>
          <w:sz w:val="17"/>
          <w:szCs w:val="17"/>
          <w:color w:val="auto"/>
        </w:rPr>
        <w:t>The Company's charter authorizes 50,000,000 shares of preferred stock issuable in one or more series. The Series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was issued out of this authorized amount in 14 economically identical tranches of 10,000 shares each. The remaining authorized preferred shares are undesignated and unissued.</w:t>
      </w:r>
    </w:p>
    <w:p>
      <w:pPr>
        <w:spacing w:after="0" w:line="20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i w:val="1"/>
          <w:iCs w:val="1"/>
          <w:color w:val="auto"/>
        </w:rPr>
        <w:t xml:space="preserve">Ranking and Voting Rights </w:t>
      </w:r>
      <w:r>
        <w:rPr>
          <w:rFonts w:ascii="Arial" w:cs="Arial" w:eastAsia="Arial" w:hAnsi="Arial"/>
          <w:sz w:val="17"/>
          <w:szCs w:val="17"/>
          <w:color w:val="auto"/>
        </w:rPr>
        <w:t>The Series A Preferred Stock is non-voting, other than customary protective provisions, and ranks pari passu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common stock with respect to payment rights and liquidation.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Series A Preferred Stock is entitled to dividends only if declared by the majority of disinterested directors of the Board, and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declared, such dividends will be paid out of the assets of the Company legally available for the payment of dividends. Such declared dividends may not exceed the pro rata cash dividends or distributions actually received by the Company from Vantage. As such, the dividends are discretionary and noncumulative.</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6"/>
        <w:spacing w:after="0"/>
        <w:tabs>
          <w:tab w:leader="none" w:pos="49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23" w:name="page24"/>
    <w:bookmarkEnd w:id="23"/>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Exchange Right </w:t>
      </w:r>
      <w:r>
        <w:rPr>
          <w:rFonts w:ascii="Arial" w:cs="Arial" w:eastAsia="Arial" w:hAnsi="Arial"/>
          <w:sz w:val="17"/>
          <w:szCs w:val="17"/>
          <w:color w:val="auto"/>
        </w:rPr>
        <w:t>Within 60 days following (i) the end of the seventh fiscal year following the original issue date of the Series A Preferred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December 31, 2032, and (ii) the end of each subsequent fiscal year, a holder of Series A Preferred Stock may exchange, in full-tranche increments, a number of shares of Series A Preferred Stock that exceeds 10% of its shares of Series A Preferred Stock, without the payment of additional consideration, into a number of common equity interests of Vantage (Vantage Units) as determined by an exchange ratio outlined in the governing agreements. The holders of the Series A Preferred Stock may not acquire, in the aggregate, more than 49% of Vantage Units without approval of a majority of the disinterested directors. To the extent an exchange is blocked by this ownership cap, the Company must instead repurchase the excess shares on Call Option terms as described below.</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i w:val="1"/>
          <w:iCs w:val="1"/>
          <w:color w:val="auto"/>
        </w:rPr>
        <w:t xml:space="preserve">Call Option </w:t>
      </w:r>
      <w:r>
        <w:rPr>
          <w:rFonts w:ascii="Arial" w:cs="Arial" w:eastAsia="Arial" w:hAnsi="Arial"/>
          <w:sz w:val="17"/>
          <w:szCs w:val="17"/>
          <w:color w:val="auto"/>
        </w:rPr>
        <w:t>During the period between 60 and 90 days following the end of each of the first seven fiscal years following the original issue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beginning with the fiscal year ending December 31, 2026, or as may be mutually agreed by the Company and holders representing the majority of the Series A Preferred Stock then-outstanding, the Company shall have the right, but not the obligation, to repurchase the Series A Preferred Stock in one or more full tranches (Call Option), including up to all outstanding Series A Preferred Stock. The repurchase price for each share of Series A Preferred Stock shall be equal to the greater of (i) the original issue price of the Series A Preferred Stock of $7,142.86, plus interest, compounded daily, at 4% per annum from the issuance date through the repurchase date and (ii) 1.5 times the book value of Vantage, excluding noncontrolling interest and acquisition-related goodwill and intangible assets, multiplied by the corresponding ownership percentage of Vantage represented by such share of Series A Preferred Stock, on an as-exchanged basis.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Contingent Repurchase Offer </w:t>
      </w:r>
      <w:r>
        <w:rPr>
          <w:rFonts w:ascii="Arial" w:cs="Arial" w:eastAsia="Arial" w:hAnsi="Arial"/>
          <w:sz w:val="17"/>
          <w:szCs w:val="17"/>
          <w:color w:val="auto"/>
        </w:rPr>
        <w:t>The Company is required to offer to repurchase all outstanding shares of Series A Preferred Stock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occurrence of certain specified events outside of the Company’s control, including (i) certain reorganization or change-of-control transactions, (ii) sale of all or substantially all of the assets or business of the Company, or (iii) specified uncured material breaches of the governing agreements. The repurchase price for each share of Series A Preferred Stock shall be cash consideration in an amount equal to the greater of (i) the amount that such holder of Series A Preferred Stock would have been entitled to receive under the Call Option and (ii) if the event triggering the repurchase offer is a direct or indirect transfer of equity in Vantage, the amount that such holder would have received in such transaction if it had exchanged its Series A Preferred Stock into Vantage Units.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i w:val="1"/>
          <w:iCs w:val="1"/>
          <w:color w:val="auto"/>
        </w:rPr>
        <w:t xml:space="preserve">Defaulted Repurchase Dividend </w:t>
      </w:r>
      <w:r>
        <w:rPr>
          <w:rFonts w:ascii="Arial" w:cs="Arial" w:eastAsia="Arial" w:hAnsi="Arial"/>
          <w:sz w:val="17"/>
          <w:szCs w:val="17"/>
          <w:color w:val="auto"/>
        </w:rPr>
        <w:t>If all shares of Series A Preferred Stock are not repurchased in full when required (Repurchase Date),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beginning on the Repurchase Date and continuing until such shares are fully repurchased and the aggregate repurchase price is paid in full, the non-repurchased shares of Series A Preferred Stock shall remain outstanding and continue to have the same rights, preferences and privileges specified in the governing agreements and shall bear a dividend of 10% of the original issue price per annum (Defaulted Repurchase Dividend), to the extent permitted under applicable law. During such time, the Company is not permitted to declare or pay any distributions, dividends, redemptions or otherwise make funds available in respect of securities that rank pari passu or junior to the Series A Preferred Stock, and is required to use commercially reasonable efforts to generate sufficient funds to repurchase the remaining shares of Series A Preferred Stock in full, to the extent permitted under applicable law.</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Protective Provisions and Registration Rights Agreement </w:t>
      </w:r>
      <w:r>
        <w:rPr>
          <w:rFonts w:ascii="Arial" w:cs="Arial" w:eastAsia="Arial" w:hAnsi="Arial"/>
          <w:sz w:val="17"/>
          <w:szCs w:val="17"/>
          <w:color w:val="auto"/>
        </w:rPr>
        <w:t>The governing documents also include customary protective provisions,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preemptive rights with respect to future issuances of equity interests of Vantage and approval rights over specified actions that could materially adversely affect the holders of the Series A Preferred Stock. In addition, the parties entered into a Registration Rights Agreement providing customary registration rights with respect to securities issuable upon exchange of the Series A Preferred Stock.</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Financial Statement Impacts </w:t>
      </w:r>
      <w:r>
        <w:rPr>
          <w:rFonts w:ascii="Arial" w:cs="Arial" w:eastAsia="Arial" w:hAnsi="Arial"/>
          <w:sz w:val="17"/>
          <w:szCs w:val="17"/>
          <w:color w:val="auto"/>
        </w:rPr>
        <w:t>As the Series A Preferred Stock is redeemable for cash upon the occurrence of specified contingent redemption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events mentioned above that are outside of the Company’s control, the Series A Preferred Stock is classified as mezzanine equity in the Condensed Consolidated Balance Sheets. The Series A Preferred Stock was recorded at $995.7 million, which represents the issuance-date fair value (gross proceeds) of $1.0 billion, less $4.3 million of direct issuance costs. The direct issuance costs relate to reasonable and documented expenses incurred by Pershing Square in connection with the issuance that HHH agreed to reimburse.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2026, no specified redemption events have occurred and the Series A Preferred Stock is not redeemable as of this date. As the specified redemption events are outside of the Company’s control and are not considered probable until consummated, the Series A Preferred Stock does not require subsequent remeasurement to its redeemable value. The Company will continue to assess, at each reporting date, whether the Preferred Stock has become currently redeemable or probable of becoming redeemable.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6"/>
        <w:spacing w:after="0"/>
        <w:tabs>
          <w:tab w:leader="none" w:pos="4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also assessed the above features to determine whether any features are required to be bifurcated and separately accounted for as an embedded feature. The Company concluded that the Defaulted Repurchase Dividend feature meets all the requirements to be separately accounted for as a bifurcated derivative. As a result, the Company bifurcated the Series A Preferred Stock between (i) the host contract which is accounted for within mezzanine equity as described above, and (ii) the bifurcated derivative related to the Defaulted Repurchase Dividend feature. As the Company believes the initial probability of triggering this feature is de minimis, the embedded feature has no value upon issuance or as of September 30, 2026.</w:t>
      </w: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Common Share Issuance to Pershing Square </w:t>
      </w:r>
      <w:r>
        <w:rPr>
          <w:rFonts w:ascii="Arial" w:cs="Arial" w:eastAsia="Arial" w:hAnsi="Arial"/>
          <w:sz w:val="17"/>
          <w:szCs w:val="17"/>
          <w:color w:val="000000"/>
        </w:rPr>
        <w:t>On May 5, 2025, the Company entered into a Share Purchase Agreement (Purchase Agreement),</w:t>
      </w:r>
      <w:r>
        <w:rPr>
          <w:rFonts w:ascii="Arial" w:cs="Arial" w:eastAsia="Arial" w:hAnsi="Arial"/>
          <w:sz w:val="17"/>
          <w:szCs w:val="17"/>
          <w:b w:val="1"/>
          <w:bCs w:val="1"/>
          <w:color w:val="00497F"/>
        </w:rPr>
        <w:t xml:space="preserve"> </w:t>
      </w:r>
      <w:r>
        <w:rPr>
          <w:rFonts w:ascii="Arial" w:cs="Arial" w:eastAsia="Arial" w:hAnsi="Arial"/>
          <w:sz w:val="17"/>
          <w:szCs w:val="17"/>
          <w:color w:val="000000"/>
        </w:rPr>
        <w:t>by and between the Company and Pershing Square Holdco, L.P. (PS Holdco), pursuant to which the Company sold to PS Holdco 9,000,000 newly issued shares of the Company’s common stock at a purchase price of $100 per share, for an aggregate purchase price of $900 million (the Pershing Square Issuance). In connection with the Purchase Agreement, the Company also entered into several other agreements, dated May 5, 2025, with PS Holdco and Pershing Square Capital Management, L.P. (together, Pershing Square), including a Services Agreement. The Company used the proceeds from the Pershing Square Issuance, along with additional sources, to complete the acquisition of Vantage in the second quarter of 2026.</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2026, Pershing Square beneficially owned approximately 46.6% of the Company’s outstanding shares of common stock.</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00497F"/>
        </w:rPr>
        <w:t xml:space="preserve">Services Agreement </w:t>
      </w:r>
      <w:r>
        <w:rPr>
          <w:rFonts w:ascii="Arial" w:cs="Arial" w:eastAsia="Arial" w:hAnsi="Arial"/>
          <w:sz w:val="17"/>
          <w:szCs w:val="17"/>
          <w:color w:val="000000"/>
        </w:rPr>
        <w:t>Pursuant to the terms of the Services Agreement, dated May 5, 2025, Pershing Square supports the Company’s diversified</w:t>
      </w:r>
      <w:r>
        <w:rPr>
          <w:rFonts w:ascii="Arial" w:cs="Arial" w:eastAsia="Arial" w:hAnsi="Arial"/>
          <w:sz w:val="17"/>
          <w:szCs w:val="17"/>
          <w:b w:val="1"/>
          <w:bCs w:val="1"/>
          <w:color w:val="00497F"/>
        </w:rPr>
        <w:t xml:space="preserve"> </w:t>
      </w:r>
      <w:r>
        <w:rPr>
          <w:rFonts w:ascii="Arial" w:cs="Arial" w:eastAsia="Arial" w:hAnsi="Arial"/>
          <w:sz w:val="17"/>
          <w:szCs w:val="17"/>
          <w:color w:val="000000"/>
        </w:rPr>
        <w:t>holding company strategy by providing services to the Company, such as (i) investment advisory services, (ii) making recommendations with respect to hedging, balance sheet optimization and capital allocation, (iii) executing transactions, (iv) assisting the Company with business and corporate development functions, (v) making voting recommendations for the Company’s investments, (vi) assisting with and advising on fundraising, (vii) monitoring operations of the Company and its investments, subject to the day-to-day authority and responsibility of management of the Company,</w:t>
      </w:r>
    </w:p>
    <w:p>
      <w:pPr>
        <w:spacing w:after="0" w:line="4" w:lineRule="exact"/>
        <w:rPr>
          <w:sz w:val="20"/>
          <w:szCs w:val="20"/>
          <w:color w:val="auto"/>
        </w:rPr>
      </w:pPr>
    </w:p>
    <w:p>
      <w:pPr>
        <w:jc w:val="both"/>
        <w:ind w:right="20" w:firstLine="8"/>
        <w:spacing w:after="0" w:line="256" w:lineRule="auto"/>
        <w:tabs>
          <w:tab w:leader="none" w:pos="3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providing recommendations for persons to serve as designees or deputies of the Chief Investment Officer, (ix) engaging and supervising third-party service providers, (x) making dividend payment recommendations, and (xi) providing other services as may be agreed upon. The Services Agreement has an initial ten-year term and will have successive renewal terms of ten years.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 quarterly basis, the Company pays Pershing Square a base advisory fee and a variable advisory fee equal to a percentage of the excess value of the quarter-end stock price of the Company’s common stock minus a reference price, multiplied by the existing share count as of the transaction date, which will not increase with the issuance of new shares of common stock. The base fee and the reference share price are subject to annual adjustment based on the Core Personal Consumption Expenditures (PCE) Price Index. The total advisory fees recognized in General and administrative expenses in the Condensed Consolidated Statements of Operations were $3.8 million for the three months ended September 30, 2026, and $11.4 million for the nine months ended September 30, 2026, compared to $7.1 million for the three months ended September 30, 2025 and $10.0 million for the nine months ended September 30, 2025. As of September 30, 2026, the Company had no payable amounts due to Pershing Square.</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Upon consummation of the Vantage Acquisition, certain acquired subsidiaries entered into investment management agreements with Pershing Square, dated June 4, 2026, pursuant to which Pershing Square will act as investment manager of Vantage’s general account and other investment portfolios. As long as the Services Agreement remains in effect, none of the acquired subsidiaries will pay any additional investment management or advisory fees under the separate investment management agreements.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4. Investments in Fixed Maturity and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On June 4, 2026, the Company acquired $2.6 billion of fixed maturity securities in connection with the Vantage Acquisition. See Note 2 - </w:t>
      </w:r>
      <w:r>
        <w:rPr>
          <w:rFonts w:ascii="Arial" w:cs="Arial" w:eastAsia="Arial" w:hAnsi="Arial"/>
          <w:sz w:val="17"/>
          <w:szCs w:val="17"/>
          <w:i w:val="1"/>
          <w:iCs w:val="1"/>
          <w:color w:val="auto"/>
        </w:rPr>
        <w:t>Vantage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Acquisition </w:t>
      </w:r>
      <w:r>
        <w:rPr>
          <w:rFonts w:ascii="Arial" w:cs="Arial" w:eastAsia="Arial" w:hAnsi="Arial"/>
          <w:sz w:val="17"/>
          <w:szCs w:val="17"/>
          <w:color w:val="auto"/>
        </w:rPr>
        <w:t>for additional information. Following the acquisition, the Company divested a significant portion of its available-for-sale fixed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to implement its strategy to reposition Vantage’s investment portfolio to include cash, short-term U.S. Treasury securities, and publicly traded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Investments in Equity Securities </w:t>
      </w:r>
      <w:r>
        <w:rPr>
          <w:rFonts w:ascii="Arial" w:cs="Arial" w:eastAsia="Arial" w:hAnsi="Arial"/>
          <w:sz w:val="17"/>
          <w:szCs w:val="17"/>
          <w:color w:val="000000"/>
        </w:rPr>
        <w:t>The following table summarizes the Company’s equity securities as of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540" w:type="dxa"/>
            <w:vAlign w:val="bottom"/>
            <w:tcBorders>
              <w:top w:val="single" w:sz="8" w:color="auto"/>
            </w:tcBorders>
            <w:shd w:val="clear" w:color="auto" w:fill="DBDBDB"/>
          </w:tcPr>
          <w:p>
            <w:pPr>
              <w:spacing w:after="0"/>
              <w:rPr>
                <w:sz w:val="15"/>
                <w:szCs w:val="15"/>
                <w:color w:val="auto"/>
              </w:rPr>
            </w:pPr>
          </w:p>
        </w:tc>
        <w:tc>
          <w:tcPr>
            <w:tcW w:w="1480" w:type="dxa"/>
            <w:vAlign w:val="bottom"/>
            <w:tcBorders>
              <w:top w:val="single" w:sz="8" w:color="auto"/>
            </w:tcBorders>
            <w:vMerge w:val="restart"/>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Cost Basis</w:t>
            </w:r>
          </w:p>
        </w:tc>
        <w:tc>
          <w:tcPr>
            <w:tcW w:w="1900" w:type="dxa"/>
            <w:vAlign w:val="bottom"/>
            <w:tcBorders>
              <w:top w:val="single" w:sz="8" w:color="auto"/>
            </w:tcBorders>
            <w:gridSpan w:val="2"/>
            <w:shd w:val="clear" w:color="auto" w:fill="DBDBDB"/>
          </w:tcPr>
          <w:p>
            <w:pPr>
              <w:jc w:val="right"/>
              <w:spacing w:after="0" w:line="176" w:lineRule="exact"/>
              <w:rPr>
                <w:sz w:val="20"/>
                <w:szCs w:val="20"/>
                <w:color w:val="auto"/>
              </w:rPr>
            </w:pPr>
            <w:r>
              <w:rPr>
                <w:rFonts w:ascii="Arial" w:cs="Arial" w:eastAsia="Arial" w:hAnsi="Arial"/>
                <w:sz w:val="17"/>
                <w:szCs w:val="17"/>
                <w:b w:val="1"/>
                <w:bCs w:val="1"/>
                <w:color w:val="auto"/>
              </w:rPr>
              <w:t>Net Unrealized Gains</w:t>
            </w:r>
          </w:p>
        </w:tc>
        <w:tc>
          <w:tcPr>
            <w:tcW w:w="240" w:type="dxa"/>
            <w:vAlign w:val="bottom"/>
            <w:tcBorders>
              <w:top w:val="single" w:sz="8" w:color="auto"/>
            </w:tcBorders>
            <w:shd w:val="clear" w:color="auto" w:fill="DBDBDB"/>
          </w:tcPr>
          <w:p>
            <w:pPr>
              <w:spacing w:after="0"/>
              <w:rPr>
                <w:sz w:val="15"/>
                <w:szCs w:val="15"/>
                <w:color w:val="auto"/>
              </w:rPr>
            </w:pPr>
          </w:p>
        </w:tc>
        <w:tc>
          <w:tcPr>
            <w:tcW w:w="1300" w:type="dxa"/>
            <w:vAlign w:val="bottom"/>
            <w:tcBorders>
              <w:top w:val="single" w:sz="8" w:color="auto"/>
            </w:tcBorders>
            <w:vMerge w:val="restart"/>
            <w:shd w:val="clear" w:color="auto" w:fill="DBDBDB"/>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vMerge w:val="continue"/>
            <w:shd w:val="clear" w:color="auto" w:fill="DBDBDB"/>
          </w:tcPr>
          <w:p>
            <w:pPr>
              <w:spacing w:after="0"/>
              <w:rPr>
                <w:sz w:val="19"/>
                <w:szCs w:val="19"/>
                <w:color w:val="auto"/>
              </w:rPr>
            </w:pPr>
          </w:p>
        </w:tc>
        <w:tc>
          <w:tcPr>
            <w:tcW w:w="254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vMerge w:val="continue"/>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ind w:right="495"/>
              <w:spacing w:after="0"/>
              <w:rPr>
                <w:sz w:val="20"/>
                <w:szCs w:val="20"/>
                <w:color w:val="auto"/>
              </w:rPr>
            </w:pPr>
            <w:r>
              <w:rPr>
                <w:rFonts w:ascii="Arial" w:cs="Arial" w:eastAsia="Arial" w:hAnsi="Arial"/>
                <w:sz w:val="17"/>
                <w:szCs w:val="17"/>
                <w:b w:val="1"/>
                <w:bCs w:val="1"/>
                <w:color w:val="auto"/>
              </w:rPr>
              <w:t>(Losses)</w:t>
            </w:r>
          </w:p>
        </w:tc>
        <w:tc>
          <w:tcPr>
            <w:tcW w:w="2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80" w:type="dxa"/>
            <w:vAlign w:val="bottom"/>
          </w:tcPr>
          <w:p>
            <w:pPr>
              <w:ind w:left="20"/>
              <w:spacing w:after="0"/>
              <w:rPr>
                <w:sz w:val="20"/>
                <w:szCs w:val="20"/>
                <w:color w:val="auto"/>
              </w:rPr>
            </w:pPr>
            <w:r>
              <w:rPr>
                <w:rFonts w:ascii="Arial" w:cs="Arial" w:eastAsia="Arial" w:hAnsi="Arial"/>
                <w:sz w:val="17"/>
                <w:szCs w:val="17"/>
                <w:color w:val="auto"/>
              </w:rPr>
              <w:t>Communications</w:t>
            </w:r>
          </w:p>
        </w:tc>
        <w:tc>
          <w:tcPr>
            <w:tcW w:w="25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538,195</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21,511</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559,706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Arial" w:cs="Arial" w:eastAsia="Arial" w:hAnsi="Arial"/>
                <w:sz w:val="17"/>
                <w:szCs w:val="17"/>
                <w:color w:val="auto"/>
              </w:rPr>
              <w:t>Consumer products</w:t>
            </w:r>
          </w:p>
        </w:tc>
        <w:tc>
          <w:tcPr>
            <w:tcW w:w="25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305,848</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(9,825)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296,023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7"/>
                <w:szCs w:val="17"/>
                <w:color w:val="auto"/>
              </w:rPr>
              <w:t>Financial</w:t>
            </w:r>
          </w:p>
        </w:tc>
        <w:tc>
          <w:tcPr>
            <w:tcW w:w="25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275,035</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(22,653)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252,382</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Technology</w:t>
            </w:r>
          </w:p>
        </w:tc>
        <w:tc>
          <w:tcPr>
            <w:tcW w:w="2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124,998</w:t>
            </w: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30,412</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155,410</w:t>
            </w:r>
          </w:p>
        </w:tc>
        <w:tc>
          <w:tcPr>
            <w:tcW w:w="0" w:type="dxa"/>
            <w:vAlign w:val="bottom"/>
          </w:tcPr>
          <w:p>
            <w:pPr>
              <w:spacing w:after="0"/>
              <w:rPr>
                <w:sz w:val="1"/>
                <w:szCs w:val="1"/>
                <w:color w:val="auto"/>
              </w:rPr>
            </w:pPr>
          </w:p>
        </w:tc>
      </w:tr>
      <w:tr>
        <w:trPr>
          <w:trHeight w:val="227"/>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5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1,244,076</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19,445</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1,263,521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Investments in Fixed Maturity Securities</w:t>
      </w:r>
    </w:p>
    <w:p>
      <w:pPr>
        <w:spacing w:after="0" w:line="250"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b w:val="1"/>
          <w:bCs w:val="1"/>
          <w:i w:val="1"/>
          <w:iCs w:val="1"/>
          <w:color w:val="auto"/>
        </w:rPr>
        <w:t xml:space="preserve">Available-for-Sale Fixed Maturity Securities </w:t>
      </w:r>
      <w:r>
        <w:rPr>
          <w:rFonts w:ascii="Arial" w:cs="Arial" w:eastAsia="Arial" w:hAnsi="Arial"/>
          <w:sz w:val="17"/>
          <w:szCs w:val="17"/>
          <w:color w:val="auto"/>
        </w:rPr>
        <w:t>The following table summarizes the Company’s AFS fixed maturity securities as of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6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440" w:type="dxa"/>
            <w:vAlign w:val="bottom"/>
            <w:tcBorders>
              <w:top w:val="single" w:sz="8" w:color="auto"/>
            </w:tcBorders>
            <w:shd w:val="clear" w:color="auto" w:fill="DBDBDB"/>
          </w:tcPr>
          <w:p>
            <w:pPr>
              <w:spacing w:after="0"/>
              <w:rPr>
                <w:sz w:val="15"/>
                <w:szCs w:val="15"/>
                <w:color w:val="auto"/>
              </w:rPr>
            </w:pPr>
          </w:p>
        </w:tc>
        <w:tc>
          <w:tcPr>
            <w:tcW w:w="1560" w:type="dxa"/>
            <w:vAlign w:val="bottom"/>
            <w:tcBorders>
              <w:top w:val="single" w:sz="8" w:color="auto"/>
            </w:tcBorders>
            <w:vMerge w:val="restart"/>
            <w:shd w:val="clear" w:color="auto" w:fill="DBDBDB"/>
          </w:tcPr>
          <w:p>
            <w:pPr>
              <w:jc w:val="right"/>
              <w:ind w:right="155"/>
              <w:spacing w:after="0"/>
              <w:rPr>
                <w:sz w:val="20"/>
                <w:szCs w:val="20"/>
                <w:color w:val="auto"/>
              </w:rPr>
            </w:pPr>
            <w:r>
              <w:rPr>
                <w:rFonts w:ascii="Arial" w:cs="Arial" w:eastAsia="Arial" w:hAnsi="Arial"/>
                <w:sz w:val="17"/>
                <w:szCs w:val="17"/>
                <w:b w:val="1"/>
                <w:bCs w:val="1"/>
                <w:color w:val="auto"/>
              </w:rPr>
              <w:t>Amortized Cost</w:t>
            </w:r>
          </w:p>
        </w:tc>
        <w:tc>
          <w:tcPr>
            <w:tcW w:w="200" w:type="dxa"/>
            <w:vAlign w:val="bottom"/>
            <w:tcBorders>
              <w:top w:val="single" w:sz="8" w:color="auto"/>
            </w:tcBorders>
            <w:shd w:val="clear" w:color="auto" w:fill="DBDBDB"/>
          </w:tcPr>
          <w:p>
            <w:pPr>
              <w:spacing w:after="0"/>
              <w:rPr>
                <w:sz w:val="15"/>
                <w:szCs w:val="15"/>
                <w:color w:val="auto"/>
              </w:rPr>
            </w:pPr>
          </w:p>
        </w:tc>
        <w:tc>
          <w:tcPr>
            <w:tcW w:w="1840" w:type="dxa"/>
            <w:vAlign w:val="bottom"/>
            <w:tcBorders>
              <w:top w:val="single" w:sz="8" w:color="auto"/>
            </w:tcBorders>
            <w:shd w:val="clear" w:color="auto" w:fill="DBDBDB"/>
          </w:tcPr>
          <w:p>
            <w:pPr>
              <w:ind w:left="60"/>
              <w:spacing w:after="0" w:line="180" w:lineRule="exact"/>
              <w:rPr>
                <w:sz w:val="20"/>
                <w:szCs w:val="20"/>
                <w:color w:val="auto"/>
              </w:rPr>
            </w:pPr>
            <w:r>
              <w:rPr>
                <w:rFonts w:ascii="Arial" w:cs="Arial" w:eastAsia="Arial" w:hAnsi="Arial"/>
                <w:sz w:val="17"/>
                <w:szCs w:val="17"/>
                <w:b w:val="1"/>
                <w:bCs w:val="1"/>
                <w:color w:val="auto"/>
              </w:rPr>
              <w:t>Gross Unrealized</w:t>
            </w:r>
          </w:p>
        </w:tc>
        <w:tc>
          <w:tcPr>
            <w:tcW w:w="1700" w:type="dxa"/>
            <w:vAlign w:val="bottom"/>
            <w:tcBorders>
              <w:top w:val="single" w:sz="8" w:color="auto"/>
            </w:tcBorders>
            <w:shd w:val="clear" w:color="auto" w:fill="DBDBDB"/>
          </w:tcPr>
          <w:p>
            <w:pPr>
              <w:jc w:val="center"/>
              <w:ind w:right="75"/>
              <w:spacing w:after="0" w:line="180" w:lineRule="exact"/>
              <w:rPr>
                <w:sz w:val="20"/>
                <w:szCs w:val="20"/>
                <w:color w:val="auto"/>
              </w:rPr>
            </w:pPr>
            <w:r>
              <w:rPr>
                <w:rFonts w:ascii="Arial" w:cs="Arial" w:eastAsia="Arial" w:hAnsi="Arial"/>
                <w:sz w:val="17"/>
                <w:szCs w:val="17"/>
                <w:b w:val="1"/>
                <w:bCs w:val="1"/>
                <w:color w:val="auto"/>
              </w:rPr>
              <w:t>Gross Unrealized</w:t>
            </w:r>
          </w:p>
        </w:tc>
        <w:tc>
          <w:tcPr>
            <w:tcW w:w="240" w:type="dxa"/>
            <w:vAlign w:val="bottom"/>
            <w:tcBorders>
              <w:top w:val="single" w:sz="8" w:color="auto"/>
            </w:tcBorders>
            <w:shd w:val="clear" w:color="auto" w:fill="DBDBDB"/>
          </w:tcPr>
          <w:p>
            <w:pPr>
              <w:spacing w:after="0"/>
              <w:rPr>
                <w:sz w:val="15"/>
                <w:szCs w:val="15"/>
                <w:color w:val="auto"/>
              </w:rPr>
            </w:pPr>
          </w:p>
        </w:tc>
        <w:tc>
          <w:tcPr>
            <w:tcW w:w="1300" w:type="dxa"/>
            <w:vAlign w:val="bottom"/>
            <w:tcBorders>
              <w:top w:val="single" w:sz="8" w:color="auto"/>
            </w:tcBorders>
            <w:vMerge w:val="restart"/>
            <w:shd w:val="clear" w:color="auto" w:fill="DBDBDB"/>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25"/>
        </w:trPr>
        <w:tc>
          <w:tcPr>
            <w:tcW w:w="2960" w:type="dxa"/>
            <w:vAlign w:val="bottom"/>
            <w:tcBorders>
              <w:bottom w:val="single" w:sz="8" w:color="auto"/>
            </w:tcBorders>
            <w:vMerge w:val="continue"/>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vMerge w:val="continue"/>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840" w:type="dxa"/>
            <w:vAlign w:val="bottom"/>
            <w:tcBorders>
              <w:bottom w:val="single" w:sz="8" w:color="auto"/>
            </w:tcBorders>
            <w:shd w:val="clear" w:color="auto" w:fill="DBDBDB"/>
          </w:tcPr>
          <w:p>
            <w:pPr>
              <w:ind w:left="520"/>
              <w:spacing w:after="0"/>
              <w:rPr>
                <w:sz w:val="20"/>
                <w:szCs w:val="20"/>
                <w:color w:val="auto"/>
              </w:rPr>
            </w:pPr>
            <w:r>
              <w:rPr>
                <w:rFonts w:ascii="Arial" w:cs="Arial" w:eastAsia="Arial" w:hAnsi="Arial"/>
                <w:sz w:val="17"/>
                <w:szCs w:val="17"/>
                <w:b w:val="1"/>
                <w:bCs w:val="1"/>
                <w:color w:val="auto"/>
              </w:rPr>
              <w:t>Gains</w:t>
            </w:r>
          </w:p>
        </w:tc>
        <w:tc>
          <w:tcPr>
            <w:tcW w:w="1700" w:type="dxa"/>
            <w:vAlign w:val="bottom"/>
            <w:tcBorders>
              <w:bottom w:val="single" w:sz="8" w:color="auto"/>
            </w:tcBorders>
            <w:shd w:val="clear" w:color="auto" w:fill="DBDBDB"/>
          </w:tcPr>
          <w:p>
            <w:pPr>
              <w:jc w:val="center"/>
              <w:ind w:right="75"/>
              <w:spacing w:after="0"/>
              <w:rPr>
                <w:sz w:val="20"/>
                <w:szCs w:val="20"/>
                <w:color w:val="auto"/>
              </w:rPr>
            </w:pPr>
            <w:r>
              <w:rPr>
                <w:rFonts w:ascii="Arial" w:cs="Arial" w:eastAsia="Arial" w:hAnsi="Arial"/>
                <w:sz w:val="17"/>
                <w:szCs w:val="17"/>
                <w:b w:val="1"/>
                <w:bCs w:val="1"/>
                <w:color w:val="auto"/>
                <w:w w:val="98"/>
              </w:rPr>
              <w:t>Losses</w:t>
            </w:r>
          </w:p>
        </w:tc>
        <w:tc>
          <w:tcPr>
            <w:tcW w:w="2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7"/>
                <w:szCs w:val="17"/>
                <w:color w:val="auto"/>
              </w:rPr>
              <w:t>U.S. Government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3,172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tcPr>
          <w:p>
            <w:pPr>
              <w:ind w:left="1440"/>
              <w:spacing w:after="0"/>
              <w:rPr>
                <w:sz w:val="20"/>
                <w:szCs w:val="20"/>
                <w:color w:val="auto"/>
              </w:rPr>
            </w:pPr>
            <w:r>
              <w:rPr>
                <w:rFonts w:ascii="Arial" w:cs="Arial" w:eastAsia="Arial" w:hAnsi="Arial"/>
                <w:sz w:val="17"/>
                <w:szCs w:val="17"/>
                <w:color w:val="auto"/>
              </w:rPr>
              <w:t>— $</w:t>
            </w:r>
          </w:p>
        </w:tc>
        <w:tc>
          <w:tcPr>
            <w:tcW w:w="1700" w:type="dxa"/>
            <w:vAlign w:val="bottom"/>
          </w:tcPr>
          <w:p>
            <w:pPr>
              <w:jc w:val="center"/>
              <w:ind w:left="1275"/>
              <w:spacing w:after="0"/>
              <w:rPr>
                <w:sz w:val="20"/>
                <w:szCs w:val="20"/>
                <w:color w:val="auto"/>
              </w:rPr>
            </w:pPr>
            <w:r>
              <w:rPr>
                <w:rFonts w:ascii="Arial" w:cs="Arial" w:eastAsia="Arial" w:hAnsi="Arial"/>
                <w:sz w:val="17"/>
                <w:szCs w:val="17"/>
                <w:color w:val="auto"/>
                <w:w w:val="99"/>
              </w:rPr>
              <w:t>(35)</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3,137</w:t>
            </w:r>
          </w:p>
        </w:tc>
        <w:tc>
          <w:tcPr>
            <w:tcW w:w="0" w:type="dxa"/>
            <w:vAlign w:val="bottom"/>
          </w:tcPr>
          <w:p>
            <w:pPr>
              <w:spacing w:after="0"/>
              <w:rPr>
                <w:sz w:val="1"/>
                <w:szCs w:val="1"/>
                <w:color w:val="auto"/>
              </w:rPr>
            </w:pPr>
          </w:p>
        </w:tc>
      </w:tr>
      <w:tr>
        <w:trPr>
          <w:trHeight w:val="225"/>
        </w:trPr>
        <w:tc>
          <w:tcPr>
            <w:tcW w:w="2960" w:type="dxa"/>
            <w:vAlign w:val="bottom"/>
          </w:tcPr>
          <w:p>
            <w:pPr>
              <w:ind w:left="20"/>
              <w:spacing w:after="0"/>
              <w:rPr>
                <w:sz w:val="20"/>
                <w:szCs w:val="20"/>
                <w:color w:val="auto"/>
              </w:rPr>
            </w:pPr>
            <w:r>
              <w:rPr>
                <w:rFonts w:ascii="Arial" w:cs="Arial" w:eastAsia="Arial" w:hAnsi="Arial"/>
                <w:sz w:val="17"/>
                <w:szCs w:val="17"/>
                <w:color w:val="auto"/>
              </w:rPr>
              <w:t>U.S. Corporate</w:t>
            </w:r>
          </w:p>
        </w:tc>
        <w:tc>
          <w:tcPr>
            <w:tcW w:w="1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7,297</w:t>
            </w:r>
          </w:p>
        </w:tc>
        <w:tc>
          <w:tcPr>
            <w:tcW w:w="200" w:type="dxa"/>
            <w:vAlign w:val="bottom"/>
          </w:tcPr>
          <w:p>
            <w:pPr>
              <w:spacing w:after="0"/>
              <w:rPr>
                <w:sz w:val="19"/>
                <w:szCs w:val="19"/>
                <w:color w:val="auto"/>
              </w:rPr>
            </w:pPr>
          </w:p>
        </w:tc>
        <w:tc>
          <w:tcPr>
            <w:tcW w:w="1840" w:type="dxa"/>
            <w:vAlign w:val="bottom"/>
          </w:tcPr>
          <w:p>
            <w:pPr>
              <w:ind w:left="1440"/>
              <w:spacing w:after="0"/>
              <w:rPr>
                <w:sz w:val="20"/>
                <w:szCs w:val="20"/>
                <w:color w:val="auto"/>
              </w:rPr>
            </w:pPr>
            <w:r>
              <w:rPr>
                <w:rFonts w:ascii="Arial" w:cs="Arial" w:eastAsia="Arial" w:hAnsi="Arial"/>
                <w:sz w:val="17"/>
                <w:szCs w:val="17"/>
                <w:color w:val="auto"/>
              </w:rPr>
              <w:t>—</w:t>
            </w:r>
          </w:p>
        </w:tc>
        <w:tc>
          <w:tcPr>
            <w:tcW w:w="1700" w:type="dxa"/>
            <w:vAlign w:val="bottom"/>
          </w:tcPr>
          <w:p>
            <w:pPr>
              <w:jc w:val="center"/>
              <w:ind w:left="1295"/>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7,297</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Foreign Governments</w:t>
            </w:r>
          </w:p>
        </w:tc>
        <w:tc>
          <w:tcPr>
            <w:tcW w:w="1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1440"/>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center"/>
              <w:ind w:left="1275"/>
              <w:spacing w:after="0"/>
              <w:rPr>
                <w:sz w:val="20"/>
                <w:szCs w:val="20"/>
                <w:color w:val="auto"/>
              </w:rPr>
            </w:pPr>
            <w:r>
              <w:rPr>
                <w:rFonts w:ascii="Arial" w:cs="Arial" w:eastAsia="Arial" w:hAnsi="Arial"/>
                <w:sz w:val="17"/>
                <w:szCs w:val="17"/>
                <w:color w:val="auto"/>
                <w:w w:val="99"/>
              </w:rPr>
              <w:t>(20)</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2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ind w:left="1440"/>
              <w:spacing w:after="0"/>
              <w:rPr>
                <w:sz w:val="20"/>
                <w:szCs w:val="20"/>
                <w:color w:val="auto"/>
              </w:rPr>
            </w:pPr>
            <w:r>
              <w:rPr>
                <w:rFonts w:ascii="Arial" w:cs="Arial" w:eastAsia="Arial" w:hAnsi="Arial"/>
                <w:sz w:val="17"/>
                <w:szCs w:val="17"/>
                <w:color w:val="auto"/>
              </w:rPr>
              <w:t>— $</w:t>
            </w:r>
          </w:p>
        </w:tc>
        <w:tc>
          <w:tcPr>
            <w:tcW w:w="1700" w:type="dxa"/>
            <w:vAlign w:val="bottom"/>
            <w:tcBorders>
              <w:bottom w:val="single" w:sz="8" w:color="auto"/>
            </w:tcBorders>
          </w:tcPr>
          <w:p>
            <w:pPr>
              <w:jc w:val="center"/>
              <w:ind w:left="1275"/>
              <w:spacing w:after="0"/>
              <w:rPr>
                <w:sz w:val="20"/>
                <w:szCs w:val="20"/>
                <w:color w:val="auto"/>
              </w:rPr>
            </w:pPr>
            <w:r>
              <w:rPr>
                <w:rFonts w:ascii="Arial" w:cs="Arial" w:eastAsia="Arial" w:hAnsi="Arial"/>
                <w:sz w:val="17"/>
                <w:szCs w:val="17"/>
                <w:color w:val="auto"/>
                <w:w w:val="99"/>
              </w:rPr>
              <w:t>(55)</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11,036</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amortized cost and estimated fair values of AFS fixed maturity securities as of September 30, 2026, are summarized below by remaining maturity. Actual maturities may differ from contractual maturities as issuers and borrowers may have the right to call or prepay certain obligations with or without call or prepayment penalties.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640" w:type="dxa"/>
            <w:vAlign w:val="bottom"/>
            <w:tcBorders>
              <w:top w:val="single" w:sz="8" w:color="auto"/>
              <w:bottom w:val="single" w:sz="8" w:color="auto"/>
            </w:tcBorders>
            <w:shd w:val="clear" w:color="auto" w:fill="DBDBDB"/>
          </w:tcPr>
          <w:p>
            <w:pPr>
              <w:spacing w:after="0"/>
              <w:rPr>
                <w:sz w:val="21"/>
                <w:szCs w:val="21"/>
                <w:color w:val="auto"/>
              </w:rPr>
            </w:pPr>
          </w:p>
        </w:tc>
        <w:tc>
          <w:tcPr>
            <w:tcW w:w="1580" w:type="dxa"/>
            <w:vAlign w:val="bottom"/>
            <w:tcBorders>
              <w:top w:val="single" w:sz="8" w:color="auto"/>
              <w:bottom w:val="single" w:sz="8" w:color="auto"/>
            </w:tcBorders>
            <w:shd w:val="clear" w:color="auto" w:fill="DBDBDB"/>
          </w:tcPr>
          <w:p>
            <w:pPr>
              <w:jc w:val="right"/>
              <w:ind w:right="155"/>
              <w:spacing w:after="0"/>
              <w:rPr>
                <w:sz w:val="20"/>
                <w:szCs w:val="20"/>
                <w:color w:val="auto"/>
              </w:rPr>
            </w:pPr>
            <w:r>
              <w:rPr>
                <w:rFonts w:ascii="Arial" w:cs="Arial" w:eastAsia="Arial" w:hAnsi="Arial"/>
                <w:sz w:val="17"/>
                <w:szCs w:val="17"/>
                <w:b w:val="1"/>
                <w:bCs w:val="1"/>
                <w:color w:val="auto"/>
              </w:rPr>
              <w:t>Amortized Cost</w:t>
            </w: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1500" w:type="dxa"/>
            <w:vAlign w:val="bottom"/>
            <w:tcBorders>
              <w:top w:val="single" w:sz="8" w:color="auto"/>
              <w:bottom w:val="single" w:sz="8" w:color="auto"/>
            </w:tcBorders>
            <w:shd w:val="clear" w:color="auto" w:fill="DBDBDB"/>
          </w:tcPr>
          <w:p>
            <w:pPr>
              <w:jc w:val="right"/>
              <w:ind w:right="415"/>
              <w:spacing w:after="0"/>
              <w:rPr>
                <w:sz w:val="20"/>
                <w:szCs w:val="20"/>
                <w:color w:val="auto"/>
              </w:rPr>
            </w:pPr>
            <w:r>
              <w:rPr>
                <w:rFonts w:ascii="Arial" w:cs="Arial" w:eastAsia="Arial" w:hAnsi="Arial"/>
                <w:sz w:val="17"/>
                <w:szCs w:val="17"/>
                <w:b w:val="1"/>
                <w:bCs w:val="1"/>
                <w:color w:val="auto"/>
              </w:rPr>
              <w:t>Fair Value</w:t>
            </w:r>
          </w:p>
        </w:tc>
      </w:tr>
      <w:tr>
        <w:trPr>
          <w:trHeight w:val="214"/>
        </w:trPr>
        <w:tc>
          <w:tcPr>
            <w:tcW w:w="5180" w:type="dxa"/>
            <w:vAlign w:val="bottom"/>
          </w:tcPr>
          <w:p>
            <w:pPr>
              <w:ind w:left="20"/>
              <w:spacing w:after="0"/>
              <w:rPr>
                <w:sz w:val="20"/>
                <w:szCs w:val="20"/>
                <w:color w:val="auto"/>
              </w:rPr>
            </w:pPr>
            <w:r>
              <w:rPr>
                <w:rFonts w:ascii="Arial" w:cs="Arial" w:eastAsia="Arial" w:hAnsi="Arial"/>
                <w:sz w:val="16"/>
                <w:szCs w:val="16"/>
                <w:color w:val="auto"/>
              </w:rPr>
              <w:t>Due in one year or less</w:t>
            </w:r>
          </w:p>
        </w:tc>
        <w:tc>
          <w:tcPr>
            <w:tcW w:w="26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489</w:t>
            </w: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489</w:t>
            </w:r>
          </w:p>
        </w:tc>
      </w:tr>
      <w:tr>
        <w:trPr>
          <w:trHeight w:val="230"/>
        </w:trPr>
        <w:tc>
          <w:tcPr>
            <w:tcW w:w="518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2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4,423</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4,368</w:t>
            </w:r>
          </w:p>
        </w:tc>
      </w:tr>
      <w:tr>
        <w:trPr>
          <w:trHeight w:val="230"/>
        </w:trPr>
        <w:tc>
          <w:tcPr>
            <w:tcW w:w="5180" w:type="dxa"/>
            <w:vAlign w:val="bottom"/>
          </w:tcPr>
          <w:p>
            <w:pPr>
              <w:ind w:left="20"/>
              <w:spacing w:after="0"/>
              <w:rPr>
                <w:sz w:val="20"/>
                <w:szCs w:val="20"/>
                <w:color w:val="auto"/>
              </w:rPr>
            </w:pPr>
            <w:r>
              <w:rPr>
                <w:rFonts w:ascii="Arial" w:cs="Arial" w:eastAsia="Arial" w:hAnsi="Arial"/>
                <w:sz w:val="16"/>
                <w:szCs w:val="16"/>
                <w:color w:val="auto"/>
              </w:rPr>
              <w:t>Due after five years through ten years</w:t>
            </w:r>
          </w:p>
        </w:tc>
        <w:tc>
          <w:tcPr>
            <w:tcW w:w="2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4,232</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4,232</w:t>
            </w:r>
          </w:p>
        </w:tc>
      </w:tr>
      <w:tr>
        <w:trPr>
          <w:trHeight w:val="23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Due after ten years</w:t>
            </w:r>
          </w:p>
        </w:tc>
        <w:tc>
          <w:tcPr>
            <w:tcW w:w="26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1,947</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1,947</w:t>
            </w:r>
          </w:p>
        </w:tc>
      </w:tr>
      <w:tr>
        <w:trPr>
          <w:trHeight w:val="22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11,091</w:t>
            </w:r>
          </w:p>
        </w:tc>
        <w:tc>
          <w:tcPr>
            <w:tcW w:w="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11,036</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proceeds and gross realized gains and losses from sales of AFS fixed maturity securities: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20" w:type="dxa"/>
            <w:vAlign w:val="bottom"/>
            <w:tcBorders>
              <w:top w:val="single" w:sz="8" w:color="auto"/>
            </w:tcBorders>
            <w:shd w:val="clear" w:color="auto" w:fill="DBDBDB"/>
          </w:tcPr>
          <w:p>
            <w:pPr>
              <w:spacing w:after="0"/>
              <w:rPr>
                <w:sz w:val="21"/>
                <w:szCs w:val="21"/>
                <w:color w:val="auto"/>
              </w:rPr>
            </w:pPr>
          </w:p>
        </w:tc>
        <w:tc>
          <w:tcPr>
            <w:tcW w:w="120" w:type="dxa"/>
            <w:vAlign w:val="bottom"/>
            <w:tcBorders>
              <w:top w:val="single" w:sz="8" w:color="auto"/>
            </w:tcBorders>
            <w:shd w:val="clear" w:color="auto" w:fill="D8D8D8"/>
          </w:tcPr>
          <w:p>
            <w:pPr>
              <w:spacing w:after="0"/>
              <w:rPr>
                <w:sz w:val="21"/>
                <w:szCs w:val="21"/>
                <w:color w:val="auto"/>
              </w:rPr>
            </w:pPr>
          </w:p>
        </w:tc>
        <w:tc>
          <w:tcPr>
            <w:tcW w:w="3300" w:type="dxa"/>
            <w:vAlign w:val="bottom"/>
            <w:tcBorders>
              <w:top w:val="single" w:sz="8" w:color="auto"/>
            </w:tcBorders>
            <w:gridSpan w:val="5"/>
            <w:shd w:val="clear" w:color="auto" w:fill="D8D8D8"/>
          </w:tcPr>
          <w:p>
            <w:pPr>
              <w:spacing w:after="0"/>
              <w:rPr>
                <w:sz w:val="20"/>
                <w:szCs w:val="20"/>
                <w:color w:val="auto"/>
              </w:rPr>
            </w:pPr>
            <w:r>
              <w:rPr>
                <w:rFonts w:ascii="Arial" w:cs="Arial" w:eastAsia="Arial" w:hAnsi="Arial"/>
                <w:sz w:val="17"/>
                <w:szCs w:val="17"/>
                <w:b w:val="1"/>
                <w:bCs w:val="1"/>
                <w:color w:val="auto"/>
              </w:rPr>
              <w:t>Three Months Ended September 30,</w:t>
            </w:r>
          </w:p>
        </w:tc>
        <w:tc>
          <w:tcPr>
            <w:tcW w:w="3000" w:type="dxa"/>
            <w:vAlign w:val="bottom"/>
            <w:tcBorders>
              <w:top w:val="single" w:sz="8" w:color="auto"/>
            </w:tcBorders>
            <w:gridSpan w:val="3"/>
            <w:shd w:val="clear" w:color="auto" w:fill="D8D8D8"/>
          </w:tcPr>
          <w:p>
            <w:pPr>
              <w:jc w:val="right"/>
              <w:ind w:right="75"/>
              <w:spacing w:after="0"/>
              <w:rPr>
                <w:sz w:val="20"/>
                <w:szCs w:val="20"/>
                <w:color w:val="auto"/>
              </w:rPr>
            </w:pPr>
            <w:r>
              <w:rPr>
                <w:rFonts w:ascii="Arial" w:cs="Arial" w:eastAsia="Arial" w:hAnsi="Arial"/>
                <w:sz w:val="17"/>
                <w:szCs w:val="17"/>
                <w:b w:val="1"/>
                <w:bCs w:val="1"/>
                <w:color w:val="auto"/>
              </w:rPr>
              <w:t>Nine Months Ended September 30,</w:t>
            </w:r>
          </w:p>
        </w:tc>
      </w:tr>
      <w:tr>
        <w:trPr>
          <w:trHeight w:val="223"/>
        </w:trPr>
        <w:tc>
          <w:tcPr>
            <w:tcW w:w="482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20" w:type="dxa"/>
            <w:vAlign w:val="bottom"/>
            <w:tcBorders>
              <w:top w:val="single" w:sz="8" w:color="auto"/>
              <w:bottom w:val="single" w:sz="8" w:color="auto"/>
            </w:tcBorders>
            <w:shd w:val="clear" w:color="auto" w:fill="D8D8D8"/>
          </w:tcPr>
          <w:p>
            <w:pPr>
              <w:spacing w:after="0"/>
              <w:rPr>
                <w:sz w:val="19"/>
                <w:szCs w:val="19"/>
                <w:color w:val="auto"/>
              </w:rPr>
            </w:pPr>
          </w:p>
        </w:tc>
        <w:tc>
          <w:tcPr>
            <w:tcW w:w="1440" w:type="dxa"/>
            <w:vAlign w:val="bottom"/>
            <w:tcBorders>
              <w:top w:val="single" w:sz="8" w:color="auto"/>
              <w:bottom w:val="single" w:sz="8" w:color="auto"/>
            </w:tcBorders>
            <w:shd w:val="clear" w:color="auto" w:fill="D8D8D8"/>
          </w:tcPr>
          <w:p>
            <w:pPr>
              <w:jc w:val="right"/>
              <w:ind w:right="495"/>
              <w:spacing w:after="0"/>
              <w:rPr>
                <w:sz w:val="20"/>
                <w:szCs w:val="20"/>
                <w:color w:val="auto"/>
              </w:rPr>
            </w:pPr>
            <w:r>
              <w:rPr>
                <w:rFonts w:ascii="Arial" w:cs="Arial" w:eastAsia="Arial" w:hAnsi="Arial"/>
                <w:sz w:val="17"/>
                <w:szCs w:val="17"/>
                <w:b w:val="1"/>
                <w:bCs w:val="1"/>
                <w:color w:val="auto"/>
              </w:rPr>
              <w:t>2026</w:t>
            </w:r>
          </w:p>
        </w:tc>
        <w:tc>
          <w:tcPr>
            <w:tcW w:w="360" w:type="dxa"/>
            <w:vAlign w:val="bottom"/>
            <w:tcBorders>
              <w:top w:val="single" w:sz="8" w:color="auto"/>
              <w:bottom w:val="single" w:sz="8" w:color="auto"/>
            </w:tcBorders>
            <w:shd w:val="clear" w:color="auto" w:fill="D8D8D8"/>
          </w:tcPr>
          <w:p>
            <w:pPr>
              <w:spacing w:after="0"/>
              <w:rPr>
                <w:sz w:val="19"/>
                <w:szCs w:val="19"/>
                <w:color w:val="auto"/>
              </w:rPr>
            </w:pPr>
          </w:p>
        </w:tc>
        <w:tc>
          <w:tcPr>
            <w:tcW w:w="1220" w:type="dxa"/>
            <w:vAlign w:val="bottom"/>
            <w:tcBorders>
              <w:top w:val="single" w:sz="8" w:color="auto"/>
              <w:bottom w:val="single" w:sz="8" w:color="auto"/>
            </w:tcBorders>
            <w:shd w:val="clear" w:color="auto" w:fill="D8D8D8"/>
          </w:tcPr>
          <w:p>
            <w:pPr>
              <w:jc w:val="right"/>
              <w:ind w:right="515"/>
              <w:spacing w:after="0"/>
              <w:rPr>
                <w:sz w:val="20"/>
                <w:szCs w:val="20"/>
                <w:color w:val="auto"/>
              </w:rPr>
            </w:pPr>
            <w:r>
              <w:rPr>
                <w:rFonts w:ascii="Arial" w:cs="Arial" w:eastAsia="Arial" w:hAnsi="Arial"/>
                <w:sz w:val="17"/>
                <w:szCs w:val="17"/>
                <w:color w:val="auto"/>
              </w:rPr>
              <w:t>2025</w:t>
            </w:r>
          </w:p>
        </w:tc>
        <w:tc>
          <w:tcPr>
            <w:tcW w:w="140" w:type="dxa"/>
            <w:vAlign w:val="bottom"/>
            <w:tcBorders>
              <w:top w:val="single" w:sz="8" w:color="D8D8D8"/>
              <w:bottom w:val="single" w:sz="8" w:color="auto"/>
            </w:tcBorders>
            <w:shd w:val="clear" w:color="auto" w:fill="D8D8D8"/>
          </w:tcPr>
          <w:p>
            <w:pPr>
              <w:spacing w:after="0"/>
              <w:rPr>
                <w:sz w:val="19"/>
                <w:szCs w:val="19"/>
                <w:color w:val="auto"/>
              </w:rPr>
            </w:pPr>
          </w:p>
        </w:tc>
        <w:tc>
          <w:tcPr>
            <w:tcW w:w="140" w:type="dxa"/>
            <w:vAlign w:val="bottom"/>
            <w:tcBorders>
              <w:top w:val="single" w:sz="8" w:color="auto"/>
              <w:bottom w:val="single" w:sz="8" w:color="auto"/>
            </w:tcBorders>
            <w:shd w:val="clear" w:color="auto" w:fill="D8D8D8"/>
          </w:tcPr>
          <w:p>
            <w:pPr>
              <w:spacing w:after="0"/>
              <w:rPr>
                <w:sz w:val="19"/>
                <w:szCs w:val="19"/>
                <w:color w:val="auto"/>
              </w:rPr>
            </w:pPr>
          </w:p>
        </w:tc>
        <w:tc>
          <w:tcPr>
            <w:tcW w:w="1420" w:type="dxa"/>
            <w:vAlign w:val="bottom"/>
            <w:tcBorders>
              <w:top w:val="single" w:sz="8" w:color="auto"/>
              <w:bottom w:val="single" w:sz="8" w:color="auto"/>
            </w:tcBorders>
            <w:shd w:val="clear" w:color="auto" w:fill="D8D8D8"/>
          </w:tcPr>
          <w:p>
            <w:pPr>
              <w:jc w:val="right"/>
              <w:ind w:right="495"/>
              <w:spacing w:after="0"/>
              <w:rPr>
                <w:sz w:val="20"/>
                <w:szCs w:val="20"/>
                <w:color w:val="auto"/>
              </w:rPr>
            </w:pPr>
            <w:r>
              <w:rPr>
                <w:rFonts w:ascii="Arial" w:cs="Arial" w:eastAsia="Arial" w:hAnsi="Arial"/>
                <w:sz w:val="17"/>
                <w:szCs w:val="17"/>
                <w:b w:val="1"/>
                <w:bCs w:val="1"/>
                <w:color w:val="auto"/>
              </w:rPr>
              <w:t>2026</w:t>
            </w:r>
          </w:p>
        </w:tc>
        <w:tc>
          <w:tcPr>
            <w:tcW w:w="360" w:type="dxa"/>
            <w:vAlign w:val="bottom"/>
            <w:tcBorders>
              <w:top w:val="single" w:sz="8" w:color="auto"/>
              <w:bottom w:val="single" w:sz="8" w:color="auto"/>
            </w:tcBorders>
            <w:shd w:val="clear" w:color="auto" w:fill="D8D8D8"/>
          </w:tcPr>
          <w:p>
            <w:pPr>
              <w:spacing w:after="0"/>
              <w:rPr>
                <w:sz w:val="19"/>
                <w:szCs w:val="19"/>
                <w:color w:val="auto"/>
              </w:rPr>
            </w:pPr>
          </w:p>
        </w:tc>
        <w:tc>
          <w:tcPr>
            <w:tcW w:w="1220" w:type="dxa"/>
            <w:vAlign w:val="bottom"/>
            <w:tcBorders>
              <w:top w:val="single" w:sz="8" w:color="auto"/>
              <w:bottom w:val="single" w:sz="8" w:color="auto"/>
            </w:tcBorders>
            <w:shd w:val="clear" w:color="auto" w:fill="D8D8D8"/>
          </w:tcPr>
          <w:p>
            <w:pPr>
              <w:jc w:val="right"/>
              <w:ind w:right="515"/>
              <w:spacing w:after="0"/>
              <w:rPr>
                <w:sz w:val="20"/>
                <w:szCs w:val="20"/>
                <w:color w:val="auto"/>
              </w:rPr>
            </w:pPr>
            <w:r>
              <w:rPr>
                <w:rFonts w:ascii="Arial" w:cs="Arial" w:eastAsia="Arial" w:hAnsi="Arial"/>
                <w:sz w:val="17"/>
                <w:szCs w:val="17"/>
                <w:color w:val="auto"/>
              </w:rPr>
              <w:t>2025</w:t>
            </w:r>
          </w:p>
        </w:tc>
      </w:tr>
      <w:tr>
        <w:trPr>
          <w:trHeight w:val="214"/>
        </w:trPr>
        <w:tc>
          <w:tcPr>
            <w:tcW w:w="4820" w:type="dxa"/>
            <w:vAlign w:val="bottom"/>
          </w:tcPr>
          <w:p>
            <w:pPr>
              <w:ind w:left="20"/>
              <w:spacing w:after="0"/>
              <w:rPr>
                <w:sz w:val="20"/>
                <w:szCs w:val="20"/>
                <w:color w:val="auto"/>
              </w:rPr>
            </w:pPr>
            <w:r>
              <w:rPr>
                <w:rFonts w:ascii="Arial" w:cs="Arial" w:eastAsia="Arial" w:hAnsi="Arial"/>
                <w:sz w:val="17"/>
                <w:szCs w:val="17"/>
                <w:color w:val="auto"/>
              </w:rPr>
              <w:t>Proceeds from sales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216,722</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500" w:type="dxa"/>
            <w:vAlign w:val="bottom"/>
            <w:gridSpan w:val="3"/>
          </w:tcPr>
          <w:p>
            <w:pPr>
              <w:ind w:left="9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2,552,485</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7"/>
                <w:szCs w:val="17"/>
                <w:color w:val="auto"/>
              </w:rPr>
              <w:t>Gross realized gains from sales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500" w:type="dxa"/>
            <w:vAlign w:val="bottom"/>
            <w:gridSpan w:val="3"/>
          </w:tcPr>
          <w:p>
            <w:pPr>
              <w:ind w:left="9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3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Gross realized losses from sales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(1,538)</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(5,701)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60" w:hanging="446"/>
        <w:spacing w:after="0"/>
        <w:tabs>
          <w:tab w:leader="none" w:pos="49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5"/>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929292"/>
                <w:w w:val="98"/>
              </w:rPr>
              <w:t>Table of Contents</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b w:val="1"/>
                <w:bCs w:val="1"/>
                <w:color w:val="B6B6B6"/>
              </w:rPr>
              <w:t>FOOTNOTES</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573"/>
        </w:trPr>
        <w:tc>
          <w:tcPr>
            <w:tcW w:w="6380" w:type="dxa"/>
            <w:vAlign w:val="bottom"/>
            <w:gridSpan w:val="3"/>
          </w:tcPr>
          <w:p>
            <w:pPr>
              <w:spacing w:after="0"/>
              <w:rPr>
                <w:sz w:val="20"/>
                <w:szCs w:val="20"/>
                <w:color w:val="auto"/>
              </w:rPr>
            </w:pPr>
            <w:r>
              <w:rPr>
                <w:rFonts w:ascii="Arial" w:cs="Arial" w:eastAsia="Arial" w:hAnsi="Arial"/>
                <w:sz w:val="17"/>
                <w:szCs w:val="17"/>
                <w:b w:val="1"/>
                <w:bCs w:val="1"/>
                <w:color w:val="00497F"/>
              </w:rPr>
              <w:t xml:space="preserve">Net Investment Income </w:t>
            </w:r>
            <w:r>
              <w:rPr>
                <w:rFonts w:ascii="Arial" w:cs="Arial" w:eastAsia="Arial" w:hAnsi="Arial"/>
                <w:sz w:val="17"/>
                <w:szCs w:val="17"/>
                <w:color w:val="000000"/>
              </w:rPr>
              <w:t>The components of net investment income are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2"/>
        </w:trPr>
        <w:tc>
          <w:tcPr>
            <w:tcW w:w="4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gridSpan w:val="3"/>
          </w:tcPr>
          <w:p>
            <w:pPr>
              <w:spacing w:after="0"/>
              <w:rPr>
                <w:sz w:val="9"/>
                <w:szCs w:val="9"/>
                <w:color w:val="auto"/>
              </w:rPr>
            </w:pPr>
          </w:p>
        </w:tc>
      </w:tr>
      <w:tr>
        <w:trPr>
          <w:trHeight w:val="223"/>
        </w:trPr>
        <w:tc>
          <w:tcPr>
            <w:tcW w:w="4820" w:type="dxa"/>
            <w:vAlign w:val="bottom"/>
            <w:shd w:val="clear" w:color="auto" w:fill="DBDBDB"/>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3160" w:type="dxa"/>
            <w:vAlign w:val="bottom"/>
            <w:gridSpan w:val="4"/>
            <w:shd w:val="clear" w:color="auto" w:fill="D8D8D8"/>
          </w:tcPr>
          <w:p>
            <w:pPr>
              <w:spacing w:after="0"/>
              <w:rPr>
                <w:sz w:val="20"/>
                <w:szCs w:val="20"/>
                <w:color w:val="auto"/>
              </w:rPr>
            </w:pPr>
            <w:r>
              <w:rPr>
                <w:rFonts w:ascii="Arial" w:cs="Arial" w:eastAsia="Arial" w:hAnsi="Arial"/>
                <w:sz w:val="17"/>
                <w:szCs w:val="17"/>
                <w:b w:val="1"/>
                <w:bCs w:val="1"/>
                <w:color w:val="auto"/>
              </w:rPr>
              <w:t>Three Months Ended September 30,</w:t>
            </w:r>
          </w:p>
        </w:tc>
        <w:tc>
          <w:tcPr>
            <w:tcW w:w="140" w:type="dxa"/>
            <w:vAlign w:val="bottom"/>
            <w:shd w:val="clear" w:color="auto" w:fill="D8D8D8"/>
          </w:tcPr>
          <w:p>
            <w:pPr>
              <w:spacing w:after="0"/>
              <w:rPr>
                <w:sz w:val="19"/>
                <w:szCs w:val="19"/>
                <w:color w:val="auto"/>
              </w:rPr>
            </w:pPr>
          </w:p>
        </w:tc>
        <w:tc>
          <w:tcPr>
            <w:tcW w:w="3000" w:type="dxa"/>
            <w:vAlign w:val="bottom"/>
            <w:gridSpan w:val="3"/>
            <w:shd w:val="clear" w:color="auto" w:fill="D8D8D8"/>
          </w:tcPr>
          <w:p>
            <w:pPr>
              <w:ind w:left="20"/>
              <w:spacing w:after="0"/>
              <w:rPr>
                <w:sz w:val="20"/>
                <w:szCs w:val="20"/>
                <w:color w:val="auto"/>
              </w:rPr>
            </w:pPr>
            <w:r>
              <w:rPr>
                <w:rFonts w:ascii="Arial" w:cs="Arial" w:eastAsia="Arial" w:hAnsi="Arial"/>
                <w:sz w:val="17"/>
                <w:szCs w:val="17"/>
                <w:b w:val="1"/>
                <w:bCs w:val="1"/>
                <w:color w:val="auto"/>
              </w:rPr>
              <w:t>Nine Months Ended September 30,</w:t>
            </w:r>
          </w:p>
        </w:tc>
      </w:tr>
      <w:tr>
        <w:trPr>
          <w:trHeight w:val="223"/>
        </w:trPr>
        <w:tc>
          <w:tcPr>
            <w:tcW w:w="482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20" w:type="dxa"/>
            <w:vAlign w:val="bottom"/>
            <w:tcBorders>
              <w:top w:val="single" w:sz="8" w:color="auto"/>
              <w:bottom w:val="single" w:sz="8" w:color="auto"/>
            </w:tcBorders>
            <w:shd w:val="clear" w:color="auto" w:fill="D8D8D8"/>
          </w:tcPr>
          <w:p>
            <w:pPr>
              <w:spacing w:after="0"/>
              <w:rPr>
                <w:sz w:val="19"/>
                <w:szCs w:val="19"/>
                <w:color w:val="auto"/>
              </w:rPr>
            </w:pPr>
          </w:p>
        </w:tc>
        <w:tc>
          <w:tcPr>
            <w:tcW w:w="1440" w:type="dxa"/>
            <w:vAlign w:val="bottom"/>
            <w:tcBorders>
              <w:top w:val="single" w:sz="8" w:color="auto"/>
              <w:bottom w:val="single" w:sz="8" w:color="auto"/>
            </w:tcBorders>
            <w:shd w:val="clear" w:color="auto" w:fill="D8D8D8"/>
          </w:tcPr>
          <w:p>
            <w:pPr>
              <w:jc w:val="right"/>
              <w:ind w:right="495"/>
              <w:spacing w:after="0"/>
              <w:rPr>
                <w:sz w:val="20"/>
                <w:szCs w:val="20"/>
                <w:color w:val="auto"/>
              </w:rPr>
            </w:pPr>
            <w:r>
              <w:rPr>
                <w:rFonts w:ascii="Arial" w:cs="Arial" w:eastAsia="Arial" w:hAnsi="Arial"/>
                <w:sz w:val="17"/>
                <w:szCs w:val="17"/>
                <w:b w:val="1"/>
                <w:bCs w:val="1"/>
                <w:color w:val="auto"/>
              </w:rPr>
              <w:t>2026</w:t>
            </w:r>
          </w:p>
        </w:tc>
        <w:tc>
          <w:tcPr>
            <w:tcW w:w="360" w:type="dxa"/>
            <w:vAlign w:val="bottom"/>
            <w:tcBorders>
              <w:top w:val="single" w:sz="8" w:color="auto"/>
              <w:bottom w:val="single" w:sz="8" w:color="auto"/>
            </w:tcBorders>
            <w:shd w:val="clear" w:color="auto" w:fill="D8D8D8"/>
          </w:tcPr>
          <w:p>
            <w:pPr>
              <w:spacing w:after="0"/>
              <w:rPr>
                <w:sz w:val="19"/>
                <w:szCs w:val="19"/>
                <w:color w:val="auto"/>
              </w:rPr>
            </w:pPr>
          </w:p>
        </w:tc>
        <w:tc>
          <w:tcPr>
            <w:tcW w:w="1220" w:type="dxa"/>
            <w:vAlign w:val="bottom"/>
            <w:tcBorders>
              <w:top w:val="single" w:sz="8" w:color="auto"/>
              <w:bottom w:val="single" w:sz="8" w:color="auto"/>
            </w:tcBorders>
            <w:shd w:val="clear" w:color="auto" w:fill="D8D8D8"/>
          </w:tcPr>
          <w:p>
            <w:pPr>
              <w:ind w:left="240"/>
              <w:spacing w:after="0"/>
              <w:rPr>
                <w:sz w:val="20"/>
                <w:szCs w:val="20"/>
                <w:color w:val="auto"/>
              </w:rPr>
            </w:pPr>
            <w:r>
              <w:rPr>
                <w:rFonts w:ascii="Arial" w:cs="Arial" w:eastAsia="Arial" w:hAnsi="Arial"/>
                <w:sz w:val="17"/>
                <w:szCs w:val="17"/>
                <w:color w:val="auto"/>
              </w:rPr>
              <w:t>2025</w:t>
            </w:r>
          </w:p>
        </w:tc>
        <w:tc>
          <w:tcPr>
            <w:tcW w:w="140" w:type="dxa"/>
            <w:vAlign w:val="bottom"/>
            <w:tcBorders>
              <w:top w:val="single" w:sz="8" w:color="D8D8D8"/>
              <w:bottom w:val="single" w:sz="8" w:color="auto"/>
            </w:tcBorders>
            <w:shd w:val="clear" w:color="auto" w:fill="D8D8D8"/>
          </w:tcPr>
          <w:p>
            <w:pPr>
              <w:spacing w:after="0"/>
              <w:rPr>
                <w:sz w:val="19"/>
                <w:szCs w:val="19"/>
                <w:color w:val="auto"/>
              </w:rPr>
            </w:pPr>
          </w:p>
        </w:tc>
        <w:tc>
          <w:tcPr>
            <w:tcW w:w="140" w:type="dxa"/>
            <w:vAlign w:val="bottom"/>
            <w:tcBorders>
              <w:top w:val="single" w:sz="8" w:color="auto"/>
              <w:bottom w:val="single" w:sz="8" w:color="auto"/>
            </w:tcBorders>
            <w:shd w:val="clear" w:color="auto" w:fill="D8D8D8"/>
          </w:tcPr>
          <w:p>
            <w:pPr>
              <w:spacing w:after="0"/>
              <w:rPr>
                <w:sz w:val="19"/>
                <w:szCs w:val="19"/>
                <w:color w:val="auto"/>
              </w:rPr>
            </w:pPr>
          </w:p>
        </w:tc>
        <w:tc>
          <w:tcPr>
            <w:tcW w:w="1420" w:type="dxa"/>
            <w:vAlign w:val="bottom"/>
            <w:tcBorders>
              <w:top w:val="single" w:sz="8" w:color="auto"/>
              <w:bottom w:val="single" w:sz="8" w:color="auto"/>
            </w:tcBorders>
            <w:shd w:val="clear" w:color="auto" w:fill="D8D8D8"/>
          </w:tcPr>
          <w:p>
            <w:pPr>
              <w:jc w:val="right"/>
              <w:ind w:right="495"/>
              <w:spacing w:after="0"/>
              <w:rPr>
                <w:sz w:val="20"/>
                <w:szCs w:val="20"/>
                <w:color w:val="auto"/>
              </w:rPr>
            </w:pPr>
            <w:r>
              <w:rPr>
                <w:rFonts w:ascii="Arial" w:cs="Arial" w:eastAsia="Arial" w:hAnsi="Arial"/>
                <w:sz w:val="17"/>
                <w:szCs w:val="17"/>
                <w:b w:val="1"/>
                <w:bCs w:val="1"/>
                <w:color w:val="auto"/>
              </w:rPr>
              <w:t>2026</w:t>
            </w:r>
          </w:p>
        </w:tc>
        <w:tc>
          <w:tcPr>
            <w:tcW w:w="140" w:type="dxa"/>
            <w:vAlign w:val="bottom"/>
            <w:tcBorders>
              <w:top w:val="single" w:sz="8" w:color="auto"/>
              <w:bottom w:val="single" w:sz="8" w:color="auto"/>
            </w:tcBorders>
            <w:shd w:val="clear" w:color="auto" w:fill="D8D8D8"/>
          </w:tcPr>
          <w:p>
            <w:pPr>
              <w:spacing w:after="0"/>
              <w:rPr>
                <w:sz w:val="19"/>
                <w:szCs w:val="19"/>
                <w:color w:val="auto"/>
              </w:rPr>
            </w:pPr>
          </w:p>
        </w:tc>
        <w:tc>
          <w:tcPr>
            <w:tcW w:w="1440" w:type="dxa"/>
            <w:vAlign w:val="bottom"/>
            <w:tcBorders>
              <w:top w:val="single" w:sz="8" w:color="auto"/>
              <w:bottom w:val="single" w:sz="8" w:color="auto"/>
            </w:tcBorders>
            <w:shd w:val="clear" w:color="auto" w:fill="D8D8D8"/>
          </w:tcPr>
          <w:p>
            <w:pPr>
              <w:ind w:left="460"/>
              <w:spacing w:after="0"/>
              <w:rPr>
                <w:sz w:val="20"/>
                <w:szCs w:val="20"/>
                <w:color w:val="auto"/>
              </w:rPr>
            </w:pPr>
            <w:r>
              <w:rPr>
                <w:rFonts w:ascii="Arial" w:cs="Arial" w:eastAsia="Arial" w:hAnsi="Arial"/>
                <w:sz w:val="17"/>
                <w:szCs w:val="17"/>
                <w:color w:val="auto"/>
              </w:rPr>
              <w:t>2025</w:t>
            </w:r>
          </w:p>
        </w:tc>
      </w:tr>
      <w:tr>
        <w:trPr>
          <w:trHeight w:val="214"/>
        </w:trPr>
        <w:tc>
          <w:tcPr>
            <w:tcW w:w="4820" w:type="dxa"/>
            <w:vAlign w:val="bottom"/>
          </w:tcPr>
          <w:p>
            <w:pPr>
              <w:ind w:left="20"/>
              <w:spacing w:after="0"/>
              <w:rPr>
                <w:sz w:val="20"/>
                <w:szCs w:val="20"/>
                <w:color w:val="auto"/>
              </w:rPr>
            </w:pPr>
            <w:r>
              <w:rPr>
                <w:rFonts w:ascii="Arial" w:cs="Arial" w:eastAsia="Arial" w:hAnsi="Arial"/>
                <w:sz w:val="17"/>
                <w:szCs w:val="17"/>
                <w:color w:val="auto"/>
              </w:rPr>
              <w:t>Fixed maturity securities AFS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613</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9,176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r>
      <w:tr>
        <w:trPr>
          <w:trHeight w:val="229"/>
        </w:trPr>
        <w:tc>
          <w:tcPr>
            <w:tcW w:w="48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2,446</w:t>
            </w:r>
          </w:p>
        </w:tc>
        <w:tc>
          <w:tcPr>
            <w:tcW w:w="3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3,842</w:t>
            </w:r>
          </w:p>
        </w:tc>
        <w:tc>
          <w:tcPr>
            <w:tcW w:w="14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r>
      <w:tr>
        <w:trPr>
          <w:trHeight w:val="23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Short-term investments, cash, and other</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21,020</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22,321</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r>
      <w:tr>
        <w:trPr>
          <w:trHeight w:val="216"/>
        </w:trPr>
        <w:tc>
          <w:tcPr>
            <w:tcW w:w="4820" w:type="dxa"/>
            <w:vAlign w:val="bottom"/>
          </w:tcPr>
          <w:p>
            <w:pPr>
              <w:ind w:left="20"/>
              <w:spacing w:after="0"/>
              <w:rPr>
                <w:sz w:val="20"/>
                <w:szCs w:val="20"/>
                <w:color w:val="auto"/>
              </w:rPr>
            </w:pPr>
            <w:r>
              <w:rPr>
                <w:rFonts w:ascii="Arial" w:cs="Arial" w:eastAsia="Arial" w:hAnsi="Arial"/>
                <w:sz w:val="17"/>
                <w:szCs w:val="17"/>
                <w:color w:val="auto"/>
              </w:rPr>
              <w:t>Gross investment income</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24,079</w:t>
            </w:r>
          </w:p>
        </w:tc>
        <w:tc>
          <w:tcPr>
            <w:tcW w:w="36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35,339</w:t>
            </w:r>
          </w:p>
        </w:tc>
        <w:tc>
          <w:tcPr>
            <w:tcW w:w="14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r>
      <w:tr>
        <w:trPr>
          <w:trHeight w:val="23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 expenses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(1,401)</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(1,673)</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r>
      <w:tr>
        <w:trPr>
          <w:trHeight w:val="22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insurance investment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22,678</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5. Investments in Unconsolidated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the ordinary course of business, the Company enters into partnerships and ventures with an emphasis on investments associated with the development and operation of real estate assets. As of September 30, 2026, the Company does not consolidate the investments below as it does not have a controlling financial interest in these investments. As such, the Company primarily reports its interests in accordance with the equity method.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unconsolidated ventures consist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00" w:type="dxa"/>
            <w:vAlign w:val="bottom"/>
            <w:tcBorders>
              <w:top w:val="single" w:sz="8" w:color="auto"/>
              <w:bottom w:val="single" w:sz="8" w:color="D8D8D8"/>
            </w:tcBorders>
            <w:shd w:val="clear" w:color="auto" w:fill="D8D8D8"/>
          </w:tcPr>
          <w:p>
            <w:pPr>
              <w:spacing w:after="0"/>
              <w:rPr>
                <w:sz w:val="17"/>
                <w:szCs w:val="17"/>
                <w:color w:val="auto"/>
              </w:rPr>
            </w:pPr>
          </w:p>
        </w:tc>
        <w:tc>
          <w:tcPr>
            <w:tcW w:w="160" w:type="dxa"/>
            <w:vAlign w:val="bottom"/>
            <w:tcBorders>
              <w:top w:val="single" w:sz="8" w:color="auto"/>
              <w:bottom w:val="single" w:sz="8" w:color="auto"/>
            </w:tcBorders>
            <w:shd w:val="clear" w:color="auto" w:fill="D8D8D8"/>
          </w:tcPr>
          <w:p>
            <w:pPr>
              <w:spacing w:after="0"/>
              <w:rPr>
                <w:sz w:val="17"/>
                <w:szCs w:val="17"/>
                <w:color w:val="auto"/>
              </w:rPr>
            </w:pPr>
          </w:p>
        </w:tc>
        <w:tc>
          <w:tcPr>
            <w:tcW w:w="2440" w:type="dxa"/>
            <w:vAlign w:val="bottom"/>
            <w:tcBorders>
              <w:top w:val="single" w:sz="8" w:color="auto"/>
              <w:bottom w:val="single" w:sz="8" w:color="auto"/>
            </w:tcBorders>
            <w:gridSpan w:val="2"/>
            <w:shd w:val="clear" w:color="auto" w:fill="D8D8D8"/>
          </w:tcPr>
          <w:p>
            <w:pPr>
              <w:jc w:val="right"/>
              <w:ind w:right="533"/>
              <w:spacing w:after="0"/>
              <w:rPr>
                <w:sz w:val="20"/>
                <w:szCs w:val="20"/>
                <w:color w:val="auto"/>
              </w:rPr>
            </w:pPr>
            <w:r>
              <w:rPr>
                <w:rFonts w:ascii="Arial" w:cs="Arial" w:eastAsia="Arial" w:hAnsi="Arial"/>
                <w:sz w:val="13"/>
                <w:szCs w:val="13"/>
                <w:b w:val="1"/>
                <w:bCs w:val="1"/>
                <w:color w:val="auto"/>
              </w:rPr>
              <w:t>Ownership Interest (a)</w:t>
            </w:r>
          </w:p>
        </w:tc>
        <w:tc>
          <w:tcPr>
            <w:tcW w:w="100" w:type="dxa"/>
            <w:vAlign w:val="bottom"/>
            <w:tcBorders>
              <w:top w:val="single" w:sz="8" w:color="auto"/>
              <w:bottom w:val="single" w:sz="8" w:color="D8D8D8"/>
            </w:tcBorders>
            <w:shd w:val="clear" w:color="auto" w:fill="D8D8D8"/>
          </w:tcPr>
          <w:p>
            <w:pPr>
              <w:spacing w:after="0"/>
              <w:rPr>
                <w:sz w:val="17"/>
                <w:szCs w:val="17"/>
                <w:color w:val="auto"/>
              </w:rPr>
            </w:pPr>
          </w:p>
        </w:tc>
        <w:tc>
          <w:tcPr>
            <w:tcW w:w="120" w:type="dxa"/>
            <w:vAlign w:val="bottom"/>
            <w:tcBorders>
              <w:top w:val="single" w:sz="8" w:color="auto"/>
              <w:bottom w:val="single" w:sz="8" w:color="auto"/>
            </w:tcBorders>
            <w:shd w:val="clear" w:color="auto" w:fill="D8D8D8"/>
          </w:tcPr>
          <w:p>
            <w:pPr>
              <w:spacing w:after="0"/>
              <w:rPr>
                <w:sz w:val="17"/>
                <w:szCs w:val="17"/>
                <w:color w:val="auto"/>
              </w:rPr>
            </w:pPr>
          </w:p>
        </w:tc>
        <w:tc>
          <w:tcPr>
            <w:tcW w:w="2240" w:type="dxa"/>
            <w:vAlign w:val="bottom"/>
            <w:tcBorders>
              <w:top w:val="single" w:sz="8" w:color="auto"/>
              <w:bottom w:val="single" w:sz="8" w:color="auto"/>
            </w:tcBorders>
            <w:gridSpan w:val="3"/>
            <w:shd w:val="clear" w:color="auto" w:fill="D8D8D8"/>
          </w:tcPr>
          <w:p>
            <w:pPr>
              <w:jc w:val="right"/>
              <w:ind w:right="653"/>
              <w:spacing w:after="0"/>
              <w:rPr>
                <w:sz w:val="20"/>
                <w:szCs w:val="20"/>
                <w:color w:val="auto"/>
              </w:rPr>
            </w:pPr>
            <w:r>
              <w:rPr>
                <w:rFonts w:ascii="Arial" w:cs="Arial" w:eastAsia="Arial" w:hAnsi="Arial"/>
                <w:sz w:val="13"/>
                <w:szCs w:val="13"/>
                <w:b w:val="1"/>
                <w:bCs w:val="1"/>
                <w:color w:val="auto"/>
              </w:rPr>
              <w:t>Carrying Value</w:t>
            </w:r>
          </w:p>
        </w:tc>
        <w:tc>
          <w:tcPr>
            <w:tcW w:w="80" w:type="dxa"/>
            <w:vAlign w:val="bottom"/>
            <w:tcBorders>
              <w:top w:val="single" w:sz="8" w:color="auto"/>
              <w:bottom w:val="single" w:sz="8" w:color="D8D8D8"/>
            </w:tcBorders>
            <w:shd w:val="clear" w:color="auto" w:fill="D8D8D8"/>
          </w:tcPr>
          <w:p>
            <w:pPr>
              <w:spacing w:after="0"/>
              <w:rPr>
                <w:sz w:val="17"/>
                <w:szCs w:val="17"/>
                <w:color w:val="auto"/>
              </w:rPr>
            </w:pPr>
          </w:p>
        </w:tc>
        <w:tc>
          <w:tcPr>
            <w:tcW w:w="160" w:type="dxa"/>
            <w:vAlign w:val="bottom"/>
            <w:tcBorders>
              <w:top w:val="single" w:sz="8" w:color="auto"/>
              <w:bottom w:val="single" w:sz="8" w:color="auto"/>
            </w:tcBorders>
            <w:shd w:val="clear" w:color="auto" w:fill="D8D8D8"/>
          </w:tcPr>
          <w:p>
            <w:pPr>
              <w:spacing w:after="0"/>
              <w:rPr>
                <w:sz w:val="17"/>
                <w:szCs w:val="17"/>
                <w:color w:val="auto"/>
              </w:rPr>
            </w:pPr>
          </w:p>
        </w:tc>
        <w:tc>
          <w:tcPr>
            <w:tcW w:w="680" w:type="dxa"/>
            <w:vAlign w:val="bottom"/>
            <w:tcBorders>
              <w:top w:val="single" w:sz="8" w:color="auto"/>
              <w:bottom w:val="single" w:sz="8" w:color="auto"/>
            </w:tcBorders>
            <w:shd w:val="clear" w:color="auto" w:fill="D8D8D8"/>
          </w:tcPr>
          <w:p>
            <w:pPr>
              <w:spacing w:after="0"/>
              <w:rPr>
                <w:sz w:val="17"/>
                <w:szCs w:val="17"/>
                <w:color w:val="auto"/>
              </w:rPr>
            </w:pPr>
          </w:p>
        </w:tc>
        <w:tc>
          <w:tcPr>
            <w:tcW w:w="1920" w:type="dxa"/>
            <w:vAlign w:val="bottom"/>
            <w:tcBorders>
              <w:top w:val="single" w:sz="8" w:color="auto"/>
              <w:bottom w:val="single" w:sz="8" w:color="auto"/>
            </w:tcBorders>
            <w:gridSpan w:val="5"/>
            <w:shd w:val="clear" w:color="auto" w:fill="D8D8D8"/>
          </w:tcPr>
          <w:p>
            <w:pPr>
              <w:jc w:val="right"/>
              <w:spacing w:after="0"/>
              <w:rPr>
                <w:sz w:val="20"/>
                <w:szCs w:val="20"/>
                <w:color w:val="auto"/>
              </w:rPr>
            </w:pPr>
            <w:r>
              <w:rPr>
                <w:rFonts w:ascii="Arial" w:cs="Arial" w:eastAsia="Arial" w:hAnsi="Arial"/>
                <w:sz w:val="13"/>
                <w:szCs w:val="13"/>
                <w:b w:val="1"/>
                <w:bCs w:val="1"/>
                <w:color w:val="auto"/>
              </w:rPr>
              <w:t>Share of Earnings/Dividends</w:t>
            </w:r>
          </w:p>
        </w:tc>
        <w:tc>
          <w:tcPr>
            <w:tcW w:w="200" w:type="dxa"/>
            <w:vAlign w:val="bottom"/>
            <w:tcBorders>
              <w:top w:val="single" w:sz="8" w:color="auto"/>
              <w:bottom w:val="single" w:sz="8" w:color="auto"/>
            </w:tcBorders>
            <w:shd w:val="clear" w:color="auto" w:fill="D8D8D8"/>
          </w:tcPr>
          <w:p>
            <w:pPr>
              <w:spacing w:after="0"/>
              <w:rPr>
                <w:sz w:val="17"/>
                <w:szCs w:val="17"/>
                <w:color w:val="auto"/>
              </w:rPr>
            </w:pPr>
          </w:p>
        </w:tc>
        <w:tc>
          <w:tcPr>
            <w:tcW w:w="640" w:type="dxa"/>
            <w:vAlign w:val="bottom"/>
            <w:tcBorders>
              <w:top w:val="single" w:sz="8" w:color="auto"/>
              <w:bottom w:val="single" w:sz="8" w:color="auto"/>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1180" w:type="dxa"/>
            <w:vAlign w:val="bottom"/>
            <w:vMerge w:val="restart"/>
            <w:shd w:val="clear" w:color="auto" w:fill="D8D8D8"/>
          </w:tcPr>
          <w:p>
            <w:pPr>
              <w:jc w:val="right"/>
              <w:ind w:right="153"/>
              <w:spacing w:after="0"/>
              <w:rPr>
                <w:sz w:val="20"/>
                <w:szCs w:val="20"/>
                <w:color w:val="auto"/>
              </w:rPr>
            </w:pPr>
            <w:r>
              <w:rPr>
                <w:rFonts w:ascii="Arial" w:cs="Arial" w:eastAsia="Arial" w:hAnsi="Arial"/>
                <w:sz w:val="13"/>
                <w:szCs w:val="13"/>
                <w:b w:val="1"/>
                <w:bCs w:val="1"/>
                <w:color w:val="auto"/>
              </w:rPr>
              <w:t>September 30,</w:t>
            </w:r>
          </w:p>
        </w:tc>
        <w:tc>
          <w:tcPr>
            <w:tcW w:w="1360" w:type="dxa"/>
            <w:vAlign w:val="bottom"/>
            <w:gridSpan w:val="2"/>
            <w:vMerge w:val="restart"/>
            <w:shd w:val="clear" w:color="auto" w:fill="D8D8D8"/>
          </w:tcPr>
          <w:p>
            <w:pPr>
              <w:ind w:left="200"/>
              <w:spacing w:after="0"/>
              <w:rPr>
                <w:sz w:val="20"/>
                <w:szCs w:val="20"/>
                <w:color w:val="auto"/>
              </w:rPr>
            </w:pPr>
            <w:r>
              <w:rPr>
                <w:rFonts w:ascii="Arial" w:cs="Arial" w:eastAsia="Arial" w:hAnsi="Arial"/>
                <w:sz w:val="13"/>
                <w:szCs w:val="13"/>
                <w:color w:val="auto"/>
              </w:rPr>
              <w:t>December 31,</w:t>
            </w:r>
          </w:p>
        </w:tc>
        <w:tc>
          <w:tcPr>
            <w:tcW w:w="120" w:type="dxa"/>
            <w:vAlign w:val="bottom"/>
            <w:shd w:val="clear" w:color="auto" w:fill="D8D8D8"/>
          </w:tcPr>
          <w:p>
            <w:pPr>
              <w:spacing w:after="0"/>
              <w:rPr>
                <w:sz w:val="11"/>
                <w:szCs w:val="11"/>
                <w:color w:val="auto"/>
              </w:rPr>
            </w:pPr>
          </w:p>
        </w:tc>
        <w:tc>
          <w:tcPr>
            <w:tcW w:w="1080" w:type="dxa"/>
            <w:vAlign w:val="bottom"/>
            <w:vMerge w:val="restart"/>
            <w:shd w:val="clear" w:color="auto" w:fill="D8D8D8"/>
          </w:tcPr>
          <w:p>
            <w:pPr>
              <w:jc w:val="right"/>
              <w:ind w:right="73"/>
              <w:spacing w:after="0"/>
              <w:rPr>
                <w:sz w:val="20"/>
                <w:szCs w:val="20"/>
                <w:color w:val="auto"/>
              </w:rPr>
            </w:pPr>
            <w:r>
              <w:rPr>
                <w:rFonts w:ascii="Arial" w:cs="Arial" w:eastAsia="Arial" w:hAnsi="Arial"/>
                <w:sz w:val="13"/>
                <w:szCs w:val="13"/>
                <w:b w:val="1"/>
                <w:bCs w:val="1"/>
                <w:color w:val="auto"/>
              </w:rPr>
              <w:t>September 30,</w:t>
            </w:r>
          </w:p>
        </w:tc>
        <w:tc>
          <w:tcPr>
            <w:tcW w:w="140" w:type="dxa"/>
            <w:vAlign w:val="bottom"/>
            <w:shd w:val="clear" w:color="auto" w:fill="D8D8D8"/>
          </w:tcPr>
          <w:p>
            <w:pPr>
              <w:spacing w:after="0"/>
              <w:rPr>
                <w:sz w:val="11"/>
                <w:szCs w:val="11"/>
                <w:color w:val="auto"/>
              </w:rPr>
            </w:pPr>
          </w:p>
        </w:tc>
        <w:tc>
          <w:tcPr>
            <w:tcW w:w="1100" w:type="dxa"/>
            <w:vAlign w:val="bottom"/>
            <w:gridSpan w:val="2"/>
            <w:vMerge w:val="restart"/>
            <w:shd w:val="clear" w:color="auto" w:fill="D8D8D8"/>
          </w:tcPr>
          <w:p>
            <w:pPr>
              <w:ind w:left="20"/>
              <w:spacing w:after="0"/>
              <w:rPr>
                <w:sz w:val="20"/>
                <w:szCs w:val="20"/>
                <w:color w:val="auto"/>
              </w:rPr>
            </w:pPr>
            <w:r>
              <w:rPr>
                <w:rFonts w:ascii="Arial" w:cs="Arial" w:eastAsia="Arial" w:hAnsi="Arial"/>
                <w:sz w:val="13"/>
                <w:szCs w:val="13"/>
                <w:color w:val="auto"/>
              </w:rPr>
              <w:t>December 31,</w:t>
            </w:r>
          </w:p>
        </w:tc>
        <w:tc>
          <w:tcPr>
            <w:tcW w:w="160" w:type="dxa"/>
            <w:vAlign w:val="bottom"/>
            <w:shd w:val="clear" w:color="auto" w:fill="D8D8D8"/>
          </w:tcPr>
          <w:p>
            <w:pPr>
              <w:spacing w:after="0"/>
              <w:rPr>
                <w:sz w:val="11"/>
                <w:szCs w:val="11"/>
                <w:color w:val="auto"/>
              </w:rPr>
            </w:pPr>
          </w:p>
        </w:tc>
        <w:tc>
          <w:tcPr>
            <w:tcW w:w="1700" w:type="dxa"/>
            <w:vAlign w:val="bottom"/>
            <w:gridSpan w:val="4"/>
            <w:shd w:val="clear" w:color="auto" w:fill="D8D8D8"/>
          </w:tcPr>
          <w:p>
            <w:pPr>
              <w:jc w:val="center"/>
              <w:ind w:right="260"/>
              <w:spacing w:after="0" w:line="130" w:lineRule="exact"/>
              <w:rPr>
                <w:sz w:val="20"/>
                <w:szCs w:val="20"/>
                <w:color w:val="auto"/>
              </w:rPr>
            </w:pPr>
            <w:r>
              <w:rPr>
                <w:rFonts w:ascii="Arial" w:cs="Arial" w:eastAsia="Arial" w:hAnsi="Arial"/>
                <w:sz w:val="13"/>
                <w:szCs w:val="13"/>
                <w:b w:val="1"/>
                <w:bCs w:val="1"/>
                <w:color w:val="auto"/>
              </w:rPr>
              <w:t>Three Months Ended</w:t>
            </w:r>
          </w:p>
        </w:tc>
        <w:tc>
          <w:tcPr>
            <w:tcW w:w="160" w:type="dxa"/>
            <w:vAlign w:val="bottom"/>
            <w:shd w:val="clear" w:color="auto" w:fill="D8D8D8"/>
          </w:tcPr>
          <w:p>
            <w:pPr>
              <w:spacing w:after="0"/>
              <w:rPr>
                <w:sz w:val="11"/>
                <w:szCs w:val="11"/>
                <w:color w:val="auto"/>
              </w:rPr>
            </w:pPr>
          </w:p>
        </w:tc>
        <w:tc>
          <w:tcPr>
            <w:tcW w:w="1580" w:type="dxa"/>
            <w:vAlign w:val="bottom"/>
            <w:gridSpan w:val="3"/>
            <w:shd w:val="clear" w:color="auto" w:fill="D8D8D8"/>
          </w:tcPr>
          <w:p>
            <w:pPr>
              <w:jc w:val="right"/>
              <w:ind w:right="173"/>
              <w:spacing w:after="0" w:line="130" w:lineRule="exact"/>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86"/>
        </w:trPr>
        <w:tc>
          <w:tcPr>
            <w:tcW w:w="250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1180" w:type="dxa"/>
            <w:vAlign w:val="bottom"/>
            <w:vMerge w:val="continue"/>
            <w:shd w:val="clear" w:color="auto" w:fill="D8D8D8"/>
          </w:tcPr>
          <w:p>
            <w:pPr>
              <w:spacing w:after="0"/>
              <w:rPr>
                <w:sz w:val="16"/>
                <w:szCs w:val="16"/>
                <w:color w:val="auto"/>
              </w:rPr>
            </w:pPr>
          </w:p>
        </w:tc>
        <w:tc>
          <w:tcPr>
            <w:tcW w:w="1360" w:type="dxa"/>
            <w:vAlign w:val="bottom"/>
            <w:gridSpan w:val="2"/>
            <w:vMerge w:val="continue"/>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1080" w:type="dxa"/>
            <w:vAlign w:val="bottom"/>
            <w:vMerge w:val="continue"/>
            <w:shd w:val="clear" w:color="auto" w:fill="D8D8D8"/>
          </w:tcPr>
          <w:p>
            <w:pPr>
              <w:spacing w:after="0"/>
              <w:rPr>
                <w:sz w:val="16"/>
                <w:szCs w:val="16"/>
                <w:color w:val="auto"/>
              </w:rPr>
            </w:pPr>
          </w:p>
        </w:tc>
        <w:tc>
          <w:tcPr>
            <w:tcW w:w="140" w:type="dxa"/>
            <w:vAlign w:val="bottom"/>
            <w:shd w:val="clear" w:color="auto" w:fill="D8D8D8"/>
          </w:tcPr>
          <w:p>
            <w:pPr>
              <w:spacing w:after="0"/>
              <w:rPr>
                <w:sz w:val="16"/>
                <w:szCs w:val="16"/>
                <w:color w:val="auto"/>
              </w:rPr>
            </w:pPr>
          </w:p>
        </w:tc>
        <w:tc>
          <w:tcPr>
            <w:tcW w:w="1100" w:type="dxa"/>
            <w:vAlign w:val="bottom"/>
            <w:gridSpan w:val="2"/>
            <w:vMerge w:val="continue"/>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1700" w:type="dxa"/>
            <w:vAlign w:val="bottom"/>
            <w:gridSpan w:val="4"/>
            <w:shd w:val="clear" w:color="auto" w:fill="D8D8D8"/>
          </w:tcPr>
          <w:p>
            <w:pPr>
              <w:jc w:val="center"/>
              <w:ind w:right="260"/>
              <w:spacing w:after="0"/>
              <w:rPr>
                <w:sz w:val="20"/>
                <w:szCs w:val="20"/>
                <w:color w:val="auto"/>
              </w:rPr>
            </w:pPr>
            <w:r>
              <w:rPr>
                <w:rFonts w:ascii="Arial" w:cs="Arial" w:eastAsia="Arial" w:hAnsi="Arial"/>
                <w:sz w:val="13"/>
                <w:szCs w:val="13"/>
                <w:b w:val="1"/>
                <w:bCs w:val="1"/>
                <w:color w:val="auto"/>
              </w:rPr>
              <w:t>September 30,</w:t>
            </w:r>
          </w:p>
        </w:tc>
        <w:tc>
          <w:tcPr>
            <w:tcW w:w="160" w:type="dxa"/>
            <w:vAlign w:val="bottom"/>
            <w:shd w:val="clear" w:color="auto" w:fill="D8D8D8"/>
          </w:tcPr>
          <w:p>
            <w:pPr>
              <w:spacing w:after="0"/>
              <w:rPr>
                <w:sz w:val="16"/>
                <w:szCs w:val="16"/>
                <w:color w:val="auto"/>
              </w:rPr>
            </w:pPr>
          </w:p>
        </w:tc>
        <w:tc>
          <w:tcPr>
            <w:tcW w:w="1580" w:type="dxa"/>
            <w:vAlign w:val="bottom"/>
            <w:gridSpan w:val="3"/>
            <w:shd w:val="clear" w:color="auto" w:fill="D8D8D8"/>
          </w:tcPr>
          <w:p>
            <w:pPr>
              <w:jc w:val="right"/>
              <w:ind w:right="333"/>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84"/>
        </w:trPr>
        <w:tc>
          <w:tcPr>
            <w:tcW w:w="250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3"/>
                <w:szCs w:val="13"/>
                <w:i w:val="1"/>
                <w:iCs w:val="1"/>
                <w:color w:val="auto"/>
              </w:rPr>
              <w:t>thousands except percentages</w:t>
            </w:r>
          </w:p>
        </w:tc>
        <w:tc>
          <w:tcPr>
            <w:tcW w:w="160" w:type="dxa"/>
            <w:vAlign w:val="bottom"/>
            <w:tcBorders>
              <w:top w:val="single" w:sz="8" w:color="D8D8D8"/>
              <w:bottom w:val="single" w:sz="8" w:color="auto"/>
            </w:tcBorders>
            <w:shd w:val="clear" w:color="auto" w:fill="D8D8D8"/>
          </w:tcPr>
          <w:p>
            <w:pPr>
              <w:spacing w:after="0"/>
              <w:rPr>
                <w:sz w:val="15"/>
                <w:szCs w:val="15"/>
                <w:color w:val="auto"/>
              </w:rPr>
            </w:pPr>
          </w:p>
        </w:tc>
        <w:tc>
          <w:tcPr>
            <w:tcW w:w="1180" w:type="dxa"/>
            <w:vAlign w:val="bottom"/>
            <w:tcBorders>
              <w:top w:val="single" w:sz="8" w:color="D8D8D8"/>
              <w:bottom w:val="single" w:sz="8" w:color="auto"/>
            </w:tcBorders>
            <w:shd w:val="clear" w:color="auto" w:fill="D8D8D8"/>
          </w:tcPr>
          <w:p>
            <w:pPr>
              <w:jc w:val="right"/>
              <w:ind w:right="453"/>
              <w:spacing w:after="0"/>
              <w:rPr>
                <w:sz w:val="20"/>
                <w:szCs w:val="20"/>
                <w:color w:val="auto"/>
              </w:rPr>
            </w:pPr>
            <w:r>
              <w:rPr>
                <w:rFonts w:ascii="Arial" w:cs="Arial" w:eastAsia="Arial" w:hAnsi="Arial"/>
                <w:sz w:val="13"/>
                <w:szCs w:val="13"/>
                <w:b w:val="1"/>
                <w:bCs w:val="1"/>
                <w:color w:val="auto"/>
              </w:rPr>
              <w:t>2026</w:t>
            </w:r>
          </w:p>
        </w:tc>
        <w:tc>
          <w:tcPr>
            <w:tcW w:w="1260" w:type="dxa"/>
            <w:vAlign w:val="bottom"/>
            <w:tcBorders>
              <w:top w:val="single" w:sz="8" w:color="D8D8D8"/>
              <w:bottom w:val="single" w:sz="8" w:color="auto"/>
            </w:tcBorders>
            <w:shd w:val="clear" w:color="auto" w:fill="D8D8D8"/>
          </w:tcPr>
          <w:p>
            <w:pPr>
              <w:jc w:val="right"/>
              <w:ind w:right="413"/>
              <w:spacing w:after="0"/>
              <w:rPr>
                <w:sz w:val="20"/>
                <w:szCs w:val="20"/>
                <w:color w:val="auto"/>
              </w:rPr>
            </w:pPr>
            <w:r>
              <w:rPr>
                <w:rFonts w:ascii="Arial" w:cs="Arial" w:eastAsia="Arial" w:hAnsi="Arial"/>
                <w:sz w:val="13"/>
                <w:szCs w:val="13"/>
                <w:color w:val="auto"/>
              </w:rPr>
              <w:t>2025</w:t>
            </w:r>
          </w:p>
        </w:tc>
        <w:tc>
          <w:tcPr>
            <w:tcW w:w="100" w:type="dxa"/>
            <w:vAlign w:val="bottom"/>
            <w:tcBorders>
              <w:top w:val="single" w:sz="8" w:color="D8D8D8"/>
              <w:bottom w:val="single" w:sz="8" w:color="auto"/>
            </w:tcBorders>
            <w:shd w:val="clear" w:color="auto" w:fill="D8D8D8"/>
          </w:tcPr>
          <w:p>
            <w:pPr>
              <w:spacing w:after="0"/>
              <w:rPr>
                <w:sz w:val="15"/>
                <w:szCs w:val="15"/>
                <w:color w:val="auto"/>
              </w:rPr>
            </w:pPr>
          </w:p>
        </w:tc>
        <w:tc>
          <w:tcPr>
            <w:tcW w:w="120" w:type="dxa"/>
            <w:vAlign w:val="bottom"/>
            <w:tcBorders>
              <w:top w:val="single" w:sz="8" w:color="D8D8D8"/>
              <w:bottom w:val="single" w:sz="8" w:color="auto"/>
            </w:tcBorders>
            <w:shd w:val="clear" w:color="auto" w:fill="D8D8D8"/>
          </w:tcPr>
          <w:p>
            <w:pPr>
              <w:spacing w:after="0"/>
              <w:rPr>
                <w:sz w:val="15"/>
                <w:szCs w:val="15"/>
                <w:color w:val="auto"/>
              </w:rPr>
            </w:pPr>
          </w:p>
        </w:tc>
        <w:tc>
          <w:tcPr>
            <w:tcW w:w="1080" w:type="dxa"/>
            <w:vAlign w:val="bottom"/>
            <w:tcBorders>
              <w:top w:val="single" w:sz="8" w:color="D8D8D8"/>
              <w:bottom w:val="single" w:sz="8" w:color="auto"/>
            </w:tcBorders>
            <w:shd w:val="clear" w:color="auto" w:fill="D8D8D8"/>
          </w:tcPr>
          <w:p>
            <w:pPr>
              <w:jc w:val="right"/>
              <w:ind w:right="373"/>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D8D8D8"/>
              <w:bottom w:val="single" w:sz="8" w:color="auto"/>
            </w:tcBorders>
            <w:shd w:val="clear" w:color="auto" w:fill="D8D8D8"/>
          </w:tcPr>
          <w:p>
            <w:pPr>
              <w:spacing w:after="0"/>
              <w:rPr>
                <w:sz w:val="15"/>
                <w:szCs w:val="15"/>
                <w:color w:val="auto"/>
              </w:rPr>
            </w:pPr>
          </w:p>
        </w:tc>
        <w:tc>
          <w:tcPr>
            <w:tcW w:w="1020" w:type="dxa"/>
            <w:vAlign w:val="bottom"/>
            <w:tcBorders>
              <w:top w:val="single" w:sz="8" w:color="D8D8D8"/>
              <w:bottom w:val="single" w:sz="8" w:color="auto"/>
            </w:tcBorders>
            <w:shd w:val="clear" w:color="auto" w:fill="D8D8D8"/>
          </w:tcPr>
          <w:p>
            <w:pPr>
              <w:jc w:val="right"/>
              <w:ind w:right="353"/>
              <w:spacing w:after="0"/>
              <w:rPr>
                <w:sz w:val="20"/>
                <w:szCs w:val="20"/>
                <w:color w:val="auto"/>
              </w:rPr>
            </w:pPr>
            <w:r>
              <w:rPr>
                <w:rFonts w:ascii="Arial" w:cs="Arial" w:eastAsia="Arial" w:hAnsi="Arial"/>
                <w:sz w:val="13"/>
                <w:szCs w:val="13"/>
                <w:color w:val="auto"/>
              </w:rPr>
              <w:t>2025</w:t>
            </w:r>
          </w:p>
        </w:tc>
        <w:tc>
          <w:tcPr>
            <w:tcW w:w="80" w:type="dxa"/>
            <w:vAlign w:val="bottom"/>
            <w:tcBorders>
              <w:top w:val="single" w:sz="8" w:color="D8D8D8"/>
              <w:bottom w:val="single" w:sz="8" w:color="auto"/>
            </w:tcBorders>
            <w:shd w:val="clear" w:color="auto" w:fill="D8D8D8"/>
          </w:tcPr>
          <w:p>
            <w:pPr>
              <w:spacing w:after="0"/>
              <w:rPr>
                <w:sz w:val="15"/>
                <w:szCs w:val="15"/>
                <w:color w:val="auto"/>
              </w:rPr>
            </w:pPr>
          </w:p>
        </w:tc>
        <w:tc>
          <w:tcPr>
            <w:tcW w:w="160" w:type="dxa"/>
            <w:vAlign w:val="bottom"/>
            <w:tcBorders>
              <w:top w:val="single" w:sz="8" w:color="auto"/>
              <w:bottom w:val="single" w:sz="8" w:color="auto"/>
            </w:tcBorders>
            <w:shd w:val="clear" w:color="auto" w:fill="D8D8D8"/>
          </w:tcPr>
          <w:p>
            <w:pPr>
              <w:spacing w:after="0"/>
              <w:rPr>
                <w:sz w:val="15"/>
                <w:szCs w:val="15"/>
                <w:color w:val="auto"/>
              </w:rPr>
            </w:pPr>
          </w:p>
        </w:tc>
        <w:tc>
          <w:tcPr>
            <w:tcW w:w="680" w:type="dxa"/>
            <w:vAlign w:val="bottom"/>
            <w:tcBorders>
              <w:top w:val="single" w:sz="8" w:color="auto"/>
              <w:bottom w:val="single" w:sz="8" w:color="auto"/>
            </w:tcBorders>
            <w:shd w:val="clear" w:color="auto" w:fill="D8D8D8"/>
          </w:tcPr>
          <w:p>
            <w:pPr>
              <w:jc w:val="right"/>
              <w:ind w:right="193"/>
              <w:spacing w:after="0"/>
              <w:rPr>
                <w:sz w:val="20"/>
                <w:szCs w:val="20"/>
                <w:color w:val="auto"/>
              </w:rPr>
            </w:pPr>
            <w:r>
              <w:rPr>
                <w:rFonts w:ascii="Arial" w:cs="Arial" w:eastAsia="Arial" w:hAnsi="Arial"/>
                <w:sz w:val="13"/>
                <w:szCs w:val="13"/>
                <w:b w:val="1"/>
                <w:bCs w:val="1"/>
                <w:color w:val="auto"/>
              </w:rPr>
              <w:t>2026</w:t>
            </w:r>
          </w:p>
        </w:tc>
        <w:tc>
          <w:tcPr>
            <w:tcW w:w="260" w:type="dxa"/>
            <w:vAlign w:val="bottom"/>
            <w:tcBorders>
              <w:top w:val="single" w:sz="8" w:color="auto"/>
              <w:bottom w:val="single" w:sz="8" w:color="auto"/>
            </w:tcBorders>
            <w:shd w:val="clear" w:color="auto" w:fill="D8D8D8"/>
          </w:tcPr>
          <w:p>
            <w:pPr>
              <w:spacing w:after="0"/>
              <w:rPr>
                <w:sz w:val="15"/>
                <w:szCs w:val="15"/>
                <w:color w:val="auto"/>
              </w:rPr>
            </w:pPr>
          </w:p>
        </w:tc>
        <w:tc>
          <w:tcPr>
            <w:tcW w:w="660" w:type="dxa"/>
            <w:vAlign w:val="bottom"/>
            <w:tcBorders>
              <w:top w:val="single" w:sz="8" w:color="auto"/>
              <w:bottom w:val="single" w:sz="8" w:color="auto"/>
            </w:tcBorders>
            <w:shd w:val="clear" w:color="auto" w:fill="D8D8D8"/>
          </w:tcPr>
          <w:p>
            <w:pPr>
              <w:jc w:val="right"/>
              <w:ind w:right="213"/>
              <w:spacing w:after="0"/>
              <w:rPr>
                <w:sz w:val="20"/>
                <w:szCs w:val="20"/>
                <w:color w:val="auto"/>
              </w:rPr>
            </w:pPr>
            <w:r>
              <w:rPr>
                <w:rFonts w:ascii="Arial" w:cs="Arial" w:eastAsia="Arial" w:hAnsi="Arial"/>
                <w:sz w:val="13"/>
                <w:szCs w:val="13"/>
                <w:color w:val="auto"/>
              </w:rPr>
              <w:t>2025</w:t>
            </w:r>
          </w:p>
        </w:tc>
        <w:tc>
          <w:tcPr>
            <w:tcW w:w="100" w:type="dxa"/>
            <w:vAlign w:val="bottom"/>
            <w:tcBorders>
              <w:top w:val="single" w:sz="8" w:color="D8D8D8"/>
              <w:bottom w:val="single" w:sz="8" w:color="auto"/>
            </w:tcBorders>
            <w:shd w:val="clear" w:color="auto" w:fill="D8D8D8"/>
          </w:tcPr>
          <w:p>
            <w:pPr>
              <w:spacing w:after="0"/>
              <w:rPr>
                <w:sz w:val="15"/>
                <w:szCs w:val="15"/>
                <w:color w:val="auto"/>
              </w:rPr>
            </w:pPr>
          </w:p>
        </w:tc>
        <w:tc>
          <w:tcPr>
            <w:tcW w:w="160" w:type="dxa"/>
            <w:vAlign w:val="bottom"/>
            <w:tcBorders>
              <w:top w:val="single" w:sz="8" w:color="auto"/>
              <w:bottom w:val="single" w:sz="8" w:color="auto"/>
            </w:tcBorders>
            <w:shd w:val="clear" w:color="auto" w:fill="D8D8D8"/>
          </w:tcPr>
          <w:p>
            <w:pPr>
              <w:spacing w:after="0"/>
              <w:rPr>
                <w:sz w:val="15"/>
                <w:szCs w:val="15"/>
                <w:color w:val="auto"/>
              </w:rPr>
            </w:pPr>
          </w:p>
        </w:tc>
        <w:tc>
          <w:tcPr>
            <w:tcW w:w="740" w:type="dxa"/>
            <w:vAlign w:val="bottom"/>
            <w:tcBorders>
              <w:top w:val="single" w:sz="8" w:color="auto"/>
              <w:bottom w:val="single" w:sz="8" w:color="auto"/>
            </w:tcBorders>
            <w:shd w:val="clear" w:color="auto" w:fill="D8D8D8"/>
          </w:tcPr>
          <w:p>
            <w:pPr>
              <w:jc w:val="right"/>
              <w:ind w:right="273"/>
              <w:spacing w:after="0"/>
              <w:rPr>
                <w:sz w:val="20"/>
                <w:szCs w:val="20"/>
                <w:color w:val="auto"/>
              </w:rPr>
            </w:pPr>
            <w:r>
              <w:rPr>
                <w:rFonts w:ascii="Arial" w:cs="Arial" w:eastAsia="Arial" w:hAnsi="Arial"/>
                <w:sz w:val="13"/>
                <w:szCs w:val="13"/>
                <w:b w:val="1"/>
                <w:bCs w:val="1"/>
                <w:color w:val="auto"/>
              </w:rPr>
              <w:t>2026</w:t>
            </w:r>
          </w:p>
        </w:tc>
        <w:tc>
          <w:tcPr>
            <w:tcW w:w="200" w:type="dxa"/>
            <w:vAlign w:val="bottom"/>
            <w:tcBorders>
              <w:top w:val="single" w:sz="8" w:color="auto"/>
              <w:bottom w:val="single" w:sz="8" w:color="auto"/>
            </w:tcBorders>
            <w:shd w:val="clear" w:color="auto" w:fill="D8D8D8"/>
          </w:tcPr>
          <w:p>
            <w:pPr>
              <w:spacing w:after="0"/>
              <w:rPr>
                <w:sz w:val="15"/>
                <w:szCs w:val="15"/>
                <w:color w:val="auto"/>
              </w:rPr>
            </w:pPr>
          </w:p>
        </w:tc>
        <w:tc>
          <w:tcPr>
            <w:tcW w:w="640" w:type="dxa"/>
            <w:vAlign w:val="bottom"/>
            <w:tcBorders>
              <w:top w:val="single" w:sz="8" w:color="auto"/>
              <w:bottom w:val="single" w:sz="8" w:color="auto"/>
            </w:tcBorders>
            <w:shd w:val="clear" w:color="auto" w:fill="D8D8D8"/>
          </w:tcPr>
          <w:p>
            <w:pPr>
              <w:jc w:val="right"/>
              <w:ind w:right="193"/>
              <w:spacing w:after="0"/>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81"/>
        </w:trPr>
        <w:tc>
          <w:tcPr>
            <w:tcW w:w="2660" w:type="dxa"/>
            <w:vAlign w:val="bottom"/>
            <w:gridSpan w:val="2"/>
          </w:tcPr>
          <w:p>
            <w:pPr>
              <w:ind w:left="20"/>
              <w:spacing w:after="0"/>
              <w:rPr>
                <w:sz w:val="20"/>
                <w:szCs w:val="20"/>
                <w:color w:val="auto"/>
              </w:rPr>
            </w:pPr>
            <w:r>
              <w:rPr>
                <w:rFonts w:ascii="Arial" w:cs="Arial" w:eastAsia="Arial" w:hAnsi="Arial"/>
                <w:sz w:val="13"/>
                <w:szCs w:val="13"/>
                <w:b w:val="1"/>
                <w:bCs w:val="1"/>
                <w:color w:val="auto"/>
              </w:rPr>
              <w:t>Equity Method Investments</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60" w:type="dxa"/>
            <w:vAlign w:val="bottom"/>
            <w:gridSpan w:val="2"/>
          </w:tcPr>
          <w:p>
            <w:pPr>
              <w:ind w:left="20"/>
              <w:spacing w:after="0"/>
              <w:rPr>
                <w:sz w:val="20"/>
                <w:szCs w:val="20"/>
                <w:color w:val="auto"/>
              </w:rPr>
            </w:pPr>
            <w:r>
              <w:rPr>
                <w:rFonts w:ascii="Arial" w:cs="Arial" w:eastAsia="Arial" w:hAnsi="Arial"/>
                <w:sz w:val="13"/>
                <w:szCs w:val="13"/>
                <w:b w:val="1"/>
                <w:bCs w:val="1"/>
                <w:color w:val="auto"/>
              </w:rPr>
              <w:t>Operating Assets:</w:t>
            </w: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140"/>
              <w:spacing w:after="0"/>
              <w:rPr>
                <w:sz w:val="20"/>
                <w:szCs w:val="20"/>
                <w:color w:val="auto"/>
              </w:rPr>
            </w:pPr>
            <w:r>
              <w:rPr>
                <w:rFonts w:ascii="Arial" w:cs="Arial" w:eastAsia="Arial" w:hAnsi="Arial"/>
                <w:sz w:val="13"/>
                <w:szCs w:val="13"/>
                <w:color w:val="auto"/>
              </w:rPr>
              <w:t>Operating equity investments (b)</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Various</w:t>
            </w:r>
          </w:p>
        </w:tc>
        <w:tc>
          <w:tcPr>
            <w:tcW w:w="1360" w:type="dxa"/>
            <w:vAlign w:val="bottom"/>
            <w:gridSpan w:val="2"/>
          </w:tcPr>
          <w:p>
            <w:pPr>
              <w:ind w:left="800"/>
              <w:spacing w:after="0"/>
              <w:rPr>
                <w:sz w:val="20"/>
                <w:szCs w:val="20"/>
                <w:color w:val="auto"/>
              </w:rPr>
            </w:pPr>
            <w:r>
              <w:rPr>
                <w:rFonts w:ascii="Arial" w:cs="Arial" w:eastAsia="Arial" w:hAnsi="Arial"/>
                <w:sz w:val="13"/>
                <w:szCs w:val="13"/>
                <w:color w:val="auto"/>
              </w:rPr>
              <w:t>Various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17,614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10,649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b w:val="1"/>
                <w:bCs w:val="1"/>
                <w:color w:val="auto"/>
              </w:rPr>
              <w:t>531</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auto"/>
              </w:rPr>
              <w:t>1,884</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rPr>
                <w:sz w:val="20"/>
                <w:szCs w:val="20"/>
                <w:color w:val="auto"/>
              </w:rPr>
            </w:pPr>
            <w:r>
              <w:rPr>
                <w:rFonts w:ascii="Arial" w:cs="Arial" w:eastAsia="Arial" w:hAnsi="Arial"/>
                <w:sz w:val="13"/>
                <w:szCs w:val="13"/>
                <w:b w:val="1"/>
                <w:bCs w:val="1"/>
                <w:color w:val="auto"/>
              </w:rPr>
              <w:t>Master Planned Communities:</w:t>
            </w: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140"/>
              <w:spacing w:after="0"/>
              <w:rPr>
                <w:sz w:val="20"/>
                <w:szCs w:val="20"/>
                <w:color w:val="auto"/>
              </w:rPr>
            </w:pPr>
            <w:r>
              <w:rPr>
                <w:rFonts w:ascii="Arial" w:cs="Arial" w:eastAsia="Arial" w:hAnsi="Arial"/>
                <w:sz w:val="13"/>
                <w:szCs w:val="13"/>
                <w:color w:val="auto"/>
              </w:rPr>
              <w:t>The Summit (c)</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50 %</w:t>
            </w:r>
          </w:p>
        </w:tc>
        <w:tc>
          <w:tcPr>
            <w:tcW w:w="1260" w:type="dxa"/>
            <w:vAlign w:val="bottom"/>
          </w:tcPr>
          <w:p>
            <w:pPr>
              <w:jc w:val="right"/>
              <w:spacing w:after="0"/>
              <w:rPr>
                <w:sz w:val="20"/>
                <w:szCs w:val="20"/>
                <w:color w:val="auto"/>
              </w:rPr>
            </w:pPr>
            <w:r>
              <w:rPr>
                <w:rFonts w:ascii="Arial" w:cs="Arial" w:eastAsia="Arial" w:hAnsi="Arial"/>
                <w:sz w:val="13"/>
                <w:szCs w:val="13"/>
                <w:color w:val="auto"/>
              </w:rPr>
              <w:t>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27,999</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35,815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(1,581)</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b w:val="1"/>
                <w:bCs w:val="1"/>
                <w:color w:val="auto"/>
              </w:rPr>
              <w:t>(690)</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(7,055)</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40"/>
              <w:spacing w:after="0"/>
              <w:rPr>
                <w:sz w:val="20"/>
                <w:szCs w:val="20"/>
                <w:color w:val="auto"/>
              </w:rPr>
            </w:pPr>
            <w:r>
              <w:rPr>
                <w:rFonts w:ascii="Arial" w:cs="Arial" w:eastAsia="Arial" w:hAnsi="Arial"/>
                <w:sz w:val="13"/>
                <w:szCs w:val="13"/>
                <w:color w:val="auto"/>
              </w:rPr>
              <w:t>Floreo (d)</w:t>
            </w:r>
          </w:p>
        </w:tc>
        <w:tc>
          <w:tcPr>
            <w:tcW w:w="118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59,008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(20,233)</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b w:val="1"/>
                <w:bCs w:val="1"/>
                <w:color w:val="auto"/>
              </w:rPr>
              <w:t>(24,512)</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Various</w:t>
            </w:r>
          </w:p>
        </w:tc>
        <w:tc>
          <w:tcPr>
            <w:tcW w:w="1260" w:type="dxa"/>
            <w:vAlign w:val="bottom"/>
          </w:tcPr>
          <w:p>
            <w:pPr>
              <w:jc w:val="right"/>
              <w:spacing w:after="0"/>
              <w:rPr>
                <w:sz w:val="20"/>
                <w:szCs w:val="20"/>
                <w:color w:val="auto"/>
              </w:rPr>
            </w:pPr>
            <w:r>
              <w:rPr>
                <w:rFonts w:ascii="Arial" w:cs="Arial" w:eastAsia="Arial" w:hAnsi="Arial"/>
                <w:sz w:val="13"/>
                <w:szCs w:val="13"/>
                <w:color w:val="auto"/>
              </w:rPr>
              <w:t>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(196)</w:t>
            </w:r>
          </w:p>
        </w:tc>
        <w:tc>
          <w:tcPr>
            <w:tcW w:w="2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b w:val="1"/>
                <w:bCs w:val="1"/>
                <w:color w:val="auto"/>
              </w:rPr>
              <w:t>(912)</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rPr>
                <w:sz w:val="20"/>
                <w:szCs w:val="20"/>
                <w:color w:val="auto"/>
              </w:rPr>
            </w:pPr>
            <w:r>
              <w:rPr>
                <w:rFonts w:ascii="Arial" w:cs="Arial" w:eastAsia="Arial" w:hAnsi="Arial"/>
                <w:sz w:val="13"/>
                <w:szCs w:val="13"/>
                <w:b w:val="1"/>
                <w:bCs w:val="1"/>
                <w:color w:val="auto"/>
              </w:rPr>
              <w:t>Strategic Developments:</w:t>
            </w: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140"/>
              <w:spacing w:after="0"/>
              <w:rPr>
                <w:sz w:val="20"/>
                <w:szCs w:val="20"/>
                <w:color w:val="auto"/>
              </w:rPr>
            </w:pPr>
            <w:r>
              <w:rPr>
                <w:rFonts w:ascii="Arial" w:cs="Arial" w:eastAsia="Arial" w:hAnsi="Arial"/>
                <w:sz w:val="13"/>
                <w:szCs w:val="13"/>
                <w:color w:val="auto"/>
              </w:rPr>
              <w:t>Aspect (c)(e)</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85 %</w:t>
            </w: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13,767</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b w:val="1"/>
                <w:bCs w:val="1"/>
                <w:color w:val="auto"/>
              </w:rPr>
              <w:t>156</w:t>
            </w:r>
          </w:p>
        </w:tc>
        <w:tc>
          <w:tcPr>
            <w:tcW w:w="2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auto"/>
              </w:rPr>
              <w:t>156</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40"/>
              <w:spacing w:after="0"/>
              <w:rPr>
                <w:sz w:val="20"/>
                <w:szCs w:val="20"/>
                <w:color w:val="auto"/>
              </w:rPr>
            </w:pPr>
            <w:r>
              <w:rPr>
                <w:rFonts w:ascii="Arial" w:cs="Arial" w:eastAsia="Arial" w:hAnsi="Arial"/>
                <w:sz w:val="13"/>
                <w:szCs w:val="13"/>
                <w:color w:val="auto"/>
              </w:rPr>
              <w:t>West End Alexandria (c)</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58 %</w:t>
            </w:r>
          </w:p>
        </w:tc>
        <w:tc>
          <w:tcPr>
            <w:tcW w:w="1260" w:type="dxa"/>
            <w:vAlign w:val="bottom"/>
          </w:tcPr>
          <w:p>
            <w:pPr>
              <w:jc w:val="right"/>
              <w:spacing w:after="0"/>
              <w:rPr>
                <w:sz w:val="20"/>
                <w:szCs w:val="20"/>
                <w:color w:val="auto"/>
              </w:rPr>
            </w:pPr>
            <w:r>
              <w:rPr>
                <w:rFonts w:ascii="Arial" w:cs="Arial" w:eastAsia="Arial" w:hAnsi="Arial"/>
                <w:sz w:val="13"/>
                <w:szCs w:val="13"/>
                <w:color w:val="auto"/>
              </w:rPr>
              <w:t>58 %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46,937</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60,830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b w:val="1"/>
                <w:bCs w:val="1"/>
                <w:color w:val="auto"/>
              </w:rPr>
              <w:t>13,794</w:t>
            </w:r>
          </w:p>
        </w:tc>
        <w:tc>
          <w:tcPr>
            <w:tcW w:w="2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auto"/>
              </w:rPr>
              <w:t>8,929</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40"/>
              <w:spacing w:after="0"/>
              <w:rPr>
                <w:sz w:val="20"/>
                <w:szCs w:val="20"/>
                <w:color w:val="auto"/>
              </w:rPr>
            </w:pPr>
            <w:r>
              <w:rPr>
                <w:rFonts w:ascii="Arial" w:cs="Arial" w:eastAsia="Arial" w:hAnsi="Arial"/>
                <w:sz w:val="13"/>
                <w:szCs w:val="13"/>
                <w:color w:val="auto"/>
              </w:rPr>
              <w:t>Gateway A10 Holdings (e)</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50 %</w:t>
            </w: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8,926</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26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50 %</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(30)</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117,255</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166,343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(7,529)</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b w:val="1"/>
                <w:bCs w:val="1"/>
                <w:color w:val="auto"/>
              </w:rPr>
              <w:t>(15,175)</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(8,701)</w:t>
            </w:r>
          </w:p>
        </w:tc>
        <w:tc>
          <w:tcPr>
            <w:tcW w:w="0" w:type="dxa"/>
            <w:vAlign w:val="bottom"/>
          </w:tcPr>
          <w:p>
            <w:pPr>
              <w:spacing w:after="0"/>
              <w:rPr>
                <w:sz w:val="1"/>
                <w:szCs w:val="1"/>
                <w:color w:val="auto"/>
              </w:rPr>
            </w:pPr>
          </w:p>
        </w:tc>
      </w:tr>
      <w:tr>
        <w:trPr>
          <w:trHeight w:val="190"/>
        </w:trPr>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Other investments (f)</w:t>
            </w:r>
          </w:p>
        </w:tc>
        <w:tc>
          <w:tcPr>
            <w:tcW w:w="1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3,767</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3,779</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5,307</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5,605</w:t>
            </w:r>
          </w:p>
        </w:tc>
        <w:tc>
          <w:tcPr>
            <w:tcW w:w="0" w:type="dxa"/>
            <w:vAlign w:val="bottom"/>
          </w:tcPr>
          <w:p>
            <w:pPr>
              <w:spacing w:after="0"/>
              <w:rPr>
                <w:sz w:val="1"/>
                <w:szCs w:val="1"/>
                <w:color w:val="auto"/>
              </w:rPr>
            </w:pPr>
          </w:p>
        </w:tc>
      </w:tr>
      <w:tr>
        <w:trPr>
          <w:trHeight w:val="183"/>
        </w:trPr>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Investments in unconsolidated ventures</w:t>
            </w: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121,022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170,122</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(7,529)</w:t>
            </w:r>
          </w:p>
        </w:tc>
        <w:tc>
          <w:tcPr>
            <w:tcW w:w="2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(9,868)</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40" w:hanging="332"/>
        <w:spacing w:after="0" w:line="263" w:lineRule="auto"/>
        <w:tabs>
          <w:tab w:leader="none" w:pos="338" w:val="left"/>
        </w:tabs>
        <w:numPr>
          <w:ilvl w:val="0"/>
          <w:numId w:val="33"/>
        </w:numPr>
        <w:rPr>
          <w:rFonts w:ascii="Arial" w:cs="Arial" w:eastAsia="Arial" w:hAnsi="Arial"/>
          <w:sz w:val="15"/>
          <w:szCs w:val="15"/>
          <w:color w:val="auto"/>
        </w:rPr>
      </w:pPr>
      <w:r>
        <w:rPr>
          <w:rFonts w:ascii="Arial" w:cs="Arial" w:eastAsia="Arial" w:hAnsi="Arial"/>
          <w:sz w:val="15"/>
          <w:szCs w:val="15"/>
          <w:color w:val="auto"/>
        </w:rPr>
        <w:t>Ownership interests presented reflect the Company’s stated ownership interest or if applicable, the Company’s final profit-sharing interest after receipt of any preferred returns based on the venture’s distribution priorities.</w:t>
      </w:r>
    </w:p>
    <w:p>
      <w:pPr>
        <w:ind w:left="340" w:hanging="332"/>
        <w:spacing w:after="0" w:line="253" w:lineRule="auto"/>
        <w:tabs>
          <w:tab w:leader="none" w:pos="33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Two of the operating equity investments were in a combined deficit position of $19.8 million at September 30, 2026, and $23.8 million at December 31, 2025, and presented in Other liabilities, net on the Condensed Consolidated Balance Sheets.</w:t>
      </w:r>
    </w:p>
    <w:p>
      <w:pPr>
        <w:jc w:val="both"/>
        <w:ind w:left="340" w:hanging="332"/>
        <w:spacing w:after="0" w:line="257" w:lineRule="auto"/>
        <w:tabs>
          <w:tab w:leader="none" w:pos="329" w:val="left"/>
        </w:tabs>
        <w:numPr>
          <w:ilvl w:val="0"/>
          <w:numId w:val="33"/>
        </w:numPr>
        <w:rPr>
          <w:rFonts w:ascii="Arial" w:cs="Arial" w:eastAsia="Arial" w:hAnsi="Arial"/>
          <w:sz w:val="15"/>
          <w:szCs w:val="15"/>
          <w:color w:val="auto"/>
        </w:rPr>
      </w:pPr>
      <w:r>
        <w:rPr>
          <w:rFonts w:ascii="Arial" w:cs="Arial" w:eastAsia="Arial" w:hAnsi="Arial"/>
          <w:sz w:val="15"/>
          <w:szCs w:val="15"/>
          <w:color w:val="auto"/>
        </w:rPr>
        <w:t>For these equity method investments, various provisions in the venture operating agreements regarding distributions of cash flow based on capital account balances, allocations of profits and losses, and preferred returns may result in the Company’s economic interest differing from its stated interest or final profit-sharing interest. For these investments, the Company recognizes income or loss based on the venture’s distribution priorities, which could fluctuate over time and may be different from its stated ownership or final profit-sharing interest.</w:t>
      </w:r>
    </w:p>
    <w:p>
      <w:pPr>
        <w:spacing w:after="0" w:line="1" w:lineRule="exact"/>
        <w:rPr>
          <w:rFonts w:ascii="Arial" w:cs="Arial" w:eastAsia="Arial" w:hAnsi="Arial"/>
          <w:sz w:val="15"/>
          <w:szCs w:val="15"/>
          <w:color w:val="auto"/>
        </w:rPr>
      </w:pPr>
    </w:p>
    <w:p>
      <w:pPr>
        <w:jc w:val="both"/>
        <w:ind w:left="340" w:right="20" w:hanging="332"/>
        <w:spacing w:after="0" w:line="254" w:lineRule="auto"/>
        <w:tabs>
          <w:tab w:leader="none" w:pos="33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Floreo is a VIE that was previously accounted for under the equity method. On July 26, 2026, a reconsideration event occurred, and as a result, the Company concluded that it was the primary beneficiary, and Floreo was prospectively consolidated on July 26, 2026. Prior to consolidation, the Company’s previously held equity method investment in Floreo was remeasured to its fair value as of the acquisition date, resulting in the recognition of a $19.4 million loss in Equity in earnings (losses) from unconsolidated ventures. Refer to Note 1 - </w:t>
      </w:r>
      <w:r>
        <w:rPr>
          <w:rFonts w:ascii="Arial" w:cs="Arial" w:eastAsia="Arial" w:hAnsi="Arial"/>
          <w:sz w:val="15"/>
          <w:szCs w:val="15"/>
          <w:i w:val="1"/>
          <w:iCs w:val="1"/>
          <w:color w:val="auto"/>
        </w:rPr>
        <w:t>Presentation of Financial Statements and Significant Accounting Policies</w:t>
      </w:r>
      <w:r>
        <w:rPr>
          <w:rFonts w:ascii="Arial" w:cs="Arial" w:eastAsia="Arial" w:hAnsi="Arial"/>
          <w:sz w:val="15"/>
          <w:szCs w:val="15"/>
          <w:color w:val="auto"/>
        </w:rPr>
        <w:t xml:space="preserve"> for the required consolidated VIE disclosures. Refer to Note 10 - </w:t>
      </w:r>
      <w:r>
        <w:rPr>
          <w:rFonts w:ascii="Arial" w:cs="Arial" w:eastAsia="Arial" w:hAnsi="Arial"/>
          <w:sz w:val="15"/>
          <w:szCs w:val="15"/>
          <w:i w:val="1"/>
          <w:iCs w:val="1"/>
          <w:color w:val="auto"/>
        </w:rPr>
        <w:t>Acquisitions and Dispositions of Real Estate Assets</w:t>
      </w:r>
      <w:r>
        <w:rPr>
          <w:rFonts w:ascii="Arial" w:cs="Arial" w:eastAsia="Arial" w:hAnsi="Arial"/>
          <w:sz w:val="15"/>
          <w:szCs w:val="15"/>
          <w:color w:val="auto"/>
        </w:rPr>
        <w:t xml:space="preserve"> for additional information related to the initial consolidation of Floreo.</w:t>
      </w:r>
    </w:p>
    <w:p>
      <w:pPr>
        <w:ind w:left="340" w:right="20" w:hanging="332"/>
        <w:spacing w:after="0" w:line="282" w:lineRule="auto"/>
        <w:tabs>
          <w:tab w:leader="none" w:pos="338" w:val="left"/>
        </w:tabs>
        <w:numPr>
          <w:ilvl w:val="0"/>
          <w:numId w:val="33"/>
        </w:numPr>
        <w:rPr>
          <w:rFonts w:ascii="Arial" w:cs="Arial" w:eastAsia="Arial" w:hAnsi="Arial"/>
          <w:sz w:val="15"/>
          <w:szCs w:val="15"/>
          <w:color w:val="auto"/>
        </w:rPr>
      </w:pPr>
      <w:r>
        <w:rPr>
          <w:rFonts w:ascii="Arial" w:cs="Arial" w:eastAsia="Arial" w:hAnsi="Arial"/>
          <w:sz w:val="15"/>
          <w:szCs w:val="15"/>
          <w:color w:val="auto"/>
        </w:rPr>
        <w:t>Classified as a VIE; however, the Company is not the primary beneficiary and accounts for its investment in accordance with the equity method. Refer to discussion below for additional information.</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4960" w:hanging="446"/>
        <w:spacing w:after="0"/>
        <w:tabs>
          <w:tab w:leader="none" w:pos="49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27" w:name="page28"/>
    <w:bookmarkEnd w:id="27"/>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43" w:lineRule="exact"/>
        <w:rPr>
          <w:sz w:val="20"/>
          <w:szCs w:val="20"/>
          <w:color w:val="auto"/>
        </w:rPr>
      </w:pPr>
    </w:p>
    <w:p>
      <w:pPr>
        <w:ind w:left="340" w:hanging="332"/>
        <w:spacing w:after="0" w:line="283" w:lineRule="auto"/>
        <w:tabs>
          <w:tab w:leader="none" w:pos="3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Other investments represent investments not accounted for under the equity method. There were no impairments, or upward or downward adjustments to the carrying amounts of these securities either during current year or cumulatively.</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00497F"/>
        </w:rPr>
        <w:t xml:space="preserve">The Summit </w:t>
      </w:r>
      <w:r>
        <w:rPr>
          <w:rFonts w:ascii="Arial" w:cs="Arial" w:eastAsia="Arial" w:hAnsi="Arial"/>
          <w:sz w:val="17"/>
          <w:szCs w:val="17"/>
          <w:color w:val="000000"/>
        </w:rPr>
        <w:t>In 2015, the Company formed DLV/HHPI Summerlin, LLC (The Summit) with Discovery to develop a custom home community in</w:t>
      </w:r>
      <w:r>
        <w:rPr>
          <w:rFonts w:ascii="Arial" w:cs="Arial" w:eastAsia="Arial" w:hAnsi="Arial"/>
          <w:sz w:val="17"/>
          <w:szCs w:val="17"/>
          <w:b w:val="1"/>
          <w:bCs w:val="1"/>
          <w:color w:val="00497F"/>
        </w:rPr>
        <w:t xml:space="preserve"> </w:t>
      </w:r>
      <w:r>
        <w:rPr>
          <w:rFonts w:ascii="Arial" w:cs="Arial" w:eastAsia="Arial" w:hAnsi="Arial"/>
          <w:sz w:val="17"/>
          <w:szCs w:val="17"/>
          <w:color w:val="000000"/>
        </w:rPr>
        <w:t>Summerlin. The Company contributed land for Phase I in 2015 and initially received distributions and recognized its share of income or loss based on the joint venture’s distribution priorities. The Company has now received all of its preferred return distributions, and recognizes its share of income or loss for Phase I based on its final profit-sharing interest.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2022, the Company contributed an additional 54 acres to The Summit (Phase II land). The Phase II land is adjacent to the existing Summit development and includes approximately 28 custom home sites. The first lot sales closed in the first quarter of 2023. The Company recognizes its share of income or loss for Phase II based on the joint venture’s distribution priorities in the amended Summit LLC agreement, which could fluctuate over time. Upon receipt of the Company’s preferred returns, distributions and recognition of income or loss will be allocated to the Company based on its final profit-sharing interest.</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00497F"/>
        </w:rPr>
        <w:t xml:space="preserve">Aspect </w:t>
      </w:r>
      <w:r>
        <w:rPr>
          <w:rFonts w:ascii="Arial" w:cs="Arial" w:eastAsia="Arial" w:hAnsi="Arial"/>
          <w:sz w:val="17"/>
          <w:szCs w:val="17"/>
          <w:color w:val="000000"/>
        </w:rPr>
        <w:t>In March 2026, the Company formed FP Aspect Holdings, LLC (Aspect) with Foulger-Pratt Development, LLC (Foulger-Pratt). Upon</w:t>
      </w:r>
      <w:r>
        <w:rPr>
          <w:rFonts w:ascii="Arial" w:cs="Arial" w:eastAsia="Arial" w:hAnsi="Arial"/>
          <w:sz w:val="17"/>
          <w:szCs w:val="17"/>
          <w:b w:val="1"/>
          <w:bCs w:val="1"/>
          <w:color w:val="00497F"/>
        </w:rPr>
        <w:t xml:space="preserve"> </w:t>
      </w:r>
      <w:r>
        <w:rPr>
          <w:rFonts w:ascii="Arial" w:cs="Arial" w:eastAsia="Arial" w:hAnsi="Arial"/>
          <w:sz w:val="17"/>
          <w:szCs w:val="17"/>
          <w:color w:val="000000"/>
        </w:rPr>
        <w:t>formation, the Company contributed $13.6 million in exchange for an 85% interest in Aspect and Foulger-Pratt contributed $2.4 million in exchange for a 15% interest. Per the LLC Agreement, Foulger-Pratt is the managing member. Aspect is classified as a VIE, however, despite the Company’s significant economic ownership, it does not have the ability to control the activities that most impact the economic performance of the venture, and as such is not the primary beneficiary. Accordingly, the Company does not consolidate Aspect and accounts for its ownership interest under the equity method. As of September 30, 2026, the Company’s maximum exposure to loss on this investment is limited to the $13.8 million aggregate carrying value as the Company has not made any other firm commitments to fund amounts on behalf of this VIE. Aspect was created to hold a 20% ownership interest in Aspect Alexandria QOZB, LLC (Aspect Lower Tier JV). In the first quarter of 2026, Aspect Lower Tier JV purchased four acres of land from West End Alexandria, as discussed below, and will utilize the land to develop a multifamily property within the West End Alexandria area. Aspect Lower Tier JV commenced construction on the multifamily property in March 2026.</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West End Alexandria </w:t>
      </w:r>
      <w:r>
        <w:rPr>
          <w:rFonts w:ascii="Arial" w:cs="Arial" w:eastAsia="Arial" w:hAnsi="Arial"/>
          <w:sz w:val="17"/>
          <w:szCs w:val="17"/>
          <w:color w:val="000000"/>
        </w:rPr>
        <w:t>In 2021, the Company entered into an Asset Contribution Agreement with Landmark Land Holdings, LLC (West End</w:t>
      </w:r>
      <w:r>
        <w:rPr>
          <w:rFonts w:ascii="Arial" w:cs="Arial" w:eastAsia="Arial" w:hAnsi="Arial"/>
          <w:sz w:val="17"/>
          <w:szCs w:val="17"/>
          <w:b w:val="1"/>
          <w:bCs w:val="1"/>
          <w:color w:val="00497F"/>
        </w:rPr>
        <w:t xml:space="preserve"> </w:t>
      </w:r>
      <w:r>
        <w:rPr>
          <w:rFonts w:ascii="Arial" w:cs="Arial" w:eastAsia="Arial" w:hAnsi="Arial"/>
          <w:sz w:val="17"/>
          <w:szCs w:val="17"/>
          <w:color w:val="000000"/>
        </w:rPr>
        <w:t>Alexandria) to redevelop a site previously known as Landmark Mall into a cohesive neighborhood with residential, retail and commercial properties. Other equity owners include Foulger-Pratt and Seritage SRC Finance. In exchange for equity interests in West End Alexandria, the Company conveyed its Landmark Mall property, Seritage conveyed additional land, and Foulger-Pratt contributed cash consideration. The Company does not have the ability to control the activities that most impact the economic performance of the venture as Foulger-Pratt is the managing member and manages all development activities. As such, the Company accounts for its ownership interest in accordance with the equity method.</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West End Alexandria was formed to complete demolition and horizontal infrastructure development work and then sell land parcels to other joint ventures or third parties for subsequent development. Foulger-Pratt manages construction of the development. Demolition was completed in 2023, and infrastructure work was completed in 2026. During the first quarter of 2026, West End Alexandria recognized a loss on sale of four acres of land to Aspect Lower Tier JV, which as mentioned above, will utilize the land to develop a multifamily property. During the third quarter of 2026, West End Alexandria recognized a gain on the sale of 4.6 acres of land to a third party to develop townhomes. The Company recognized equity earnings of $13.8 million during the three months ended September 30, 2026, and $8.9 million during the nine months ended September 30, 2026, primarily related to its share of these transactions.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Gateway A10 Holdings </w:t>
      </w:r>
      <w:r>
        <w:rPr>
          <w:rFonts w:ascii="Arial" w:cs="Arial" w:eastAsia="Arial" w:hAnsi="Arial"/>
          <w:sz w:val="17"/>
          <w:szCs w:val="17"/>
          <w:color w:val="000000"/>
        </w:rPr>
        <w:t>In September 2026, the Company contributed a 14.7-acre parcel of land in Columbia to its Gateway A10 Holdings joint</w:t>
      </w:r>
      <w:r>
        <w:rPr>
          <w:rFonts w:ascii="Arial" w:cs="Arial" w:eastAsia="Arial" w:hAnsi="Arial"/>
          <w:sz w:val="17"/>
          <w:szCs w:val="17"/>
          <w:b w:val="1"/>
          <w:bCs w:val="1"/>
          <w:color w:val="00497F"/>
        </w:rPr>
        <w:t xml:space="preserve"> </w:t>
      </w:r>
      <w:r>
        <w:rPr>
          <w:rFonts w:ascii="Arial" w:cs="Arial" w:eastAsia="Arial" w:hAnsi="Arial"/>
          <w:sz w:val="17"/>
          <w:szCs w:val="17"/>
          <w:color w:val="000000"/>
        </w:rPr>
        <w:t>venture with SCG Realty Company LLC to develop a build-to-suit warehouse that will be leased by Saval Foods, LLC. The Company contributed the land at a fair value of $10.0 million and received a $1.1 million special distribution, retaining a 50% interest valued at $8.9 million. After derecognizing the land’s carrying amount of $3.8 million, the Company recognized a gain of $6.2 million in Gain on sale or disposal of real estate and other assets, net in the Condensed Consolidated Statements of Operations. Gateway A10 Holdings obtained a construction loan of up to $41.7 million to fund the development, with no borrowings outstanding as of September 30, 2026. The remainder of the development cost is expected to be funded by SCG Realty Company LLC.</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Gateway A10 Holdings was determined to be a VIE, however, the Company is not the primary beneficiary as it does not have the ability to control the activities that most impact the economic performance of the venture. Accordingly, the Company does not consolidate Gateway A10 Holdings and accounts for its ownership interest under the equity method. As of September 30, 2026, the Company’s maximum exposure to loss includes the $8.9 million carrying value of its investment.</w:t>
      </w:r>
    </w:p>
    <w:p>
      <w:pPr>
        <w:spacing w:after="0" w:line="200" w:lineRule="exact"/>
        <w:rPr>
          <w:sz w:val="20"/>
          <w:szCs w:val="20"/>
          <w:color w:val="auto"/>
        </w:rPr>
      </w:pPr>
    </w:p>
    <w:p>
      <w:pPr>
        <w:spacing w:after="0" w:line="354" w:lineRule="exact"/>
        <w:rPr>
          <w:sz w:val="20"/>
          <w:szCs w:val="20"/>
          <w:color w:val="auto"/>
        </w:rPr>
      </w:pPr>
    </w:p>
    <w:p>
      <w:pPr>
        <w:ind w:left="4960" w:hanging="446"/>
        <w:spacing w:after="0"/>
        <w:tabs>
          <w:tab w:leader="none" w:pos="4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6. Mortgages, Notes, and Loans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Mortgages, Notes, and Loans Payable, Net </w:t>
      </w:r>
      <w:r>
        <w:rPr>
          <w:rFonts w:ascii="Arial" w:cs="Arial" w:eastAsia="Arial" w:hAnsi="Arial"/>
          <w:sz w:val="17"/>
          <w:szCs w:val="17"/>
          <w:color w:val="000000"/>
        </w:rPr>
        <w:t>All outstanding mortgages, notes, and loans payable of HHH are held by HHC and its subsidiaries.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020" w:type="dxa"/>
            <w:vAlign w:val="bottom"/>
            <w:tcBorders>
              <w:top w:val="single" w:sz="8" w:color="auto"/>
              <w:bottom w:val="single" w:sz="8" w:color="auto"/>
            </w:tcBorders>
            <w:shd w:val="clear" w:color="auto" w:fill="D8D8D8"/>
          </w:tcPr>
          <w:p>
            <w:pPr>
              <w:spacing w:after="0"/>
              <w:rPr>
                <w:sz w:val="21"/>
                <w:szCs w:val="21"/>
                <w:color w:val="auto"/>
              </w:rPr>
            </w:pPr>
          </w:p>
        </w:tc>
        <w:tc>
          <w:tcPr>
            <w:tcW w:w="1980" w:type="dxa"/>
            <w:vAlign w:val="bottom"/>
            <w:tcBorders>
              <w:top w:val="single" w:sz="8" w:color="auto"/>
              <w:bottom w:val="single" w:sz="8" w:color="auto"/>
            </w:tcBorders>
            <w:shd w:val="clear" w:color="auto" w:fill="D8D8D8"/>
          </w:tcPr>
          <w:p>
            <w:pPr>
              <w:jc w:val="right"/>
              <w:ind w:right="235"/>
              <w:spacing w:after="0"/>
              <w:rPr>
                <w:sz w:val="20"/>
                <w:szCs w:val="20"/>
                <w:color w:val="auto"/>
              </w:rPr>
            </w:pPr>
            <w:r>
              <w:rPr>
                <w:rFonts w:ascii="Arial" w:cs="Arial" w:eastAsia="Arial" w:hAnsi="Arial"/>
                <w:sz w:val="17"/>
                <w:szCs w:val="17"/>
                <w:b w:val="1"/>
                <w:bCs w:val="1"/>
                <w:color w:val="auto"/>
              </w:rPr>
              <w:t>September 30, 2026</w:t>
            </w:r>
          </w:p>
        </w:tc>
        <w:tc>
          <w:tcPr>
            <w:tcW w:w="280" w:type="dxa"/>
            <w:vAlign w:val="bottom"/>
            <w:tcBorders>
              <w:top w:val="single" w:sz="8" w:color="auto"/>
              <w:bottom w:val="single" w:sz="8" w:color="auto"/>
            </w:tcBorders>
            <w:shd w:val="clear" w:color="auto" w:fill="D8D8D8"/>
          </w:tcPr>
          <w:p>
            <w:pPr>
              <w:spacing w:after="0"/>
              <w:rPr>
                <w:sz w:val="21"/>
                <w:szCs w:val="21"/>
                <w:color w:val="auto"/>
              </w:rPr>
            </w:pPr>
          </w:p>
        </w:tc>
        <w:tc>
          <w:tcPr>
            <w:tcW w:w="1960" w:type="dxa"/>
            <w:vAlign w:val="bottom"/>
            <w:tcBorders>
              <w:top w:val="single" w:sz="8" w:color="auto"/>
              <w:bottom w:val="single" w:sz="8" w:color="auto"/>
            </w:tcBorders>
            <w:shd w:val="clear" w:color="auto" w:fill="D8D8D8"/>
          </w:tcPr>
          <w:p>
            <w:pPr>
              <w:jc w:val="right"/>
              <w:ind w:right="255"/>
              <w:spacing w:after="0"/>
              <w:rPr>
                <w:sz w:val="20"/>
                <w:szCs w:val="20"/>
                <w:color w:val="auto"/>
              </w:rPr>
            </w:pPr>
            <w:r>
              <w:rPr>
                <w:rFonts w:ascii="Arial" w:cs="Arial" w:eastAsia="Arial" w:hAnsi="Arial"/>
                <w:sz w:val="17"/>
                <w:szCs w:val="17"/>
                <w:color w:val="auto"/>
              </w:rPr>
              <w:t>December 31, 2025</w:t>
            </w:r>
          </w:p>
        </w:tc>
      </w:tr>
      <w:tr>
        <w:trPr>
          <w:trHeight w:val="214"/>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Fixed-rate debt</w:t>
            </w: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7"/>
                <w:szCs w:val="17"/>
                <w:color w:val="auto"/>
              </w:rPr>
              <w:t>Senior unsecured notes</w:t>
            </w: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80" w:type="dxa"/>
            <w:vAlign w:val="bottom"/>
          </w:tcPr>
          <w:p>
            <w:pPr>
              <w:jc w:val="right"/>
              <w:ind w:right="35"/>
              <w:spacing w:after="0"/>
              <w:rPr>
                <w:sz w:val="20"/>
                <w:szCs w:val="20"/>
                <w:color w:val="auto"/>
              </w:rPr>
            </w:pPr>
            <w:r>
              <w:rPr>
                <w:rFonts w:ascii="Arial" w:cs="Arial" w:eastAsia="Arial" w:hAnsi="Arial"/>
                <w:sz w:val="17"/>
                <w:szCs w:val="17"/>
                <w:b w:val="1"/>
                <w:bCs w:val="1"/>
                <w:color w:val="auto"/>
              </w:rPr>
              <w:t>2,300,000</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2,050,000</w:t>
            </w:r>
          </w:p>
        </w:tc>
      </w:tr>
      <w:tr>
        <w:trPr>
          <w:trHeight w:val="229"/>
        </w:trPr>
        <w:tc>
          <w:tcPr>
            <w:tcW w:w="5000" w:type="dxa"/>
            <w:vAlign w:val="bottom"/>
          </w:tcPr>
          <w:p>
            <w:pPr>
              <w:ind w:left="140"/>
              <w:spacing w:after="0"/>
              <w:rPr>
                <w:sz w:val="20"/>
                <w:szCs w:val="20"/>
                <w:color w:val="auto"/>
              </w:rPr>
            </w:pPr>
            <w:r>
              <w:rPr>
                <w:rFonts w:ascii="Arial" w:cs="Arial" w:eastAsia="Arial" w:hAnsi="Arial"/>
                <w:sz w:val="17"/>
                <w:szCs w:val="17"/>
                <w:color w:val="auto"/>
              </w:rPr>
              <w:t>Secured mortgages payable</w:t>
            </w:r>
          </w:p>
        </w:tc>
        <w:tc>
          <w:tcPr>
            <w:tcW w:w="202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Arial" w:cs="Arial" w:eastAsia="Arial" w:hAnsi="Arial"/>
                <w:sz w:val="17"/>
                <w:szCs w:val="17"/>
                <w:b w:val="1"/>
                <w:bCs w:val="1"/>
                <w:color w:val="auto"/>
              </w:rPr>
              <w:t>1,729,616</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1,793,561</w:t>
            </w:r>
          </w:p>
        </w:tc>
      </w:tr>
      <w:tr>
        <w:trPr>
          <w:trHeight w:val="230"/>
        </w:trPr>
        <w:tc>
          <w:tcPr>
            <w:tcW w:w="5000" w:type="dxa"/>
            <w:vAlign w:val="bottom"/>
          </w:tcPr>
          <w:p>
            <w:pPr>
              <w:ind w:left="140"/>
              <w:spacing w:after="0"/>
              <w:rPr>
                <w:sz w:val="20"/>
                <w:szCs w:val="20"/>
                <w:color w:val="auto"/>
              </w:rPr>
            </w:pPr>
            <w:r>
              <w:rPr>
                <w:rFonts w:ascii="Arial" w:cs="Arial" w:eastAsia="Arial" w:hAnsi="Arial"/>
                <w:sz w:val="17"/>
                <w:szCs w:val="17"/>
                <w:color w:val="auto"/>
              </w:rPr>
              <w:t>Special Improvement District bonds</w:t>
            </w:r>
          </w:p>
        </w:tc>
        <w:tc>
          <w:tcPr>
            <w:tcW w:w="202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Arial" w:cs="Arial" w:eastAsia="Arial" w:hAnsi="Arial"/>
                <w:sz w:val="17"/>
                <w:szCs w:val="17"/>
                <w:b w:val="1"/>
                <w:bCs w:val="1"/>
                <w:color w:val="auto"/>
              </w:rPr>
              <w:t>64,089</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80,294</w:t>
            </w:r>
          </w:p>
        </w:tc>
      </w:tr>
      <w:tr>
        <w:trPr>
          <w:trHeight w:val="229"/>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Variable-rate debt (a)</w:t>
            </w:r>
          </w:p>
        </w:tc>
        <w:tc>
          <w:tcPr>
            <w:tcW w:w="20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7"/>
                <w:szCs w:val="17"/>
                <w:color w:val="auto"/>
              </w:rPr>
              <w:t>Secured Bridgeland Note</w:t>
            </w:r>
          </w:p>
        </w:tc>
        <w:tc>
          <w:tcPr>
            <w:tcW w:w="202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Arial" w:cs="Arial" w:eastAsia="Arial" w:hAnsi="Arial"/>
                <w:sz w:val="17"/>
                <w:szCs w:val="17"/>
                <w:b w:val="1"/>
                <w:bCs w:val="1"/>
                <w:color w:val="auto"/>
              </w:rPr>
              <w:t>85,000</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85,000</w:t>
            </w:r>
          </w:p>
        </w:tc>
      </w:tr>
      <w:tr>
        <w:trPr>
          <w:trHeight w:val="229"/>
        </w:trPr>
        <w:tc>
          <w:tcPr>
            <w:tcW w:w="5000" w:type="dxa"/>
            <w:vAlign w:val="bottom"/>
          </w:tcPr>
          <w:p>
            <w:pPr>
              <w:ind w:left="140"/>
              <w:spacing w:after="0"/>
              <w:rPr>
                <w:sz w:val="20"/>
                <w:szCs w:val="20"/>
                <w:color w:val="auto"/>
              </w:rPr>
            </w:pPr>
            <w:r>
              <w:rPr>
                <w:rFonts w:ascii="Arial" w:cs="Arial" w:eastAsia="Arial" w:hAnsi="Arial"/>
                <w:sz w:val="17"/>
                <w:szCs w:val="17"/>
                <w:color w:val="auto"/>
              </w:rPr>
              <w:t>Secured Floreo Note</w:t>
            </w:r>
          </w:p>
        </w:tc>
        <w:tc>
          <w:tcPr>
            <w:tcW w:w="202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Arial" w:cs="Arial" w:eastAsia="Arial" w:hAnsi="Arial"/>
                <w:sz w:val="17"/>
                <w:szCs w:val="17"/>
                <w:b w:val="1"/>
                <w:bCs w:val="1"/>
                <w:color w:val="auto"/>
              </w:rPr>
              <w:t>275,963</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000" w:type="dxa"/>
            <w:vAlign w:val="bottom"/>
          </w:tcPr>
          <w:p>
            <w:pPr>
              <w:ind w:left="140"/>
              <w:spacing w:after="0"/>
              <w:rPr>
                <w:sz w:val="20"/>
                <w:szCs w:val="20"/>
                <w:color w:val="auto"/>
              </w:rPr>
            </w:pPr>
            <w:r>
              <w:rPr>
                <w:rFonts w:ascii="Arial" w:cs="Arial" w:eastAsia="Arial" w:hAnsi="Arial"/>
                <w:sz w:val="17"/>
                <w:szCs w:val="17"/>
                <w:color w:val="auto"/>
              </w:rPr>
              <w:t>Secured mortgages payable</w:t>
            </w:r>
          </w:p>
        </w:tc>
        <w:tc>
          <w:tcPr>
            <w:tcW w:w="202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Arial" w:cs="Arial" w:eastAsia="Arial" w:hAnsi="Arial"/>
                <w:sz w:val="17"/>
                <w:szCs w:val="17"/>
                <w:b w:val="1"/>
                <w:bCs w:val="1"/>
                <w:color w:val="auto"/>
              </w:rPr>
              <w:t>1,295,666</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1,135,359</w:t>
            </w:r>
          </w:p>
        </w:tc>
      </w:tr>
      <w:tr>
        <w:trPr>
          <w:trHeight w:val="23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Unamortized deferred financing costs (b)</w:t>
            </w:r>
          </w:p>
        </w:tc>
        <w:tc>
          <w:tcPr>
            <w:tcW w:w="20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(46,385)</w:t>
            </w: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(34,386)</w:t>
            </w:r>
          </w:p>
        </w:tc>
      </w:tr>
      <w:tr>
        <w:trPr>
          <w:trHeight w:val="225"/>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Mortgages, notes, and loans payable, net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5,703,949</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5,109,828</w:t>
            </w:r>
          </w:p>
        </w:tc>
      </w:tr>
    </w:tbl>
    <w:p>
      <w:pPr>
        <w:spacing w:after="0" w:line="134" w:lineRule="exact"/>
        <w:rPr>
          <w:sz w:val="20"/>
          <w:szCs w:val="20"/>
          <w:color w:val="auto"/>
        </w:rPr>
      </w:pPr>
    </w:p>
    <w:p>
      <w:pPr>
        <w:ind w:left="340" w:right="20" w:hanging="332"/>
        <w:spacing w:after="0" w:line="263" w:lineRule="auto"/>
        <w:tabs>
          <w:tab w:leader="none" w:pos="3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Company has entered into derivative instruments to manage the variable interest rate exposure for certain debt positions. See Note 7 -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Hedging Activities </w:t>
      </w:r>
      <w:r>
        <w:rPr>
          <w:rFonts w:ascii="Arial" w:cs="Arial" w:eastAsia="Arial" w:hAnsi="Arial"/>
          <w:sz w:val="16"/>
          <w:szCs w:val="16"/>
          <w:color w:val="auto"/>
        </w:rPr>
        <w:t>for additional information.</w:t>
      </w:r>
    </w:p>
    <w:p>
      <w:pPr>
        <w:ind w:left="340" w:hanging="332"/>
        <w:spacing w:after="0" w:line="270" w:lineRule="auto"/>
        <w:tabs>
          <w:tab w:leader="none" w:pos="3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Deferred financing costs are amortized to interest expense over the initial contractual term of the respective financing agreements using the effective interest method (or other methods which approximate the effective interest method).</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of September 30, 2026, land, buildings and equipment, developments, and other collateral with a net book value of $5.1 billion have been pledged as collateral for the Company’s mortgages, notes, and loans payable.</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Senior Unsecured Notes </w:t>
      </w:r>
      <w:r>
        <w:rPr>
          <w:rFonts w:ascii="Arial" w:cs="Arial" w:eastAsia="Arial" w:hAnsi="Arial"/>
          <w:sz w:val="17"/>
          <w:szCs w:val="17"/>
          <w:color w:val="auto"/>
        </w:rPr>
        <w:t>In February 2026, HHC, the Company’s wholly owned subsidiary, issued $500.0 million of 5.875% senior unsecured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due 2032 and $500.0 million of 6.125% senior unsecured notes due 2034 (collectively, the February 2026 Senior Notes). Interest is payable semi-annually, beginning in September 2026. HHC used the net proceeds to redeem its outstanding $750.0 million 5.375% senior unsecured notes due 2028 and used the remaining proceeds for general corporate purposes.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February 2026 Senior Notes were offered in a private placement, solely to persons reasonably believed to be qualified institutional buyers. These notes have not been, and will not be, registered under the Securities Act or the securities laws of any other jurisdiction and may not be offered or sold in the United States absent registration or an applicable exemption from the registration requirements.</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summarizes the Company’s senior unsecured notes by issuance date. These notes have fixed rates of interest that are payable semi-annually and are interest only until maturity.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 in thousands</w:t>
            </w:r>
          </w:p>
        </w:tc>
        <w:tc>
          <w:tcPr>
            <w:tcW w:w="2400" w:type="dxa"/>
            <w:vAlign w:val="bottom"/>
            <w:tcBorders>
              <w:top w:val="single" w:sz="8" w:color="auto"/>
              <w:bottom w:val="single" w:sz="8" w:color="auto"/>
            </w:tcBorders>
            <w:shd w:val="clear" w:color="auto" w:fill="DBDBDB"/>
          </w:tcPr>
          <w:p>
            <w:pPr>
              <w:spacing w:after="0"/>
              <w:rPr>
                <w:sz w:val="21"/>
                <w:szCs w:val="21"/>
                <w:color w:val="auto"/>
              </w:rPr>
            </w:pPr>
          </w:p>
        </w:tc>
        <w:tc>
          <w:tcPr>
            <w:tcW w:w="138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Principal</w:t>
            </w:r>
          </w:p>
        </w:tc>
        <w:tc>
          <w:tcPr>
            <w:tcW w:w="1820" w:type="dxa"/>
            <w:vAlign w:val="bottom"/>
            <w:tcBorders>
              <w:top w:val="single" w:sz="8" w:color="auto"/>
              <w:bottom w:val="single" w:sz="8" w:color="auto"/>
            </w:tcBorders>
            <w:shd w:val="clear" w:color="auto" w:fill="DBDBDB"/>
          </w:tcPr>
          <w:p>
            <w:pPr>
              <w:ind w:left="340"/>
              <w:spacing w:after="0"/>
              <w:rPr>
                <w:sz w:val="20"/>
                <w:szCs w:val="20"/>
                <w:color w:val="auto"/>
              </w:rPr>
            </w:pPr>
            <w:r>
              <w:rPr>
                <w:rFonts w:ascii="Arial" w:cs="Arial" w:eastAsia="Arial" w:hAnsi="Arial"/>
                <w:sz w:val="17"/>
                <w:szCs w:val="17"/>
                <w:b w:val="1"/>
                <w:bCs w:val="1"/>
                <w:color w:val="auto"/>
              </w:rPr>
              <w:t>Maturity Date</w:t>
            </w:r>
          </w:p>
        </w:tc>
        <w:tc>
          <w:tcPr>
            <w:tcW w:w="1580" w:type="dxa"/>
            <w:vAlign w:val="bottom"/>
            <w:tcBorders>
              <w:top w:val="single" w:sz="8" w:color="auto"/>
              <w:bottom w:val="single" w:sz="8" w:color="auto"/>
            </w:tcBorders>
            <w:shd w:val="clear" w:color="auto" w:fill="DBDBDB"/>
          </w:tcPr>
          <w:p>
            <w:pPr>
              <w:jc w:val="center"/>
              <w:ind w:left="95"/>
              <w:spacing w:after="0"/>
              <w:rPr>
                <w:sz w:val="20"/>
                <w:szCs w:val="20"/>
                <w:color w:val="auto"/>
              </w:rPr>
            </w:pPr>
            <w:r>
              <w:rPr>
                <w:rFonts w:ascii="Arial" w:cs="Arial" w:eastAsia="Arial" w:hAnsi="Arial"/>
                <w:sz w:val="17"/>
                <w:szCs w:val="17"/>
                <w:b w:val="1"/>
                <w:bCs w:val="1"/>
                <w:color w:val="auto"/>
              </w:rPr>
              <w:t>Interest Rate</w:t>
            </w:r>
          </w:p>
        </w:tc>
      </w:tr>
      <w:tr>
        <w:trPr>
          <w:trHeight w:val="214"/>
        </w:trPr>
        <w:tc>
          <w:tcPr>
            <w:tcW w:w="4060" w:type="dxa"/>
            <w:vAlign w:val="bottom"/>
          </w:tcPr>
          <w:p>
            <w:pPr>
              <w:ind w:left="20"/>
              <w:spacing w:after="0"/>
              <w:rPr>
                <w:sz w:val="20"/>
                <w:szCs w:val="20"/>
                <w:color w:val="auto"/>
              </w:rPr>
            </w:pPr>
            <w:r>
              <w:rPr>
                <w:rFonts w:ascii="Arial" w:cs="Arial" w:eastAsia="Arial" w:hAnsi="Arial"/>
                <w:sz w:val="17"/>
                <w:szCs w:val="17"/>
                <w:color w:val="auto"/>
              </w:rPr>
              <w:t>February 2021</w:t>
            </w:r>
          </w:p>
        </w:tc>
        <w:tc>
          <w:tcPr>
            <w:tcW w:w="240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650,000</w:t>
            </w:r>
          </w:p>
        </w:tc>
        <w:tc>
          <w:tcPr>
            <w:tcW w:w="1820" w:type="dxa"/>
            <w:vAlign w:val="bottom"/>
          </w:tcPr>
          <w:p>
            <w:pPr>
              <w:ind w:left="320"/>
              <w:spacing w:after="0"/>
              <w:rPr>
                <w:sz w:val="20"/>
                <w:szCs w:val="20"/>
                <w:color w:val="auto"/>
              </w:rPr>
            </w:pPr>
            <w:r>
              <w:rPr>
                <w:rFonts w:ascii="Arial" w:cs="Arial" w:eastAsia="Arial" w:hAnsi="Arial"/>
                <w:sz w:val="17"/>
                <w:szCs w:val="17"/>
                <w:color w:val="auto"/>
              </w:rPr>
              <w:t>February 2029</w:t>
            </w:r>
          </w:p>
        </w:tc>
        <w:tc>
          <w:tcPr>
            <w:tcW w:w="1580" w:type="dxa"/>
            <w:vAlign w:val="bottom"/>
          </w:tcPr>
          <w:p>
            <w:pPr>
              <w:jc w:val="center"/>
              <w:ind w:left="115"/>
              <w:spacing w:after="0"/>
              <w:rPr>
                <w:sz w:val="20"/>
                <w:szCs w:val="20"/>
                <w:color w:val="auto"/>
              </w:rPr>
            </w:pPr>
            <w:r>
              <w:rPr>
                <w:rFonts w:ascii="Arial" w:cs="Arial" w:eastAsia="Arial" w:hAnsi="Arial"/>
                <w:sz w:val="17"/>
                <w:szCs w:val="17"/>
                <w:color w:val="auto"/>
              </w:rPr>
              <w:t>4.125%</w:t>
            </w:r>
          </w:p>
        </w:tc>
      </w:tr>
      <w:tr>
        <w:trPr>
          <w:trHeight w:val="225"/>
        </w:trPr>
        <w:tc>
          <w:tcPr>
            <w:tcW w:w="4060" w:type="dxa"/>
            <w:vAlign w:val="bottom"/>
          </w:tcPr>
          <w:p>
            <w:pPr>
              <w:ind w:left="20"/>
              <w:spacing w:after="0"/>
              <w:rPr>
                <w:sz w:val="20"/>
                <w:szCs w:val="20"/>
                <w:color w:val="auto"/>
              </w:rPr>
            </w:pPr>
            <w:r>
              <w:rPr>
                <w:rFonts w:ascii="Arial" w:cs="Arial" w:eastAsia="Arial" w:hAnsi="Arial"/>
                <w:sz w:val="17"/>
                <w:szCs w:val="17"/>
                <w:color w:val="auto"/>
              </w:rPr>
              <w:t>February 2021</w:t>
            </w:r>
          </w:p>
        </w:tc>
        <w:tc>
          <w:tcPr>
            <w:tcW w:w="2400" w:type="dxa"/>
            <w:vAlign w:val="bottom"/>
          </w:tcPr>
          <w:p>
            <w:pPr>
              <w:spacing w:after="0"/>
              <w:rPr>
                <w:sz w:val="19"/>
                <w:szCs w:val="19"/>
                <w:color w:val="auto"/>
              </w:rPr>
            </w:pP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650,000</w:t>
            </w:r>
          </w:p>
        </w:tc>
        <w:tc>
          <w:tcPr>
            <w:tcW w:w="1820" w:type="dxa"/>
            <w:vAlign w:val="bottom"/>
          </w:tcPr>
          <w:p>
            <w:pPr>
              <w:ind w:left="320"/>
              <w:spacing w:after="0"/>
              <w:rPr>
                <w:sz w:val="20"/>
                <w:szCs w:val="20"/>
                <w:color w:val="auto"/>
              </w:rPr>
            </w:pPr>
            <w:r>
              <w:rPr>
                <w:rFonts w:ascii="Arial" w:cs="Arial" w:eastAsia="Arial" w:hAnsi="Arial"/>
                <w:sz w:val="17"/>
                <w:szCs w:val="17"/>
                <w:color w:val="auto"/>
              </w:rPr>
              <w:t>February 2031</w:t>
            </w:r>
          </w:p>
        </w:tc>
        <w:tc>
          <w:tcPr>
            <w:tcW w:w="1580" w:type="dxa"/>
            <w:vAlign w:val="bottom"/>
          </w:tcPr>
          <w:p>
            <w:pPr>
              <w:jc w:val="center"/>
              <w:ind w:left="115"/>
              <w:spacing w:after="0"/>
              <w:rPr>
                <w:sz w:val="20"/>
                <w:szCs w:val="20"/>
                <w:color w:val="auto"/>
              </w:rPr>
            </w:pPr>
            <w:r>
              <w:rPr>
                <w:rFonts w:ascii="Arial" w:cs="Arial" w:eastAsia="Arial" w:hAnsi="Arial"/>
                <w:sz w:val="17"/>
                <w:szCs w:val="17"/>
                <w:color w:val="auto"/>
              </w:rPr>
              <w:t>4.375%</w:t>
            </w:r>
          </w:p>
        </w:tc>
      </w:tr>
      <w:tr>
        <w:trPr>
          <w:trHeight w:val="230"/>
        </w:trPr>
        <w:tc>
          <w:tcPr>
            <w:tcW w:w="4060" w:type="dxa"/>
            <w:vAlign w:val="bottom"/>
          </w:tcPr>
          <w:p>
            <w:pPr>
              <w:ind w:left="20"/>
              <w:spacing w:after="0"/>
              <w:rPr>
                <w:sz w:val="20"/>
                <w:szCs w:val="20"/>
                <w:color w:val="auto"/>
              </w:rPr>
            </w:pPr>
            <w:r>
              <w:rPr>
                <w:rFonts w:ascii="Arial" w:cs="Arial" w:eastAsia="Arial" w:hAnsi="Arial"/>
                <w:sz w:val="17"/>
                <w:szCs w:val="17"/>
                <w:color w:val="auto"/>
              </w:rPr>
              <w:t>February 2026</w:t>
            </w:r>
          </w:p>
        </w:tc>
        <w:tc>
          <w:tcPr>
            <w:tcW w:w="2400" w:type="dxa"/>
            <w:vAlign w:val="bottom"/>
          </w:tcPr>
          <w:p>
            <w:pPr>
              <w:spacing w:after="0"/>
              <w:rPr>
                <w:sz w:val="19"/>
                <w:szCs w:val="19"/>
                <w:color w:val="auto"/>
              </w:rPr>
            </w:pP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500,000</w:t>
            </w:r>
          </w:p>
        </w:tc>
        <w:tc>
          <w:tcPr>
            <w:tcW w:w="1820" w:type="dxa"/>
            <w:vAlign w:val="bottom"/>
          </w:tcPr>
          <w:p>
            <w:pPr>
              <w:ind w:left="320"/>
              <w:spacing w:after="0"/>
              <w:rPr>
                <w:sz w:val="20"/>
                <w:szCs w:val="20"/>
                <w:color w:val="auto"/>
              </w:rPr>
            </w:pPr>
            <w:r>
              <w:rPr>
                <w:rFonts w:ascii="Arial" w:cs="Arial" w:eastAsia="Arial" w:hAnsi="Arial"/>
                <w:sz w:val="17"/>
                <w:szCs w:val="17"/>
                <w:color w:val="auto"/>
              </w:rPr>
              <w:t>February 2032</w:t>
            </w:r>
          </w:p>
        </w:tc>
        <w:tc>
          <w:tcPr>
            <w:tcW w:w="1580" w:type="dxa"/>
            <w:vAlign w:val="bottom"/>
          </w:tcPr>
          <w:p>
            <w:pPr>
              <w:jc w:val="center"/>
              <w:ind w:left="115"/>
              <w:spacing w:after="0"/>
              <w:rPr>
                <w:sz w:val="20"/>
                <w:szCs w:val="20"/>
                <w:color w:val="auto"/>
              </w:rPr>
            </w:pPr>
            <w:r>
              <w:rPr>
                <w:rFonts w:ascii="Arial" w:cs="Arial" w:eastAsia="Arial" w:hAnsi="Arial"/>
                <w:sz w:val="17"/>
                <w:szCs w:val="17"/>
                <w:color w:val="auto"/>
              </w:rPr>
              <w:t>5.875%</w:t>
            </w:r>
          </w:p>
        </w:tc>
      </w:tr>
      <w:tr>
        <w:trPr>
          <w:trHeight w:val="23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February 2026</w:t>
            </w:r>
          </w:p>
        </w:tc>
        <w:tc>
          <w:tcPr>
            <w:tcW w:w="2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500,000</w:t>
            </w:r>
          </w:p>
        </w:tc>
        <w:tc>
          <w:tcPr>
            <w:tcW w:w="18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February 2034</w:t>
            </w:r>
          </w:p>
        </w:tc>
        <w:tc>
          <w:tcPr>
            <w:tcW w:w="1580" w:type="dxa"/>
            <w:vAlign w:val="bottom"/>
            <w:tcBorders>
              <w:bottom w:val="single" w:sz="8" w:color="auto"/>
            </w:tcBorders>
          </w:tcPr>
          <w:p>
            <w:pPr>
              <w:jc w:val="center"/>
              <w:ind w:left="115"/>
              <w:spacing w:after="0"/>
              <w:rPr>
                <w:sz w:val="20"/>
                <w:szCs w:val="20"/>
                <w:color w:val="auto"/>
              </w:rPr>
            </w:pPr>
            <w:r>
              <w:rPr>
                <w:rFonts w:ascii="Arial" w:cs="Arial" w:eastAsia="Arial" w:hAnsi="Arial"/>
                <w:sz w:val="17"/>
                <w:szCs w:val="17"/>
                <w:color w:val="auto"/>
              </w:rPr>
              <w:t>6.125%</w:t>
            </w:r>
          </w:p>
        </w:tc>
      </w:tr>
      <w:tr>
        <w:trPr>
          <w:trHeight w:val="22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Senior unsecured notes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2,300,000</w:t>
            </w:r>
          </w:p>
        </w:tc>
        <w:tc>
          <w:tcPr>
            <w:tcW w:w="18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Secured Mortgages Payable </w:t>
      </w:r>
      <w:r>
        <w:rPr>
          <w:rFonts w:ascii="Arial" w:cs="Arial" w:eastAsia="Arial" w:hAnsi="Arial"/>
          <w:sz w:val="17"/>
          <w:szCs w:val="17"/>
          <w:color w:val="auto"/>
        </w:rPr>
        <w:t>The Company’s outstanding mortgages are collateralized by certain of the Company’s real estate assets. Certain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loans contain provisions that grant the lender a security interest in the operating cash flow of the property that represents the collateral for the loan. Certain mortgage notes may be prepaid subject to a prepayment penalty equal to a yield maintenance premium, defeasance, or a percentage of the loan balance. Construction loans related to the Company’s development properties are generally variable-rate, interest-only, and have maturities of five years or less. Debt obligations related to the Company’s operating properties generally require monthly installments of principal and interest. The Company’s secured mortgages mature over various terms through September 2052.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secured mortgages payable: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40" w:type="dxa"/>
            <w:vAlign w:val="bottom"/>
            <w:tcBorders>
              <w:top w:val="single" w:sz="8" w:color="auto"/>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980" w:type="dxa"/>
            <w:vAlign w:val="bottom"/>
            <w:tcBorders>
              <w:top w:val="single" w:sz="8" w:color="auto"/>
              <w:bottom w:val="single" w:sz="8" w:color="auto"/>
            </w:tcBorders>
            <w:shd w:val="clear" w:color="auto" w:fill="DBDBDB"/>
          </w:tcPr>
          <w:p>
            <w:pPr>
              <w:spacing w:after="0"/>
              <w:rPr>
                <w:sz w:val="21"/>
                <w:szCs w:val="21"/>
                <w:color w:val="auto"/>
              </w:rPr>
            </w:pPr>
          </w:p>
        </w:tc>
        <w:tc>
          <w:tcPr>
            <w:tcW w:w="2640" w:type="dxa"/>
            <w:vAlign w:val="bottom"/>
            <w:tcBorders>
              <w:top w:val="single" w:sz="8" w:color="auto"/>
              <w:bottom w:val="single" w:sz="8" w:color="auto"/>
            </w:tcBorders>
            <w:gridSpan w:val="2"/>
            <w:shd w:val="clear" w:color="auto" w:fill="DBDBDB"/>
          </w:tcPr>
          <w:p>
            <w:pPr>
              <w:jc w:val="right"/>
              <w:ind w:right="544"/>
              <w:spacing w:after="0"/>
              <w:rPr>
                <w:sz w:val="20"/>
                <w:szCs w:val="20"/>
                <w:color w:val="auto"/>
              </w:rPr>
            </w:pPr>
            <w:r>
              <w:rPr>
                <w:rFonts w:ascii="Arial" w:cs="Arial" w:eastAsia="Arial" w:hAnsi="Arial"/>
                <w:sz w:val="17"/>
                <w:szCs w:val="17"/>
                <w:b w:val="1"/>
                <w:bCs w:val="1"/>
                <w:color w:val="auto"/>
              </w:rPr>
              <w:t>September 30, 2026</w:t>
            </w:r>
          </w:p>
        </w:tc>
        <w:tc>
          <w:tcPr>
            <w:tcW w:w="960" w:type="dxa"/>
            <w:vAlign w:val="bottom"/>
            <w:tcBorders>
              <w:top w:val="single" w:sz="8" w:color="auto"/>
              <w:bottom w:val="single" w:sz="8" w:color="auto"/>
            </w:tcBorders>
            <w:shd w:val="clear" w:color="auto" w:fill="DBDBDB"/>
          </w:tcPr>
          <w:p>
            <w:pPr>
              <w:spacing w:after="0"/>
              <w:rPr>
                <w:sz w:val="21"/>
                <w:szCs w:val="21"/>
                <w:color w:val="auto"/>
              </w:rPr>
            </w:pPr>
          </w:p>
        </w:tc>
        <w:tc>
          <w:tcPr>
            <w:tcW w:w="100" w:type="dxa"/>
            <w:vAlign w:val="bottom"/>
            <w:tcBorders>
              <w:top w:val="single" w:sz="8" w:color="auto"/>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980" w:type="dxa"/>
            <w:vAlign w:val="bottom"/>
            <w:tcBorders>
              <w:top w:val="single" w:sz="8" w:color="auto"/>
              <w:bottom w:val="single" w:sz="8" w:color="auto"/>
            </w:tcBorders>
            <w:shd w:val="clear" w:color="auto" w:fill="DBDBDB"/>
          </w:tcPr>
          <w:p>
            <w:pPr>
              <w:spacing w:after="0"/>
              <w:rPr>
                <w:sz w:val="21"/>
                <w:szCs w:val="21"/>
                <w:color w:val="auto"/>
              </w:rPr>
            </w:pPr>
          </w:p>
        </w:tc>
        <w:tc>
          <w:tcPr>
            <w:tcW w:w="2620" w:type="dxa"/>
            <w:vAlign w:val="bottom"/>
            <w:tcBorders>
              <w:top w:val="single" w:sz="8" w:color="auto"/>
              <w:bottom w:val="single" w:sz="8" w:color="auto"/>
            </w:tcBorders>
            <w:gridSpan w:val="2"/>
            <w:shd w:val="clear" w:color="auto" w:fill="DBDBDB"/>
          </w:tcPr>
          <w:p>
            <w:pPr>
              <w:jc w:val="right"/>
              <w:ind w:right="584"/>
              <w:spacing w:after="0"/>
              <w:rPr>
                <w:sz w:val="20"/>
                <w:szCs w:val="20"/>
                <w:color w:val="auto"/>
              </w:rPr>
            </w:pPr>
            <w:r>
              <w:rPr>
                <w:rFonts w:ascii="Arial" w:cs="Arial" w:eastAsia="Arial" w:hAnsi="Arial"/>
                <w:sz w:val="17"/>
                <w:szCs w:val="17"/>
                <w:color w:val="auto"/>
              </w:rPr>
              <w:t>December 31, 2025</w:t>
            </w:r>
          </w:p>
        </w:tc>
        <w:tc>
          <w:tcPr>
            <w:tcW w:w="96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4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180" w:type="dxa"/>
            <w:vAlign w:val="bottom"/>
            <w:vMerge w:val="restart"/>
            <w:shd w:val="clear" w:color="auto" w:fill="DBDBDB"/>
          </w:tcPr>
          <w:p>
            <w:pPr>
              <w:jc w:val="center"/>
              <w:ind w:right="44"/>
              <w:spacing w:after="0"/>
              <w:rPr>
                <w:sz w:val="20"/>
                <w:szCs w:val="20"/>
                <w:color w:val="auto"/>
              </w:rPr>
            </w:pPr>
            <w:r>
              <w:rPr>
                <w:rFonts w:ascii="Arial" w:cs="Arial" w:eastAsia="Arial" w:hAnsi="Arial"/>
                <w:sz w:val="15"/>
                <w:szCs w:val="15"/>
                <w:b w:val="1"/>
                <w:bCs w:val="1"/>
                <w:color w:val="auto"/>
              </w:rPr>
              <w:t>Weighted-</w:t>
            </w:r>
          </w:p>
        </w:tc>
        <w:tc>
          <w:tcPr>
            <w:tcW w:w="960" w:type="dxa"/>
            <w:vAlign w:val="bottom"/>
            <w:shd w:val="clear" w:color="auto" w:fill="DBDBDB"/>
          </w:tcPr>
          <w:p>
            <w:pPr>
              <w:jc w:val="center"/>
              <w:ind w:right="4"/>
              <w:spacing w:after="0" w:line="142" w:lineRule="exact"/>
              <w:rPr>
                <w:sz w:val="20"/>
                <w:szCs w:val="20"/>
                <w:color w:val="auto"/>
              </w:rPr>
            </w:pPr>
            <w:r>
              <w:rPr>
                <w:rFonts w:ascii="Arial" w:cs="Arial" w:eastAsia="Arial" w:hAnsi="Arial"/>
                <w:sz w:val="15"/>
                <w:szCs w:val="15"/>
                <w:b w:val="1"/>
                <w:bCs w:val="1"/>
                <w:color w:val="auto"/>
                <w:w w:val="99"/>
              </w:rPr>
              <w:t>Weighted-</w:t>
            </w:r>
          </w:p>
        </w:tc>
        <w:tc>
          <w:tcPr>
            <w:tcW w:w="1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80" w:type="dxa"/>
            <w:vAlign w:val="bottom"/>
            <w:vMerge w:val="restart"/>
            <w:shd w:val="clear" w:color="auto" w:fill="DBDBDB"/>
          </w:tcPr>
          <w:p>
            <w:pPr>
              <w:jc w:val="center"/>
              <w:ind w:right="44"/>
              <w:spacing w:after="0"/>
              <w:rPr>
                <w:sz w:val="20"/>
                <w:szCs w:val="20"/>
                <w:color w:val="auto"/>
              </w:rPr>
            </w:pPr>
            <w:r>
              <w:rPr>
                <w:rFonts w:ascii="Arial" w:cs="Arial" w:eastAsia="Arial" w:hAnsi="Arial"/>
                <w:sz w:val="15"/>
                <w:szCs w:val="15"/>
                <w:b w:val="1"/>
                <w:bCs w:val="1"/>
                <w:color w:val="auto"/>
              </w:rPr>
              <w:t>Weighted-</w:t>
            </w:r>
          </w:p>
        </w:tc>
        <w:tc>
          <w:tcPr>
            <w:tcW w:w="960" w:type="dxa"/>
            <w:vAlign w:val="bottom"/>
            <w:shd w:val="clear" w:color="auto" w:fill="DBDBDB"/>
          </w:tcPr>
          <w:p>
            <w:pPr>
              <w:jc w:val="center"/>
              <w:spacing w:after="0" w:line="142" w:lineRule="exact"/>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48"/>
        </w:trPr>
        <w:tc>
          <w:tcPr>
            <w:tcW w:w="164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460" w:type="dxa"/>
            <w:vAlign w:val="bottom"/>
            <w:vMerge w:val="restart"/>
            <w:shd w:val="clear" w:color="auto" w:fill="DBDBDB"/>
          </w:tcPr>
          <w:p>
            <w:pPr>
              <w:jc w:val="right"/>
              <w:ind w:right="62"/>
              <w:spacing w:after="0"/>
              <w:rPr>
                <w:sz w:val="20"/>
                <w:szCs w:val="20"/>
                <w:color w:val="auto"/>
              </w:rPr>
            </w:pPr>
            <w:r>
              <w:rPr>
                <w:rFonts w:ascii="Arial" w:cs="Arial" w:eastAsia="Arial" w:hAnsi="Arial"/>
                <w:sz w:val="15"/>
                <w:szCs w:val="15"/>
                <w:b w:val="1"/>
                <w:bCs w:val="1"/>
                <w:color w:val="auto"/>
              </w:rPr>
              <w:t>Range of Interest</w:t>
            </w:r>
          </w:p>
        </w:tc>
        <w:tc>
          <w:tcPr>
            <w:tcW w:w="1180" w:type="dxa"/>
            <w:vAlign w:val="bottom"/>
            <w:vMerge w:val="continue"/>
            <w:shd w:val="clear" w:color="auto" w:fill="DBDBDB"/>
          </w:tcPr>
          <w:p>
            <w:pPr>
              <w:spacing w:after="0"/>
              <w:rPr>
                <w:sz w:val="12"/>
                <w:szCs w:val="12"/>
                <w:color w:val="auto"/>
              </w:rPr>
            </w:pPr>
          </w:p>
        </w:tc>
        <w:tc>
          <w:tcPr>
            <w:tcW w:w="1060" w:type="dxa"/>
            <w:vAlign w:val="bottom"/>
            <w:gridSpan w:val="2"/>
            <w:shd w:val="clear" w:color="auto" w:fill="DBDBDB"/>
          </w:tcPr>
          <w:p>
            <w:pPr>
              <w:jc w:val="center"/>
              <w:ind w:right="180"/>
              <w:spacing w:after="0" w:line="149" w:lineRule="exact"/>
              <w:rPr>
                <w:sz w:val="20"/>
                <w:szCs w:val="20"/>
                <w:color w:val="auto"/>
              </w:rPr>
            </w:pPr>
            <w:r>
              <w:rPr>
                <w:rFonts w:ascii="Arial" w:cs="Arial" w:eastAsia="Arial" w:hAnsi="Arial"/>
                <w:sz w:val="15"/>
                <w:szCs w:val="15"/>
                <w:b w:val="1"/>
                <w:bCs w:val="1"/>
                <w:color w:val="auto"/>
                <w:w w:val="98"/>
              </w:rPr>
              <w:t>average</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440" w:type="dxa"/>
            <w:vAlign w:val="bottom"/>
            <w:vMerge w:val="restart"/>
            <w:shd w:val="clear" w:color="auto" w:fill="DBDBDB"/>
          </w:tcPr>
          <w:p>
            <w:pPr>
              <w:jc w:val="right"/>
              <w:ind w:right="42"/>
              <w:spacing w:after="0"/>
              <w:rPr>
                <w:sz w:val="20"/>
                <w:szCs w:val="20"/>
                <w:color w:val="auto"/>
              </w:rPr>
            </w:pPr>
            <w:r>
              <w:rPr>
                <w:rFonts w:ascii="Arial" w:cs="Arial" w:eastAsia="Arial" w:hAnsi="Arial"/>
                <w:sz w:val="15"/>
                <w:szCs w:val="15"/>
                <w:b w:val="1"/>
                <w:bCs w:val="1"/>
                <w:color w:val="auto"/>
              </w:rPr>
              <w:t>Range of Interest</w:t>
            </w:r>
          </w:p>
        </w:tc>
        <w:tc>
          <w:tcPr>
            <w:tcW w:w="1180" w:type="dxa"/>
            <w:vAlign w:val="bottom"/>
            <w:vMerge w:val="continue"/>
            <w:shd w:val="clear" w:color="auto" w:fill="DBDBDB"/>
          </w:tcPr>
          <w:p>
            <w:pPr>
              <w:spacing w:after="0"/>
              <w:rPr>
                <w:sz w:val="12"/>
                <w:szCs w:val="12"/>
                <w:color w:val="auto"/>
              </w:rPr>
            </w:pPr>
          </w:p>
        </w:tc>
        <w:tc>
          <w:tcPr>
            <w:tcW w:w="960" w:type="dxa"/>
            <w:vAlign w:val="bottom"/>
            <w:shd w:val="clear" w:color="auto" w:fill="DBDBDB"/>
          </w:tcPr>
          <w:p>
            <w:pPr>
              <w:jc w:val="center"/>
              <w:spacing w:after="0" w:line="149" w:lineRule="exact"/>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48"/>
        </w:trPr>
        <w:tc>
          <w:tcPr>
            <w:tcW w:w="164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vMerge w:val="restart"/>
            <w:shd w:val="clear" w:color="auto" w:fill="DBDBDB"/>
          </w:tcPr>
          <w:p>
            <w:pPr>
              <w:jc w:val="right"/>
              <w:ind w:right="184"/>
              <w:spacing w:after="0"/>
              <w:rPr>
                <w:sz w:val="20"/>
                <w:szCs w:val="20"/>
                <w:color w:val="auto"/>
              </w:rPr>
            </w:pPr>
            <w:r>
              <w:rPr>
                <w:rFonts w:ascii="Arial" w:cs="Arial" w:eastAsia="Arial" w:hAnsi="Arial"/>
                <w:sz w:val="15"/>
                <w:szCs w:val="15"/>
                <w:b w:val="1"/>
                <w:bCs w:val="1"/>
                <w:color w:val="auto"/>
              </w:rPr>
              <w:t>Principal</w:t>
            </w:r>
          </w:p>
        </w:tc>
        <w:tc>
          <w:tcPr>
            <w:tcW w:w="1460" w:type="dxa"/>
            <w:vAlign w:val="bottom"/>
            <w:vMerge w:val="continue"/>
            <w:shd w:val="clear" w:color="auto" w:fill="DBDBDB"/>
          </w:tcPr>
          <w:p>
            <w:pPr>
              <w:spacing w:after="0"/>
              <w:rPr>
                <w:sz w:val="12"/>
                <w:szCs w:val="12"/>
                <w:color w:val="auto"/>
              </w:rPr>
            </w:pPr>
          </w:p>
        </w:tc>
        <w:tc>
          <w:tcPr>
            <w:tcW w:w="1180" w:type="dxa"/>
            <w:vAlign w:val="bottom"/>
            <w:shd w:val="clear" w:color="auto" w:fill="DBDBDB"/>
          </w:tcPr>
          <w:p>
            <w:pPr>
              <w:jc w:val="center"/>
              <w:ind w:right="44"/>
              <w:spacing w:after="0" w:line="149" w:lineRule="exact"/>
              <w:rPr>
                <w:sz w:val="20"/>
                <w:szCs w:val="20"/>
                <w:color w:val="auto"/>
              </w:rPr>
            </w:pPr>
            <w:r>
              <w:rPr>
                <w:rFonts w:ascii="Arial" w:cs="Arial" w:eastAsia="Arial" w:hAnsi="Arial"/>
                <w:sz w:val="15"/>
                <w:szCs w:val="15"/>
                <w:b w:val="1"/>
                <w:bCs w:val="1"/>
                <w:color w:val="auto"/>
              </w:rPr>
              <w:t>average</w:t>
            </w:r>
          </w:p>
        </w:tc>
        <w:tc>
          <w:tcPr>
            <w:tcW w:w="1060" w:type="dxa"/>
            <w:vAlign w:val="bottom"/>
            <w:gridSpan w:val="2"/>
            <w:shd w:val="clear" w:color="auto" w:fill="DBDBDB"/>
          </w:tcPr>
          <w:p>
            <w:pPr>
              <w:jc w:val="center"/>
              <w:ind w:right="180"/>
              <w:spacing w:after="0" w:line="149" w:lineRule="exact"/>
              <w:rPr>
                <w:sz w:val="20"/>
                <w:szCs w:val="20"/>
                <w:color w:val="auto"/>
              </w:rPr>
            </w:pPr>
            <w:r>
              <w:rPr>
                <w:rFonts w:ascii="Arial" w:cs="Arial" w:eastAsia="Arial" w:hAnsi="Arial"/>
                <w:sz w:val="15"/>
                <w:szCs w:val="15"/>
                <w:b w:val="1"/>
                <w:bCs w:val="1"/>
                <w:color w:val="auto"/>
              </w:rPr>
              <w:t>Years to</w:t>
            </w:r>
          </w:p>
        </w:tc>
        <w:tc>
          <w:tcPr>
            <w:tcW w:w="180" w:type="dxa"/>
            <w:vAlign w:val="bottom"/>
            <w:shd w:val="clear" w:color="auto" w:fill="DBDBDB"/>
          </w:tcPr>
          <w:p>
            <w:pPr>
              <w:spacing w:after="0"/>
              <w:rPr>
                <w:sz w:val="12"/>
                <w:szCs w:val="12"/>
                <w:color w:val="auto"/>
              </w:rPr>
            </w:pPr>
          </w:p>
        </w:tc>
        <w:tc>
          <w:tcPr>
            <w:tcW w:w="980" w:type="dxa"/>
            <w:vAlign w:val="bottom"/>
            <w:vMerge w:val="restart"/>
            <w:shd w:val="clear" w:color="auto" w:fill="DBDBDB"/>
          </w:tcPr>
          <w:p>
            <w:pPr>
              <w:jc w:val="right"/>
              <w:ind w:right="184"/>
              <w:spacing w:after="0"/>
              <w:rPr>
                <w:sz w:val="20"/>
                <w:szCs w:val="20"/>
                <w:color w:val="auto"/>
              </w:rPr>
            </w:pPr>
            <w:r>
              <w:rPr>
                <w:rFonts w:ascii="Arial" w:cs="Arial" w:eastAsia="Arial" w:hAnsi="Arial"/>
                <w:sz w:val="15"/>
                <w:szCs w:val="15"/>
                <w:b w:val="1"/>
                <w:bCs w:val="1"/>
                <w:color w:val="auto"/>
              </w:rPr>
              <w:t>Principal</w:t>
            </w:r>
          </w:p>
        </w:tc>
        <w:tc>
          <w:tcPr>
            <w:tcW w:w="1440" w:type="dxa"/>
            <w:vAlign w:val="bottom"/>
            <w:vMerge w:val="continue"/>
            <w:shd w:val="clear" w:color="auto" w:fill="DBDBDB"/>
          </w:tcPr>
          <w:p>
            <w:pPr>
              <w:spacing w:after="0"/>
              <w:rPr>
                <w:sz w:val="12"/>
                <w:szCs w:val="12"/>
                <w:color w:val="auto"/>
              </w:rPr>
            </w:pPr>
          </w:p>
        </w:tc>
        <w:tc>
          <w:tcPr>
            <w:tcW w:w="1180" w:type="dxa"/>
            <w:vAlign w:val="bottom"/>
            <w:shd w:val="clear" w:color="auto" w:fill="DBDBDB"/>
          </w:tcPr>
          <w:p>
            <w:pPr>
              <w:jc w:val="center"/>
              <w:ind w:right="44"/>
              <w:spacing w:after="0" w:line="149" w:lineRule="exact"/>
              <w:rPr>
                <w:sz w:val="20"/>
                <w:szCs w:val="20"/>
                <w:color w:val="auto"/>
              </w:rPr>
            </w:pPr>
            <w:r>
              <w:rPr>
                <w:rFonts w:ascii="Arial" w:cs="Arial" w:eastAsia="Arial" w:hAnsi="Arial"/>
                <w:sz w:val="15"/>
                <w:szCs w:val="15"/>
                <w:b w:val="1"/>
                <w:bCs w:val="1"/>
                <w:color w:val="auto"/>
              </w:rPr>
              <w:t>average</w:t>
            </w:r>
          </w:p>
        </w:tc>
        <w:tc>
          <w:tcPr>
            <w:tcW w:w="960" w:type="dxa"/>
            <w:vAlign w:val="bottom"/>
            <w:shd w:val="clear" w:color="auto" w:fill="DBDBDB"/>
          </w:tcPr>
          <w:p>
            <w:pPr>
              <w:jc w:val="center"/>
              <w:ind w:right="4"/>
              <w:spacing w:after="0" w:line="149" w:lineRule="exact"/>
              <w:rPr>
                <w:sz w:val="20"/>
                <w:szCs w:val="20"/>
                <w:color w:val="auto"/>
              </w:rPr>
            </w:pPr>
            <w:r>
              <w:rPr>
                <w:rFonts w:ascii="Arial" w:cs="Arial" w:eastAsia="Arial" w:hAnsi="Arial"/>
                <w:sz w:val="15"/>
                <w:szCs w:val="15"/>
                <w:b w:val="1"/>
                <w:bCs w:val="1"/>
                <w:color w:val="auto"/>
              </w:rPr>
              <w:t>Years to</w:t>
            </w:r>
          </w:p>
        </w:tc>
        <w:tc>
          <w:tcPr>
            <w:tcW w:w="0" w:type="dxa"/>
            <w:vAlign w:val="bottom"/>
          </w:tcPr>
          <w:p>
            <w:pPr>
              <w:spacing w:after="0"/>
              <w:rPr>
                <w:sz w:val="1"/>
                <w:szCs w:val="1"/>
                <w:color w:val="auto"/>
              </w:rPr>
            </w:pPr>
          </w:p>
        </w:tc>
      </w:tr>
      <w:tr>
        <w:trPr>
          <w:trHeight w:val="216"/>
        </w:trPr>
        <w:tc>
          <w:tcPr>
            <w:tcW w:w="1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i w:val="1"/>
                <w:iCs w:val="1"/>
                <w:color w:val="auto"/>
              </w:rPr>
              <w:t>$ in thousands</w:t>
            </w:r>
          </w:p>
        </w:tc>
        <w:tc>
          <w:tcPr>
            <w:tcW w:w="1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vMerge w:val="continue"/>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ind w:right="462"/>
              <w:spacing w:after="0"/>
              <w:rPr>
                <w:sz w:val="20"/>
                <w:szCs w:val="20"/>
                <w:color w:val="auto"/>
              </w:rPr>
            </w:pPr>
            <w:r>
              <w:rPr>
                <w:rFonts w:ascii="Arial" w:cs="Arial" w:eastAsia="Arial" w:hAnsi="Arial"/>
                <w:sz w:val="15"/>
                <w:szCs w:val="15"/>
                <w:b w:val="1"/>
                <w:bCs w:val="1"/>
                <w:color w:val="auto"/>
              </w:rPr>
              <w:t>Rates</w:t>
            </w:r>
          </w:p>
        </w:tc>
        <w:tc>
          <w:tcPr>
            <w:tcW w:w="1180" w:type="dxa"/>
            <w:vAlign w:val="bottom"/>
            <w:tcBorders>
              <w:bottom w:val="single" w:sz="8" w:color="auto"/>
            </w:tcBorders>
            <w:shd w:val="clear" w:color="auto" w:fill="DBDBDB"/>
          </w:tcPr>
          <w:p>
            <w:pPr>
              <w:jc w:val="center"/>
              <w:ind w:right="44"/>
              <w:spacing w:after="0"/>
              <w:rPr>
                <w:sz w:val="20"/>
                <w:szCs w:val="20"/>
                <w:color w:val="auto"/>
              </w:rPr>
            </w:pPr>
            <w:r>
              <w:rPr>
                <w:rFonts w:ascii="Arial" w:cs="Arial" w:eastAsia="Arial" w:hAnsi="Arial"/>
                <w:sz w:val="15"/>
                <w:szCs w:val="15"/>
                <w:b w:val="1"/>
                <w:bCs w:val="1"/>
                <w:color w:val="auto"/>
              </w:rPr>
              <w:t>Interest Rate</w:t>
            </w:r>
          </w:p>
        </w:tc>
        <w:tc>
          <w:tcPr>
            <w:tcW w:w="1060" w:type="dxa"/>
            <w:vAlign w:val="bottom"/>
            <w:tcBorders>
              <w:bottom w:val="single" w:sz="8" w:color="auto"/>
            </w:tcBorders>
            <w:gridSpan w:val="2"/>
            <w:shd w:val="clear" w:color="auto" w:fill="DBDBDB"/>
          </w:tcPr>
          <w:p>
            <w:pPr>
              <w:jc w:val="center"/>
              <w:ind w:right="180"/>
              <w:spacing w:after="0"/>
              <w:rPr>
                <w:sz w:val="20"/>
                <w:szCs w:val="20"/>
                <w:color w:val="auto"/>
              </w:rPr>
            </w:pPr>
            <w:r>
              <w:rPr>
                <w:rFonts w:ascii="Arial" w:cs="Arial" w:eastAsia="Arial" w:hAnsi="Arial"/>
                <w:sz w:val="15"/>
                <w:szCs w:val="15"/>
                <w:b w:val="1"/>
                <w:bCs w:val="1"/>
                <w:color w:val="auto"/>
              </w:rPr>
              <w:t>Maturity</w:t>
            </w:r>
          </w:p>
        </w:tc>
        <w:tc>
          <w:tcPr>
            <w:tcW w:w="1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vMerge w:val="continue"/>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ind w:right="462"/>
              <w:spacing w:after="0"/>
              <w:rPr>
                <w:sz w:val="20"/>
                <w:szCs w:val="20"/>
                <w:color w:val="auto"/>
              </w:rPr>
            </w:pPr>
            <w:r>
              <w:rPr>
                <w:rFonts w:ascii="Arial" w:cs="Arial" w:eastAsia="Arial" w:hAnsi="Arial"/>
                <w:sz w:val="15"/>
                <w:szCs w:val="15"/>
                <w:b w:val="1"/>
                <w:bCs w:val="1"/>
                <w:color w:val="auto"/>
              </w:rPr>
              <w:t>Rates</w:t>
            </w:r>
          </w:p>
        </w:tc>
        <w:tc>
          <w:tcPr>
            <w:tcW w:w="1180" w:type="dxa"/>
            <w:vAlign w:val="bottom"/>
            <w:tcBorders>
              <w:bottom w:val="single" w:sz="8" w:color="auto"/>
            </w:tcBorders>
            <w:shd w:val="clear" w:color="auto" w:fill="DBDBDB"/>
          </w:tcPr>
          <w:p>
            <w:pPr>
              <w:jc w:val="center"/>
              <w:ind w:right="24"/>
              <w:spacing w:after="0"/>
              <w:rPr>
                <w:sz w:val="20"/>
                <w:szCs w:val="20"/>
                <w:color w:val="auto"/>
              </w:rPr>
            </w:pPr>
            <w:r>
              <w:rPr>
                <w:rFonts w:ascii="Arial" w:cs="Arial" w:eastAsia="Arial" w:hAnsi="Arial"/>
                <w:sz w:val="15"/>
                <w:szCs w:val="15"/>
                <w:b w:val="1"/>
                <w:bCs w:val="1"/>
                <w:color w:val="auto"/>
              </w:rPr>
              <w:t>Interest Rate</w:t>
            </w:r>
          </w:p>
        </w:tc>
        <w:tc>
          <w:tcPr>
            <w:tcW w:w="960" w:type="dxa"/>
            <w:vAlign w:val="bottom"/>
            <w:tcBorders>
              <w:bottom w:val="single" w:sz="8" w:color="auto"/>
            </w:tcBorders>
            <w:shd w:val="clear" w:color="auto" w:fill="DBDBDB"/>
          </w:tcPr>
          <w:p>
            <w:pPr>
              <w:jc w:val="center"/>
              <w:ind w:right="4"/>
              <w:spacing w:after="0"/>
              <w:rPr>
                <w:sz w:val="20"/>
                <w:szCs w:val="20"/>
                <w:color w:val="auto"/>
              </w:rPr>
            </w:pPr>
            <w:r>
              <w:rPr>
                <w:rFonts w:ascii="Arial" w:cs="Arial" w:eastAsia="Arial" w:hAnsi="Arial"/>
                <w:sz w:val="15"/>
                <w:szCs w:val="15"/>
                <w:b w:val="1"/>
                <w:bCs w:val="1"/>
                <w:color w:val="auto"/>
              </w:rPr>
              <w:t>Maturity</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5"/>
                <w:szCs w:val="15"/>
                <w:color w:val="auto"/>
              </w:rPr>
              <w:t>Fixed rate (a)</w:t>
            </w:r>
          </w:p>
        </w:tc>
        <w:tc>
          <w:tcPr>
            <w:tcW w:w="18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1,729,616</w:t>
            </w:r>
          </w:p>
        </w:tc>
        <w:tc>
          <w:tcPr>
            <w:tcW w:w="1460" w:type="dxa"/>
            <w:vAlign w:val="bottom"/>
          </w:tcPr>
          <w:p>
            <w:pPr>
              <w:jc w:val="right"/>
              <w:ind w:right="2"/>
              <w:spacing w:after="0"/>
              <w:rPr>
                <w:sz w:val="20"/>
                <w:szCs w:val="20"/>
                <w:color w:val="auto"/>
              </w:rPr>
            </w:pPr>
            <w:r>
              <w:rPr>
                <w:rFonts w:ascii="Arial" w:cs="Arial" w:eastAsia="Arial" w:hAnsi="Arial"/>
                <w:sz w:val="15"/>
                <w:szCs w:val="15"/>
                <w:b w:val="1"/>
                <w:bCs w:val="1"/>
                <w:color w:val="auto"/>
              </w:rPr>
              <w:t>3.13% - 8.67%</w:t>
            </w:r>
          </w:p>
        </w:tc>
        <w:tc>
          <w:tcPr>
            <w:tcW w:w="1180" w:type="dxa"/>
            <w:vAlign w:val="bottom"/>
          </w:tcPr>
          <w:p>
            <w:pPr>
              <w:jc w:val="right"/>
              <w:ind w:right="24"/>
              <w:spacing w:after="0"/>
              <w:rPr>
                <w:sz w:val="20"/>
                <w:szCs w:val="20"/>
                <w:color w:val="auto"/>
              </w:rPr>
            </w:pPr>
            <w:r>
              <w:rPr>
                <w:rFonts w:ascii="Arial" w:cs="Arial" w:eastAsia="Arial" w:hAnsi="Arial"/>
                <w:sz w:val="15"/>
                <w:szCs w:val="15"/>
                <w:b w:val="1"/>
                <w:bCs w:val="1"/>
                <w:color w:val="auto"/>
              </w:rPr>
              <w:t>5.00 %</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4.3</w:t>
            </w:r>
          </w:p>
        </w:tc>
        <w:tc>
          <w:tcPr>
            <w:tcW w:w="10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1,793,561</w:t>
            </w:r>
          </w:p>
        </w:tc>
        <w:tc>
          <w:tcPr>
            <w:tcW w:w="1440" w:type="dxa"/>
            <w:vAlign w:val="bottom"/>
          </w:tcPr>
          <w:p>
            <w:pPr>
              <w:jc w:val="right"/>
              <w:spacing w:after="0"/>
              <w:rPr>
                <w:sz w:val="20"/>
                <w:szCs w:val="20"/>
                <w:color w:val="auto"/>
              </w:rPr>
            </w:pPr>
            <w:r>
              <w:rPr>
                <w:rFonts w:ascii="Arial" w:cs="Arial" w:eastAsia="Arial" w:hAnsi="Arial"/>
                <w:sz w:val="15"/>
                <w:szCs w:val="15"/>
                <w:color w:val="auto"/>
              </w:rPr>
              <w:t>3.13% - 8.67%</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4.91 %</w:t>
            </w:r>
          </w:p>
        </w:tc>
        <w:tc>
          <w:tcPr>
            <w:tcW w:w="96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8"/>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Variable rate (b)</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1,295,666</w:t>
            </w: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b w:val="1"/>
                <w:bCs w:val="1"/>
                <w:color w:val="auto"/>
              </w:rPr>
              <w:t>5.40% - 8.93%</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8.30 %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1,135,359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 - 8.87%</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7.34 %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42"/>
        </w:trPr>
        <w:tc>
          <w:tcPr>
            <w:tcW w:w="1640" w:type="dxa"/>
            <w:vAlign w:val="bottom"/>
          </w:tcPr>
          <w:p>
            <w:pPr>
              <w:ind w:left="20"/>
              <w:spacing w:after="0" w:line="142" w:lineRule="exact"/>
              <w:rPr>
                <w:sz w:val="20"/>
                <w:szCs w:val="20"/>
                <w:color w:val="auto"/>
              </w:rPr>
            </w:pPr>
            <w:r>
              <w:rPr>
                <w:rFonts w:ascii="Arial" w:cs="Arial" w:eastAsia="Arial" w:hAnsi="Arial"/>
                <w:sz w:val="15"/>
                <w:szCs w:val="15"/>
                <w:color w:val="auto"/>
              </w:rPr>
              <w:t>Secured mortgages</w:t>
            </w: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3,025,282</w:t>
            </w:r>
          </w:p>
        </w:tc>
        <w:tc>
          <w:tcPr>
            <w:tcW w:w="1460" w:type="dxa"/>
            <w:vAlign w:val="bottom"/>
            <w:vMerge w:val="restart"/>
          </w:tcPr>
          <w:p>
            <w:pPr>
              <w:jc w:val="right"/>
              <w:ind w:right="2"/>
              <w:spacing w:after="0"/>
              <w:rPr>
                <w:sz w:val="20"/>
                <w:szCs w:val="20"/>
                <w:color w:val="auto"/>
              </w:rPr>
            </w:pPr>
            <w:r>
              <w:rPr>
                <w:rFonts w:ascii="Arial" w:cs="Arial" w:eastAsia="Arial" w:hAnsi="Arial"/>
                <w:sz w:val="15"/>
                <w:szCs w:val="15"/>
                <w:b w:val="1"/>
                <w:bCs w:val="1"/>
                <w:color w:val="auto"/>
              </w:rPr>
              <w:t>3.13% - 8.93%</w:t>
            </w: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6.41 %</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2,928,920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 - 8.87%</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5.85 %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rates presented are based upon the coupon rates of the Company’s fixed-rate debt obligations.</w:t>
      </w:r>
    </w:p>
    <w:p>
      <w:pPr>
        <w:spacing w:after="0" w:line="30" w:lineRule="exact"/>
        <w:rPr>
          <w:rFonts w:ascii="Arial" w:cs="Arial" w:eastAsia="Arial" w:hAnsi="Arial"/>
          <w:sz w:val="16"/>
          <w:szCs w:val="16"/>
          <w:color w:val="auto"/>
        </w:rPr>
      </w:pPr>
    </w:p>
    <w:p>
      <w:pPr>
        <w:ind w:left="340" w:hanging="332"/>
        <w:spacing w:after="0" w:line="270"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rates presented are based on the applicable reference interest rates as of September 30, 2026, and December 31, 2025, excluding the effects of interest rate derivatives.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Company has entered into derivative instruments to manage its variable interest rate exposure. The weighted-average interest rate of the Company’s variable-rate mortgages payable, inclusive of interest rate derivatives, was 8.17% as of September 30, 2026, and 7.15% as of December 31, 2025. See Note 7 -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xml:space="preserve"> for additional information.</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nine months ended September 30, 2026, the Company’s mortgage activity included new borrowings of $370.1 million, draws on existing mortgages of $179.2 million, refinancings of $35.0 million, and repayments of $487.9 million. As of September 30, 2026, the Company’s secured mortgage loans had $985.8 million of undrawn lender commitment available to be drawn for property development, subject to certain restrictions.</w:t>
      </w:r>
    </w:p>
    <w:p>
      <w:pPr>
        <w:spacing w:after="0" w:line="201"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b w:val="1"/>
          <w:bCs w:val="1"/>
          <w:i w:val="1"/>
          <w:iCs w:val="1"/>
          <w:color w:val="auto"/>
        </w:rPr>
        <w:t xml:space="preserve">Special Improvement District Bonds </w:t>
      </w:r>
      <w:r>
        <w:rPr>
          <w:rFonts w:ascii="Arial" w:cs="Arial" w:eastAsia="Arial" w:hAnsi="Arial"/>
          <w:sz w:val="17"/>
          <w:szCs w:val="17"/>
          <w:color w:val="auto"/>
        </w:rPr>
        <w:t>The Summerlin MPC uses SID bonds to finance certain common infrastructure improvements. These bonds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issued by the municipalities and are secured by the assessments on the land. The majority of proceeds from each bond issued is held in a construction escrow and disbursed to the Company as infrastructure projects are completed, inspected by the municipalities, and approved for reimbursement. Accordingly, the SID bonds have been classified as debt, and the Summerlin MPC pays the debt service on the bonds semi</w:t>
      </w:r>
      <w:r>
        <w:rPr>
          <w:rFonts w:ascii="MS PGothic" w:cs="MS PGothic" w:eastAsia="MS PGothic" w:hAnsi="MS PGothic"/>
          <w:sz w:val="17"/>
          <w:szCs w:val="17"/>
          <w:color w:val="auto"/>
        </w:rPr>
        <w:t>‑</w:t>
      </w:r>
      <w:r>
        <w:rPr>
          <w:rFonts w:ascii="Arial" w:cs="Arial" w:eastAsia="Arial" w:hAnsi="Arial"/>
          <w:sz w:val="17"/>
          <w:szCs w:val="17"/>
          <w:color w:val="auto"/>
        </w:rPr>
        <w:t>annually. As Summerlin sells land, the buyers assume a proportionate share of the bond obligation at closing, and the residential sales contracts provide for the reimbursement of the principal amounts that the Company previously paid with respect to such proportionate share of the bond. These bonds bear interest at fixed rates ranging from 4.13% to 6.05% with maturities ranging from 2030 to 2055 as of September 30, 2026, and fixed rates ranging from 4.13% to 6.50% with maturities ranging from 2030 to 2055 as of December 31, 2025. During the nine months ended September 30, 2026, obligations of $14.6 million were assumed by buyers and no SID bonds were issued.</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Secured Bridgeland Note </w:t>
      </w:r>
      <w:r>
        <w:rPr>
          <w:rFonts w:ascii="Arial" w:cs="Arial" w:eastAsia="Arial" w:hAnsi="Arial"/>
          <w:sz w:val="17"/>
          <w:szCs w:val="17"/>
          <w:color w:val="auto"/>
        </w:rPr>
        <w:t>The Company has $600.0 million of borrowing capacity under this secured note, which matures in 2029 and is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MUD receivables and land in Bridgeland. The loan requires a 10% fully refundable deposit on the outstanding balance and has an interest rate of 6.05% at September 30, 2026. As of September 30, 2026, outstanding borrowings were $85.0 million, and undrawn capacity was $515.0 million.</w:t>
      </w:r>
    </w:p>
    <w:p>
      <w:pPr>
        <w:spacing w:after="0" w:line="195"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b w:val="1"/>
          <w:bCs w:val="1"/>
          <w:i w:val="1"/>
          <w:iCs w:val="1"/>
          <w:color w:val="auto"/>
        </w:rPr>
        <w:t xml:space="preserve">Secured Floreo Note </w:t>
      </w:r>
      <w:r>
        <w:rPr>
          <w:rFonts w:ascii="Arial" w:cs="Arial" w:eastAsia="Arial" w:hAnsi="Arial"/>
          <w:sz w:val="17"/>
          <w:szCs w:val="17"/>
          <w:color w:val="auto"/>
        </w:rPr>
        <w:t>In July 2026, the Company began consolidating Floreo, an MPC joint venture, which is a VIE that was previously accounted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under the equity method. Therefore, as of September 30, 2026, the Secured Floreo Note is included in Mortgages, notes, and loans payable, net. See Note 10 - </w:t>
      </w:r>
      <w:r>
        <w:rPr>
          <w:rFonts w:ascii="Arial" w:cs="Arial" w:eastAsia="Arial" w:hAnsi="Arial"/>
          <w:sz w:val="17"/>
          <w:szCs w:val="17"/>
          <w:i w:val="1"/>
          <w:iCs w:val="1"/>
          <w:color w:val="auto"/>
        </w:rPr>
        <w:t>Acquisitions and Dispositions of Real Estate Assets</w:t>
      </w:r>
      <w:r>
        <w:rPr>
          <w:rFonts w:ascii="Arial" w:cs="Arial" w:eastAsia="Arial" w:hAnsi="Arial"/>
          <w:sz w:val="17"/>
          <w:szCs w:val="17"/>
          <w:color w:val="auto"/>
        </w:rPr>
        <w:t xml:space="preserve"> for additional information on the consolidation of the Floreo joint venture. The note has a borrowing capacity of $365.0 million, an interest rate of 6.75% at September 30, 2026, and matures in 2029. As of September 30, 2026, outstanding borrowings were $276.0 million. The Company provided a guaranty on this financing in the form of a collateral maintenance obligation.</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Vantage Revolving Credit Facility </w:t>
      </w:r>
      <w:r>
        <w:rPr>
          <w:rFonts w:ascii="Arial" w:cs="Arial" w:eastAsia="Arial" w:hAnsi="Arial"/>
          <w:sz w:val="17"/>
          <w:szCs w:val="17"/>
          <w:color w:val="auto"/>
        </w:rPr>
        <w:t>Vantage has a $75.0 million revolving credit facility (RCF) with the option to increase the aggregate amount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$50.0 million at the lender’s discretion. The RCF will mature in January 2028 and has a variable interest rate based on Vantage’s A.M. Best financial strength rating. As of September 30, 2026, there were no outstanding borrowings under the RCF.</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Debt Compliance </w:t>
      </w:r>
      <w:r>
        <w:rPr>
          <w:rFonts w:ascii="Arial" w:cs="Arial" w:eastAsia="Arial" w:hAnsi="Arial"/>
          <w:sz w:val="17"/>
          <w:szCs w:val="17"/>
          <w:color w:val="auto"/>
        </w:rPr>
        <w:t>On certain of its debt obligations, the Company has the option to exercise extension options, subject to certain terms,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minimum debt service coverage, minimum occupancy levels or condominium sales levels, as applicable, and other performance criteria. In certain cases, due to property performance not meeting identified covenants, the Company may be required to pay down a portion of the loan to exercise the extension option.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6"/>
        <w:spacing w:after="0"/>
        <w:tabs>
          <w:tab w:leader="none" w:pos="49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September 30, 2026, the Company was not in compliance with certain property-level debt covenants. As a result, the excess net cash flow after debt service from the underlying properties became restricted. While the restricted cash cannot be used for general corporate purposes, it can be used to fund operations of the underlying assets and did not have a material impact on the Company’s liquidity or its ability to operate these assets.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7. 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The Company is exposed to interest rate risk related to its variable interest rate debt, and it manages this risk by utilizing interest rate derivatives. The Company uses interest rate swaps and caps to add stability to interest costs by reducing the Company’s exposure to interest rate movements. Interest rate swaps designated as cash flow hedges involve the receipt of variable amounts from a counterparty in exchange for the Company’s fixed</w:t>
      </w:r>
      <w:r>
        <w:rPr>
          <w:rFonts w:ascii="MS PGothic" w:cs="MS PGothic" w:eastAsia="MS PGothic" w:hAnsi="MS PGothic"/>
          <w:sz w:val="17"/>
          <w:szCs w:val="17"/>
          <w:color w:val="auto"/>
        </w:rPr>
        <w:t>‑</w:t>
      </w:r>
      <w:r>
        <w:rPr>
          <w:rFonts w:ascii="Arial" w:cs="Arial" w:eastAsia="Arial" w:hAnsi="Arial"/>
          <w:sz w:val="17"/>
          <w:szCs w:val="17"/>
          <w:color w:val="auto"/>
        </w:rPr>
        <w:t>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an upfront premium. Certain of the Company’s interest rate caps are not currently designated as hedges, and therefore, any gains or losses are recognized in current-period earnings within Interest expense in the Condensed Consolidated Statements of Operations. These derivatives are recorded on a gross basis at fair value on the Condensed Consolidated Balance Sheets.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Assessments of hedge effectiveness are performed quarterly using regression analysis. The change in the fair value of derivatives designated and qualifying as cash flow hedges is recorded in Accumulated other comprehensive income (loss) (AOCI) and is subsequently reclassified into earnings in the period that the hedged forecasted transaction affects earnings within the same income statement line item being hedged. Derivatives accounted for as cash flow hedges are classified in the same category in the Condensed Consolidated Statements of Cash Flows as the items being hedged. Gains and losses from derivative financial instruments are reported in Cash provided by (used in) operating activities within the Condensed Consolidated Statements of Cash Flows.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exposed to credit risk in the event of non-performance by its derivative counterparties. To mitigate its credit risk, the Company reviews the creditworthiness of counterparties and enters into agreements with those that are considered credit-worthy, such as large financial institutions with favorable credit ratings. There were no derivative counterparty defaults as of September 30, 2026, or December 31, 2025.</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the derivative contracts are terminated prior to their maturity, the amounts previously recorded in AOCI are recognized in earnings over the period that the hedged transaction impacts earnings. The reduction in Interest expense related to the amortization of terminated swaps is immaterial.</w:t>
      </w:r>
    </w:p>
    <w:p>
      <w:pPr>
        <w:spacing w:after="0" w:line="161" w:lineRule="exact"/>
        <w:rPr>
          <w:sz w:val="20"/>
          <w:szCs w:val="20"/>
          <w:color w:val="auto"/>
        </w:rPr>
      </w:pPr>
    </w:p>
    <w:p>
      <w:pPr>
        <w:jc w:val="both"/>
        <w:spacing w:after="0" w:line="223" w:lineRule="exact"/>
        <w:rPr>
          <w:sz w:val="20"/>
          <w:szCs w:val="20"/>
          <w:color w:val="auto"/>
        </w:rPr>
      </w:pPr>
      <w:r>
        <w:rPr>
          <w:rFonts w:ascii="Arial" w:cs="Arial" w:eastAsia="Arial" w:hAnsi="Arial"/>
          <w:sz w:val="17"/>
          <w:szCs w:val="17"/>
          <w:color w:val="auto"/>
        </w:rPr>
        <w:t>Amounts reported in AOCI related to derivatives are reclassified to Interest expense as interest payments are made on the Company’s variable</w:t>
      </w:r>
      <w:r>
        <w:rPr>
          <w:rFonts w:ascii="MS PGothic" w:cs="MS PGothic" w:eastAsia="MS PGothic" w:hAnsi="MS PGothic"/>
          <w:sz w:val="17"/>
          <w:szCs w:val="17"/>
          <w:color w:val="auto"/>
        </w:rPr>
        <w:t>‑</w:t>
      </w:r>
      <w:r>
        <w:rPr>
          <w:rFonts w:ascii="Arial" w:cs="Arial" w:eastAsia="Arial" w:hAnsi="Arial"/>
          <w:sz w:val="17"/>
          <w:szCs w:val="17"/>
          <w:color w:val="auto"/>
        </w:rPr>
        <w:t>rate debt. Over the next 12 months, the Company estimates that $4.9 million of net gain will be reclassified to Interest expense including amounts related to the amortization of terminated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60" w:hanging="446"/>
        <w:spacing w:after="0"/>
        <w:tabs>
          <w:tab w:leader="none" w:pos="49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summarizes certain terms of the Company’s derivative contracts. The Company reports derivative assets in Other assets, net and derivative liabilities in Other liabilities, net.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Borders>
              <w:top w:val="single" w:sz="8" w:color="auto"/>
              <w:bottom w:val="single" w:sz="8" w:color="DBDBDB"/>
            </w:tcBorders>
            <w:shd w:val="clear" w:color="auto" w:fill="DBDBDB"/>
          </w:tcPr>
          <w:p>
            <w:pPr>
              <w:spacing w:after="0"/>
              <w:rPr>
                <w:sz w:val="19"/>
                <w:szCs w:val="19"/>
                <w:color w:val="auto"/>
              </w:rPr>
            </w:pPr>
          </w:p>
        </w:tc>
        <w:tc>
          <w:tcPr>
            <w:tcW w:w="2360" w:type="dxa"/>
            <w:vAlign w:val="bottom"/>
            <w:tcBorders>
              <w:top w:val="single" w:sz="8" w:color="auto"/>
              <w:bottom w:val="single" w:sz="8" w:color="DBDBDB"/>
            </w:tcBorders>
            <w:shd w:val="clear" w:color="auto" w:fill="DBDBDB"/>
          </w:tcPr>
          <w:p>
            <w:pPr>
              <w:spacing w:after="0"/>
              <w:rPr>
                <w:sz w:val="19"/>
                <w:szCs w:val="19"/>
                <w:color w:val="auto"/>
              </w:rPr>
            </w:pPr>
          </w:p>
        </w:tc>
        <w:tc>
          <w:tcPr>
            <w:tcW w:w="1640" w:type="dxa"/>
            <w:vAlign w:val="bottom"/>
            <w:tcBorders>
              <w:top w:val="single" w:sz="8" w:color="auto"/>
              <w:bottom w:val="single" w:sz="8" w:color="DBDBDB"/>
            </w:tcBorders>
            <w:shd w:val="clear" w:color="auto" w:fill="DBDBDB"/>
          </w:tcPr>
          <w:p>
            <w:pPr>
              <w:spacing w:after="0"/>
              <w:rPr>
                <w:sz w:val="19"/>
                <w:szCs w:val="19"/>
                <w:color w:val="auto"/>
              </w:rPr>
            </w:pPr>
          </w:p>
        </w:tc>
        <w:tc>
          <w:tcPr>
            <w:tcW w:w="2360" w:type="dxa"/>
            <w:vAlign w:val="bottom"/>
            <w:tcBorders>
              <w:top w:val="single" w:sz="8" w:color="auto"/>
              <w:bottom w:val="single" w:sz="8" w:color="DBDBDB"/>
            </w:tcBorders>
            <w:shd w:val="clear" w:color="auto" w:fill="DBDBDB"/>
          </w:tcPr>
          <w:p>
            <w:pPr>
              <w:spacing w:after="0"/>
              <w:rPr>
                <w:sz w:val="19"/>
                <w:szCs w:val="19"/>
                <w:color w:val="auto"/>
              </w:rPr>
            </w:pPr>
          </w:p>
        </w:tc>
        <w:tc>
          <w:tcPr>
            <w:tcW w:w="2920" w:type="dxa"/>
            <w:vAlign w:val="bottom"/>
            <w:tcBorders>
              <w:top w:val="single" w:sz="8" w:color="auto"/>
              <w:bottom w:val="single" w:sz="8" w:color="auto"/>
            </w:tcBorders>
            <w:gridSpan w:val="2"/>
            <w:shd w:val="clear" w:color="auto" w:fill="DBDBDB"/>
          </w:tcPr>
          <w:p>
            <w:pPr>
              <w:ind w:left="440"/>
              <w:spacing w:after="0"/>
              <w:rPr>
                <w:sz w:val="20"/>
                <w:szCs w:val="20"/>
                <w:color w:val="auto"/>
              </w:rPr>
            </w:pPr>
            <w:r>
              <w:rPr>
                <w:rFonts w:ascii="Arial" w:cs="Arial" w:eastAsia="Arial" w:hAnsi="Arial"/>
                <w:sz w:val="16"/>
                <w:szCs w:val="16"/>
                <w:b w:val="1"/>
                <w:bCs w:val="1"/>
                <w:color w:val="auto"/>
              </w:rPr>
              <w:t>Fair Value Asset (Liability)</w:t>
            </w:r>
          </w:p>
        </w:tc>
        <w:tc>
          <w:tcPr>
            <w:tcW w:w="0" w:type="dxa"/>
            <w:vAlign w:val="bottom"/>
          </w:tcPr>
          <w:p>
            <w:pPr>
              <w:spacing w:after="0"/>
              <w:rPr>
                <w:sz w:val="1"/>
                <w:szCs w:val="1"/>
                <w:color w:val="auto"/>
              </w:rPr>
            </w:pPr>
          </w:p>
        </w:tc>
      </w:tr>
      <w:tr>
        <w:trPr>
          <w:trHeight w:val="156"/>
        </w:trPr>
        <w:tc>
          <w:tcPr>
            <w:tcW w:w="1960" w:type="dxa"/>
            <w:vAlign w:val="bottom"/>
            <w:vMerge w:val="restart"/>
            <w:shd w:val="clear" w:color="auto" w:fill="DBDBDB"/>
          </w:tcPr>
          <w:p>
            <w:pPr>
              <w:ind w:left="20"/>
              <w:spacing w:after="0"/>
              <w:rPr>
                <w:sz w:val="20"/>
                <w:szCs w:val="20"/>
                <w:color w:val="auto"/>
              </w:rPr>
            </w:pPr>
            <w:r>
              <w:rPr>
                <w:rFonts w:ascii="Arial" w:cs="Arial" w:eastAsia="Arial" w:hAnsi="Arial"/>
                <w:sz w:val="16"/>
                <w:szCs w:val="16"/>
                <w:i w:val="1"/>
                <w:iCs w:val="1"/>
                <w:color w:val="auto"/>
              </w:rPr>
              <w:t>thousands</w:t>
            </w:r>
          </w:p>
        </w:tc>
        <w:tc>
          <w:tcPr>
            <w:tcW w:w="2360" w:type="dxa"/>
            <w:vAlign w:val="bottom"/>
            <w:shd w:val="clear" w:color="auto" w:fill="DBDBDB"/>
          </w:tcPr>
          <w:p>
            <w:pPr>
              <w:ind w:left="1560"/>
              <w:spacing w:after="0" w:line="155" w:lineRule="exact"/>
              <w:rPr>
                <w:sz w:val="20"/>
                <w:szCs w:val="20"/>
                <w:color w:val="auto"/>
              </w:rPr>
            </w:pPr>
            <w:r>
              <w:rPr>
                <w:rFonts w:ascii="Arial" w:cs="Arial" w:eastAsia="Arial" w:hAnsi="Arial"/>
                <w:sz w:val="16"/>
                <w:szCs w:val="16"/>
                <w:b w:val="1"/>
                <w:bCs w:val="1"/>
                <w:color w:val="auto"/>
              </w:rPr>
              <w:t>Notional</w:t>
            </w:r>
          </w:p>
        </w:tc>
        <w:tc>
          <w:tcPr>
            <w:tcW w:w="1640" w:type="dxa"/>
            <w:vAlign w:val="bottom"/>
            <w:shd w:val="clear" w:color="auto" w:fill="DBDBDB"/>
          </w:tcPr>
          <w:p>
            <w:pPr>
              <w:jc w:val="center"/>
              <w:spacing w:after="0" w:line="155" w:lineRule="exact"/>
              <w:rPr>
                <w:sz w:val="20"/>
                <w:szCs w:val="20"/>
                <w:color w:val="auto"/>
              </w:rPr>
            </w:pPr>
            <w:r>
              <w:rPr>
                <w:rFonts w:ascii="Arial" w:cs="Arial" w:eastAsia="Arial" w:hAnsi="Arial"/>
                <w:sz w:val="16"/>
                <w:szCs w:val="16"/>
                <w:b w:val="1"/>
                <w:bCs w:val="1"/>
                <w:color w:val="auto"/>
              </w:rPr>
              <w:t>Fixed Interest Rate</w:t>
            </w:r>
          </w:p>
        </w:tc>
        <w:tc>
          <w:tcPr>
            <w:tcW w:w="2360" w:type="dxa"/>
            <w:vAlign w:val="bottom"/>
            <w:vMerge w:val="restart"/>
            <w:shd w:val="clear" w:color="auto" w:fill="DBDBDB"/>
          </w:tcPr>
          <w:p>
            <w:pPr>
              <w:ind w:left="40"/>
              <w:spacing w:after="0"/>
              <w:rPr>
                <w:sz w:val="20"/>
                <w:szCs w:val="20"/>
                <w:color w:val="auto"/>
              </w:rPr>
            </w:pPr>
            <w:r>
              <w:rPr>
                <w:rFonts w:ascii="Arial" w:cs="Arial" w:eastAsia="Arial" w:hAnsi="Arial"/>
                <w:sz w:val="16"/>
                <w:szCs w:val="16"/>
                <w:b w:val="1"/>
                <w:bCs w:val="1"/>
                <w:color w:val="auto"/>
              </w:rPr>
              <w:t>Effective Date Maturity Date</w:t>
            </w:r>
          </w:p>
        </w:tc>
        <w:tc>
          <w:tcPr>
            <w:tcW w:w="1500" w:type="dxa"/>
            <w:vAlign w:val="bottom"/>
            <w:shd w:val="clear" w:color="auto" w:fill="DBDBDB"/>
          </w:tcPr>
          <w:p>
            <w:pPr>
              <w:jc w:val="center"/>
              <w:spacing w:after="0" w:line="155" w:lineRule="exact"/>
              <w:rPr>
                <w:sz w:val="20"/>
                <w:szCs w:val="20"/>
                <w:color w:val="auto"/>
              </w:rPr>
            </w:pPr>
            <w:r>
              <w:rPr>
                <w:rFonts w:ascii="Arial" w:cs="Arial" w:eastAsia="Arial" w:hAnsi="Arial"/>
                <w:sz w:val="16"/>
                <w:szCs w:val="16"/>
                <w:b w:val="1"/>
                <w:bCs w:val="1"/>
                <w:color w:val="auto"/>
              </w:rPr>
              <w:t>September 30,</w:t>
            </w:r>
          </w:p>
        </w:tc>
        <w:tc>
          <w:tcPr>
            <w:tcW w:w="1420" w:type="dxa"/>
            <w:vAlign w:val="bottom"/>
            <w:shd w:val="clear" w:color="auto" w:fill="DBDBDB"/>
          </w:tcPr>
          <w:p>
            <w:pPr>
              <w:jc w:val="center"/>
              <w:spacing w:after="0" w:line="155" w:lineRule="exact"/>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auto"/>
            </w:tcBorders>
            <w:vMerge w:val="continue"/>
            <w:shd w:val="clear" w:color="auto" w:fill="DBDBDB"/>
          </w:tcPr>
          <w:p>
            <w:pPr>
              <w:spacing w:after="0"/>
              <w:rPr>
                <w:sz w:val="18"/>
                <w:szCs w:val="18"/>
                <w:color w:val="auto"/>
              </w:rPr>
            </w:pPr>
          </w:p>
        </w:tc>
        <w:tc>
          <w:tcPr>
            <w:tcW w:w="2360" w:type="dxa"/>
            <w:vAlign w:val="bottom"/>
            <w:tcBorders>
              <w:bottom w:val="single" w:sz="8" w:color="auto"/>
            </w:tcBorders>
            <w:shd w:val="clear" w:color="auto" w:fill="DBDBDB"/>
          </w:tcPr>
          <w:p>
            <w:pPr>
              <w:ind w:left="1580"/>
              <w:spacing w:after="0"/>
              <w:rPr>
                <w:sz w:val="20"/>
                <w:szCs w:val="20"/>
                <w:color w:val="auto"/>
              </w:rPr>
            </w:pPr>
            <w:r>
              <w:rPr>
                <w:rFonts w:ascii="Arial" w:cs="Arial" w:eastAsia="Arial" w:hAnsi="Arial"/>
                <w:sz w:val="16"/>
                <w:szCs w:val="16"/>
                <w:b w:val="1"/>
                <w:bCs w:val="1"/>
                <w:color w:val="auto"/>
              </w:rPr>
              <w:t>Amount</w:t>
            </w:r>
          </w:p>
        </w:tc>
        <w:tc>
          <w:tcPr>
            <w:tcW w:w="16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(a)</w:t>
            </w:r>
          </w:p>
        </w:tc>
        <w:tc>
          <w:tcPr>
            <w:tcW w:w="2360" w:type="dxa"/>
            <w:vAlign w:val="bottom"/>
            <w:tcBorders>
              <w:bottom w:val="single" w:sz="8" w:color="auto"/>
            </w:tcBorders>
            <w:vMerge w:val="continue"/>
            <w:shd w:val="clear" w:color="auto" w:fill="DBDBDB"/>
          </w:tcPr>
          <w:p>
            <w:pPr>
              <w:spacing w:after="0"/>
              <w:rPr>
                <w:sz w:val="18"/>
                <w:szCs w:val="18"/>
                <w:color w:val="auto"/>
              </w:rPr>
            </w:pPr>
          </w:p>
        </w:tc>
        <w:tc>
          <w:tcPr>
            <w:tcW w:w="1500" w:type="dxa"/>
            <w:vAlign w:val="bottom"/>
            <w:tcBorders>
              <w:bottom w:val="single" w:sz="8" w:color="auto"/>
            </w:tcBorders>
            <w:shd w:val="clear" w:color="auto" w:fill="DBDBDB"/>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420" w:type="dxa"/>
            <w:vAlign w:val="bottom"/>
            <w:tcBorders>
              <w:bottom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b w:val="1"/>
          <w:bCs w:val="1"/>
          <w:color w:val="auto"/>
        </w:rPr>
        <w:t>Derivative instruments not designated as hedging instruments: (b)</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250,000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4.50 %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6/17/2025</w:t>
            </w:r>
          </w:p>
        </w:tc>
        <w:tc>
          <w:tcPr>
            <w:tcW w:w="1560" w:type="dxa"/>
            <w:vAlign w:val="bottom"/>
          </w:tcPr>
          <w:p>
            <w:pPr>
              <w:jc w:val="right"/>
              <w:ind w:right="299"/>
              <w:spacing w:after="0"/>
              <w:rPr>
                <w:sz w:val="20"/>
                <w:szCs w:val="20"/>
                <w:color w:val="auto"/>
              </w:rPr>
            </w:pPr>
            <w:r>
              <w:rPr>
                <w:rFonts w:ascii="Arial" w:cs="Arial" w:eastAsia="Arial" w:hAnsi="Arial"/>
                <w:sz w:val="16"/>
                <w:szCs w:val="16"/>
                <w:color w:val="auto"/>
              </w:rPr>
              <w:t xml:space="preserve">7/1/2026  </w:t>
            </w: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223,679</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5.25 %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12/2/2024</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12/15/2026</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98,268</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5.50 %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2/26/2026</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3/9/2028</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377</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17,341</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5.50 %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2/26/2026</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3/9/2028</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67</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77,223</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6.00 %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7/15/2026</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6/30/2028</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523</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spacing w:after="0"/>
              <w:rPr>
                <w:sz w:val="19"/>
                <w:szCs w:val="19"/>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9,539</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6.00 %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7/15/2026</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6/30/2028</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60</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502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 instruments designated as hedging instruments:</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79,198</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3.97 %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5/1/2025</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4/15/2026</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32,400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3.98 %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7/10/2025</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8/1/2026</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175,000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3.69 %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1/3/2023</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1/1/2027</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142</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127,000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3.50 %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11/7/2025</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1/8/2027</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197</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40,800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1.68 %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3/1/2022</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2/18/2027</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361</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74,396</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3.73 %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4/15/2026</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4/15/2027</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137</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32,400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3.96 %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8/3/2026</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7/10/2027</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95</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58,539</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4.15 %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12/21/2025</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12/21/2028</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903</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300,000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3.68 %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3/30/2026</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3/30/2031</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12,363</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02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19"/>
                <w:szCs w:val="19"/>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33,502</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4.89 %</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11/1/2019</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1/1/2032</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3,515</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1,991</w:t>
            </w:r>
          </w:p>
        </w:tc>
      </w:tr>
      <w:tr>
        <w:trPr>
          <w:trHeight w:val="263"/>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5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Warrants (c)</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n/a</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Various</w:t>
            </w: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Various</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fair value derivative assets</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18,948</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w:t>
            </w:r>
          </w:p>
        </w:tc>
      </w:tr>
      <w:tr>
        <w:trPr>
          <w:trHeight w:val="21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fair value derivative liabilities</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r>
      <w:tr>
        <w:trPr>
          <w:trHeight w:val="210"/>
        </w:trPr>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 fair value derivative asset (liability), net</w:t>
            </w:r>
          </w:p>
        </w:tc>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18,948</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r>
    </w:tbl>
    <w:p>
      <w:pPr>
        <w:spacing w:after="0" w:line="12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rates represent the swap rate and cap strike rate on the Company’s interest rate swaps and caps.</w:t>
      </w:r>
    </w:p>
    <w:p>
      <w:pPr>
        <w:spacing w:after="0" w:line="30" w:lineRule="exact"/>
        <w:rPr>
          <w:rFonts w:ascii="Arial" w:cs="Arial" w:eastAsia="Arial" w:hAnsi="Arial"/>
          <w:sz w:val="16"/>
          <w:szCs w:val="16"/>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Interest related to these contracts was immaterial for all periods presented.</w:t>
      </w:r>
    </w:p>
    <w:p>
      <w:pPr>
        <w:spacing w:after="0" w:line="8" w:lineRule="exact"/>
        <w:rPr>
          <w:rFonts w:ascii="Arial" w:cs="Arial" w:eastAsia="Arial" w:hAnsi="Arial"/>
          <w:sz w:val="16"/>
          <w:szCs w:val="16"/>
          <w:color w:val="auto"/>
        </w:rPr>
      </w:pPr>
    </w:p>
    <w:p>
      <w:pPr>
        <w:ind w:left="340" w:hanging="332"/>
        <w:spacing w:after="0" w:line="283"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holds two outstanding warrants. One warrant represents approximately 98% of the aggregate fair value and has an effective date of February 2025 and a maturity date of February 2035. The remaining warrant is immaterial and has similar economic characteristics.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effect of the Company’s derivative financial instruments in the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Borders>
              <w:top w:val="single" w:sz="8" w:color="auto"/>
              <w:bottom w:val="single" w:sz="8" w:color="D8D8D8"/>
            </w:tcBorders>
            <w:shd w:val="clear" w:color="auto" w:fill="D8D8D8"/>
          </w:tcPr>
          <w:p>
            <w:pPr>
              <w:spacing w:after="0"/>
              <w:rPr>
                <w:sz w:val="19"/>
                <w:szCs w:val="19"/>
                <w:color w:val="auto"/>
              </w:rPr>
            </w:pPr>
          </w:p>
        </w:tc>
        <w:tc>
          <w:tcPr>
            <w:tcW w:w="6340" w:type="dxa"/>
            <w:vAlign w:val="bottom"/>
            <w:tcBorders>
              <w:top w:val="single" w:sz="8" w:color="auto"/>
              <w:left w:val="single" w:sz="8" w:color="D8D8D8"/>
              <w:bottom w:val="single" w:sz="8" w:color="auto"/>
            </w:tcBorders>
            <w:gridSpan w:val="9"/>
            <w:shd w:val="clear" w:color="auto" w:fill="D8D8D8"/>
          </w:tcPr>
          <w:p>
            <w:pPr>
              <w:jc w:val="right"/>
              <w:ind w:right="839"/>
              <w:spacing w:after="0"/>
              <w:rPr>
                <w:sz w:val="20"/>
                <w:szCs w:val="20"/>
                <w:color w:val="auto"/>
              </w:rPr>
            </w:pPr>
            <w:r>
              <w:rPr>
                <w:rFonts w:ascii="Arial" w:cs="Arial" w:eastAsia="Arial" w:hAnsi="Arial"/>
                <w:sz w:val="16"/>
                <w:szCs w:val="16"/>
                <w:b w:val="1"/>
                <w:bCs w:val="1"/>
                <w:color w:val="auto"/>
              </w:rPr>
              <w:t>Amount of Gain (Loss) Recognized in AOCI on Derivatives</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6"/>
                <w:szCs w:val="16"/>
                <w:b w:val="1"/>
                <w:bCs w:val="1"/>
                <w:color w:val="auto"/>
              </w:rPr>
              <w:t>Derivatives in Cash Flow Hedging Relationships</w:t>
            </w:r>
          </w:p>
        </w:tc>
        <w:tc>
          <w:tcPr>
            <w:tcW w:w="3120" w:type="dxa"/>
            <w:vAlign w:val="bottom"/>
            <w:tcBorders>
              <w:left w:val="single" w:sz="8" w:color="D8D8D8"/>
              <w:bottom w:val="single" w:sz="8" w:color="auto"/>
              <w:right w:val="single" w:sz="8" w:color="DBDBDB"/>
            </w:tcBorders>
            <w:gridSpan w:val="4"/>
            <w:shd w:val="clear" w:color="auto" w:fill="DBDBDB"/>
          </w:tcPr>
          <w:p>
            <w:pPr>
              <w:jc w:val="right"/>
              <w:ind w:right="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Borders>
              <w:bottom w:val="single" w:sz="8" w:color="D8D8D8"/>
            </w:tcBorders>
            <w:shd w:val="clear" w:color="auto" w:fill="D8D8D8"/>
          </w:tcPr>
          <w:p>
            <w:pPr>
              <w:spacing w:after="0"/>
              <w:rPr>
                <w:sz w:val="18"/>
                <w:szCs w:val="18"/>
                <w:color w:val="auto"/>
              </w:rPr>
            </w:pPr>
          </w:p>
        </w:tc>
        <w:tc>
          <w:tcPr>
            <w:tcW w:w="160" w:type="dxa"/>
            <w:vAlign w:val="bottom"/>
            <w:tcBorders>
              <w:bottom w:val="single" w:sz="8" w:color="auto"/>
            </w:tcBorders>
            <w:shd w:val="clear" w:color="auto" w:fill="D8D8D8"/>
          </w:tcPr>
          <w:p>
            <w:pPr>
              <w:spacing w:after="0"/>
              <w:rPr>
                <w:sz w:val="18"/>
                <w:szCs w:val="18"/>
                <w:color w:val="auto"/>
              </w:rPr>
            </w:pPr>
          </w:p>
        </w:tc>
        <w:tc>
          <w:tcPr>
            <w:tcW w:w="2940" w:type="dxa"/>
            <w:vAlign w:val="bottom"/>
            <w:tcBorders>
              <w:bottom w:val="single" w:sz="8" w:color="auto"/>
            </w:tcBorders>
            <w:gridSpan w:val="3"/>
            <w:shd w:val="clear" w:color="auto" w:fill="D8D8D8"/>
          </w:tcPr>
          <w:p>
            <w:pPr>
              <w:jc w:val="right"/>
              <w:ind w:right="1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w:t>
            </w:r>
          </w:p>
        </w:tc>
        <w:tc>
          <w:tcPr>
            <w:tcW w:w="1000" w:type="dxa"/>
            <w:vAlign w:val="bottom"/>
            <w:tcBorders>
              <w:left w:val="single" w:sz="8" w:color="D8D8D8"/>
              <w:bottom w:val="single" w:sz="8" w:color="auto"/>
            </w:tcBorders>
            <w:shd w:val="clear" w:color="auto" w:fill="D8D8D8"/>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1160" w:type="dxa"/>
            <w:vAlign w:val="bottom"/>
            <w:tcBorders>
              <w:bottom w:val="single" w:sz="8" w:color="auto"/>
              <w:right w:val="single" w:sz="8" w:color="D8D8D8"/>
            </w:tcBorders>
            <w:shd w:val="clear" w:color="auto" w:fill="D8D8D8"/>
          </w:tcPr>
          <w:p>
            <w:pPr>
              <w:ind w:left="240"/>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auto"/>
            </w:tcBorders>
            <w:shd w:val="clear" w:color="auto" w:fill="D8D8D8"/>
          </w:tcPr>
          <w:p>
            <w:pPr>
              <w:spacing w:after="0"/>
              <w:rPr>
                <w:sz w:val="18"/>
                <w:szCs w:val="18"/>
                <w:color w:val="auto"/>
              </w:rPr>
            </w:pPr>
          </w:p>
        </w:tc>
        <w:tc>
          <w:tcPr>
            <w:tcW w:w="160" w:type="dxa"/>
            <w:vAlign w:val="bottom"/>
            <w:tcBorders>
              <w:bottom w:val="single" w:sz="8" w:color="auto"/>
            </w:tcBorders>
            <w:shd w:val="clear" w:color="auto" w:fill="D8D8D8"/>
          </w:tcPr>
          <w:p>
            <w:pPr>
              <w:spacing w:after="0"/>
              <w:rPr>
                <w:sz w:val="18"/>
                <w:szCs w:val="18"/>
                <w:color w:val="auto"/>
              </w:rPr>
            </w:pPr>
          </w:p>
        </w:tc>
        <w:tc>
          <w:tcPr>
            <w:tcW w:w="1360" w:type="dxa"/>
            <w:vAlign w:val="bottom"/>
            <w:tcBorders>
              <w:bottom w:val="single" w:sz="8" w:color="auto"/>
            </w:tcBorders>
            <w:shd w:val="clear" w:color="auto" w:fill="D8D8D8"/>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jc w:val="right"/>
              <w:ind w:right="47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rate derivatives</w:t>
            </w: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9,155</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12,335</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358"/>
        </w:trPr>
        <w:tc>
          <w:tcPr>
            <w:tcW w:w="4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spacing w:after="0"/>
              <w:rPr>
                <w:sz w:val="24"/>
                <w:szCs w:val="24"/>
                <w:color w:val="auto"/>
              </w:rPr>
            </w:pPr>
          </w:p>
        </w:tc>
        <w:tc>
          <w:tcPr>
            <w:tcW w:w="2140" w:type="dxa"/>
            <w:vAlign w:val="bottom"/>
            <w:tcBorders>
              <w:bottom w:val="single" w:sz="8" w:color="auto"/>
            </w:tcBorders>
            <w:gridSpan w:val="4"/>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D8D8D8"/>
          </w:tcPr>
          <w:p>
            <w:pPr>
              <w:spacing w:after="0"/>
              <w:rPr>
                <w:sz w:val="13"/>
                <w:szCs w:val="13"/>
                <w:color w:val="auto"/>
              </w:rPr>
            </w:pPr>
          </w:p>
        </w:tc>
        <w:tc>
          <w:tcPr>
            <w:tcW w:w="1000" w:type="dxa"/>
            <w:vAlign w:val="bottom"/>
            <w:tcBorders>
              <w:left w:val="single" w:sz="8" w:color="D8D8D8"/>
            </w:tcBorders>
            <w:shd w:val="clear" w:color="auto" w:fill="D8D8D8"/>
          </w:tcPr>
          <w:p>
            <w:pPr>
              <w:spacing w:after="0"/>
              <w:rPr>
                <w:sz w:val="13"/>
                <w:szCs w:val="13"/>
                <w:color w:val="auto"/>
              </w:rPr>
            </w:pPr>
          </w:p>
        </w:tc>
        <w:tc>
          <w:tcPr>
            <w:tcW w:w="4260" w:type="dxa"/>
            <w:vAlign w:val="bottom"/>
            <w:gridSpan w:val="7"/>
            <w:shd w:val="clear" w:color="auto" w:fill="D8D8D8"/>
          </w:tcPr>
          <w:p>
            <w:pPr>
              <w:jc w:val="right"/>
              <w:ind w:right="59"/>
              <w:spacing w:after="0" w:line="155" w:lineRule="exact"/>
              <w:rPr>
                <w:sz w:val="20"/>
                <w:szCs w:val="20"/>
                <w:color w:val="auto"/>
              </w:rPr>
            </w:pPr>
            <w:r>
              <w:rPr>
                <w:rFonts w:ascii="Arial" w:cs="Arial" w:eastAsia="Arial" w:hAnsi="Arial"/>
                <w:sz w:val="16"/>
                <w:szCs w:val="16"/>
                <w:b w:val="1"/>
                <w:bCs w:val="1"/>
                <w:color w:val="auto"/>
              </w:rPr>
              <w:t>Amount of Gain (Loss) Reclassified from AOCI into</w:t>
            </w:r>
          </w:p>
        </w:tc>
        <w:tc>
          <w:tcPr>
            <w:tcW w:w="10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D8D8D8"/>
            </w:tcBorders>
            <w:vMerge w:val="restart"/>
            <w:shd w:val="clear" w:color="auto" w:fill="D8D8D8"/>
          </w:tcPr>
          <w:p>
            <w:pPr>
              <w:ind w:left="20"/>
              <w:spacing w:after="0"/>
              <w:rPr>
                <w:sz w:val="20"/>
                <w:szCs w:val="20"/>
                <w:color w:val="auto"/>
              </w:rPr>
            </w:pPr>
            <w:r>
              <w:rPr>
                <w:rFonts w:ascii="Arial" w:cs="Arial" w:eastAsia="Arial" w:hAnsi="Arial"/>
                <w:sz w:val="16"/>
                <w:szCs w:val="16"/>
                <w:b w:val="1"/>
                <w:bCs w:val="1"/>
                <w:color w:val="auto"/>
              </w:rPr>
              <w:t>Location of Gain (Loss) Reclassified from AOCI into</w:t>
            </w:r>
          </w:p>
        </w:tc>
        <w:tc>
          <w:tcPr>
            <w:tcW w:w="1000" w:type="dxa"/>
            <w:vAlign w:val="bottom"/>
            <w:tcBorders>
              <w:left w:val="single" w:sz="8" w:color="D8D8D8"/>
              <w:bottom w:val="single" w:sz="8" w:color="auto"/>
            </w:tcBorders>
            <w:shd w:val="clear" w:color="auto" w:fill="D8D8D8"/>
          </w:tcPr>
          <w:p>
            <w:pPr>
              <w:spacing w:after="0"/>
              <w:rPr>
                <w:sz w:val="18"/>
                <w:szCs w:val="18"/>
                <w:color w:val="auto"/>
              </w:rPr>
            </w:pPr>
          </w:p>
        </w:tc>
        <w:tc>
          <w:tcPr>
            <w:tcW w:w="540" w:type="dxa"/>
            <w:vAlign w:val="bottom"/>
            <w:tcBorders>
              <w:bottom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2800" w:type="dxa"/>
            <w:vAlign w:val="bottom"/>
            <w:tcBorders>
              <w:bottom w:val="single" w:sz="8" w:color="auto"/>
            </w:tcBorders>
            <w:gridSpan w:val="4"/>
            <w:shd w:val="clear" w:color="auto" w:fill="D8D8D8"/>
          </w:tcPr>
          <w:p>
            <w:pPr>
              <w:ind w:left="220"/>
              <w:spacing w:after="0"/>
              <w:rPr>
                <w:sz w:val="20"/>
                <w:szCs w:val="20"/>
                <w:color w:val="auto"/>
              </w:rPr>
            </w:pPr>
            <w:r>
              <w:rPr>
                <w:rFonts w:ascii="Arial" w:cs="Arial" w:eastAsia="Arial" w:hAnsi="Arial"/>
                <w:sz w:val="16"/>
                <w:szCs w:val="16"/>
                <w:b w:val="1"/>
                <w:bCs w:val="1"/>
                <w:color w:val="auto"/>
              </w:rPr>
              <w:t>Statements of Operations</w:t>
            </w:r>
          </w:p>
        </w:tc>
        <w:tc>
          <w:tcPr>
            <w:tcW w:w="50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00" w:type="dxa"/>
            <w:vAlign w:val="bottom"/>
            <w:vMerge w:val="continue"/>
            <w:shd w:val="clear" w:color="auto" w:fill="D8D8D8"/>
          </w:tcPr>
          <w:p>
            <w:pPr>
              <w:spacing w:after="0"/>
              <w:rPr>
                <w:sz w:val="12"/>
                <w:szCs w:val="12"/>
                <w:color w:val="auto"/>
              </w:rPr>
            </w:pPr>
          </w:p>
        </w:tc>
        <w:tc>
          <w:tcPr>
            <w:tcW w:w="3120" w:type="dxa"/>
            <w:vAlign w:val="bottom"/>
            <w:tcBorders>
              <w:left w:val="single" w:sz="8" w:color="DBDBDB"/>
              <w:right w:val="single" w:sz="8" w:color="D8D8D8"/>
            </w:tcBorders>
            <w:gridSpan w:val="4"/>
            <w:vMerge w:val="restart"/>
            <w:shd w:val="clear" w:color="auto" w:fill="DBDBDB"/>
          </w:tcPr>
          <w:p>
            <w:pPr>
              <w:jc w:val="right"/>
              <w:ind w:right="11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2940" w:type="dxa"/>
            <w:vAlign w:val="bottom"/>
            <w:gridSpan w:val="3"/>
            <w:vMerge w:val="restart"/>
            <w:shd w:val="clear" w:color="auto" w:fill="D8D8D8"/>
          </w:tcPr>
          <w:p>
            <w:pPr>
              <w:jc w:val="right"/>
              <w:ind w:right="1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41"/>
        </w:trPr>
        <w:tc>
          <w:tcPr>
            <w:tcW w:w="4900" w:type="dxa"/>
            <w:vAlign w:val="bottom"/>
            <w:vMerge w:val="restart"/>
            <w:shd w:val="clear" w:color="auto" w:fill="D8D8D8"/>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3120" w:type="dxa"/>
            <w:vAlign w:val="bottom"/>
            <w:tcBorders>
              <w:left w:val="single" w:sz="8" w:color="DBDBDB"/>
              <w:right w:val="single" w:sz="8" w:color="D8D8D8"/>
            </w:tcBorders>
            <w:gridSpan w:val="4"/>
            <w:vMerge w:val="continue"/>
            <w:shd w:val="clear" w:color="auto" w:fill="DBDBDB"/>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2940" w:type="dxa"/>
            <w:vAlign w:val="bottom"/>
            <w:gridSpan w:val="3"/>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900" w:type="dxa"/>
            <w:vAlign w:val="bottom"/>
            <w:tcBorders>
              <w:bottom w:val="single" w:sz="8" w:color="D8D8D8"/>
            </w:tcBorders>
            <w:vMerge w:val="continue"/>
            <w:shd w:val="clear" w:color="auto" w:fill="D8D8D8"/>
          </w:tcPr>
          <w:p>
            <w:pPr>
              <w:spacing w:after="0"/>
              <w:rPr>
                <w:sz w:val="6"/>
                <w:szCs w:val="6"/>
                <w:color w:val="auto"/>
              </w:rPr>
            </w:pPr>
          </w:p>
        </w:tc>
        <w:tc>
          <w:tcPr>
            <w:tcW w:w="1000" w:type="dxa"/>
            <w:vAlign w:val="bottom"/>
            <w:tcBorders>
              <w:left w:val="single" w:sz="8" w:color="DBDBDB"/>
              <w:bottom w:val="single" w:sz="8" w:color="auto"/>
            </w:tcBorders>
            <w:shd w:val="clear" w:color="auto" w:fill="DBDBDB"/>
          </w:tcPr>
          <w:p>
            <w:pPr>
              <w:spacing w:after="0"/>
              <w:rPr>
                <w:sz w:val="6"/>
                <w:szCs w:val="6"/>
                <w:color w:val="auto"/>
              </w:rPr>
            </w:pPr>
          </w:p>
        </w:tc>
        <w:tc>
          <w:tcPr>
            <w:tcW w:w="540" w:type="dxa"/>
            <w:vAlign w:val="bottom"/>
            <w:tcBorders>
              <w:bottom w:val="single" w:sz="8" w:color="auto"/>
            </w:tcBorders>
            <w:shd w:val="clear" w:color="auto" w:fill="DBDBDB"/>
          </w:tcPr>
          <w:p>
            <w:pPr>
              <w:spacing w:after="0"/>
              <w:rPr>
                <w:sz w:val="6"/>
                <w:szCs w:val="6"/>
                <w:color w:val="auto"/>
              </w:rPr>
            </w:pPr>
          </w:p>
        </w:tc>
        <w:tc>
          <w:tcPr>
            <w:tcW w:w="420" w:type="dxa"/>
            <w:vAlign w:val="bottom"/>
            <w:tcBorders>
              <w:bottom w:val="single" w:sz="8" w:color="auto"/>
            </w:tcBorders>
            <w:shd w:val="clear" w:color="auto" w:fill="DBDBDB"/>
          </w:tcPr>
          <w:p>
            <w:pPr>
              <w:spacing w:after="0"/>
              <w:rPr>
                <w:sz w:val="6"/>
                <w:szCs w:val="6"/>
                <w:color w:val="auto"/>
              </w:rPr>
            </w:pPr>
          </w:p>
        </w:tc>
        <w:tc>
          <w:tcPr>
            <w:tcW w:w="1160" w:type="dxa"/>
            <w:vAlign w:val="bottom"/>
            <w:tcBorders>
              <w:bottom w:val="single" w:sz="8" w:color="auto"/>
              <w:right w:val="single" w:sz="8" w:color="D8D8D8"/>
            </w:tcBorders>
            <w:shd w:val="clear" w:color="auto" w:fill="DBDBDB"/>
          </w:tcPr>
          <w:p>
            <w:pPr>
              <w:spacing w:after="0"/>
              <w:rPr>
                <w:sz w:val="6"/>
                <w:szCs w:val="6"/>
                <w:color w:val="auto"/>
              </w:rPr>
            </w:pPr>
          </w:p>
        </w:tc>
        <w:tc>
          <w:tcPr>
            <w:tcW w:w="120" w:type="dxa"/>
            <w:vAlign w:val="bottom"/>
            <w:tcBorders>
              <w:bottom w:val="single" w:sz="8" w:color="D8D8D8"/>
            </w:tcBorders>
            <w:shd w:val="clear" w:color="auto" w:fill="D8D8D8"/>
          </w:tcPr>
          <w:p>
            <w:pPr>
              <w:spacing w:after="0"/>
              <w:rPr>
                <w:sz w:val="6"/>
                <w:szCs w:val="6"/>
                <w:color w:val="auto"/>
              </w:rPr>
            </w:pPr>
          </w:p>
        </w:tc>
        <w:tc>
          <w:tcPr>
            <w:tcW w:w="160" w:type="dxa"/>
            <w:vAlign w:val="bottom"/>
            <w:tcBorders>
              <w:bottom w:val="single" w:sz="8" w:color="auto"/>
            </w:tcBorders>
            <w:shd w:val="clear" w:color="auto" w:fill="D8D8D8"/>
          </w:tcPr>
          <w:p>
            <w:pPr>
              <w:spacing w:after="0"/>
              <w:rPr>
                <w:sz w:val="6"/>
                <w:szCs w:val="6"/>
                <w:color w:val="auto"/>
              </w:rPr>
            </w:pPr>
          </w:p>
        </w:tc>
        <w:tc>
          <w:tcPr>
            <w:tcW w:w="1360" w:type="dxa"/>
            <w:vAlign w:val="bottom"/>
            <w:tcBorders>
              <w:bottom w:val="single" w:sz="8" w:color="auto"/>
            </w:tcBorders>
            <w:shd w:val="clear" w:color="auto" w:fill="D8D8D8"/>
          </w:tcPr>
          <w:p>
            <w:pPr>
              <w:spacing w:after="0"/>
              <w:rPr>
                <w:sz w:val="6"/>
                <w:szCs w:val="6"/>
                <w:color w:val="auto"/>
              </w:rPr>
            </w:pPr>
          </w:p>
        </w:tc>
        <w:tc>
          <w:tcPr>
            <w:tcW w:w="500" w:type="dxa"/>
            <w:vAlign w:val="bottom"/>
            <w:tcBorders>
              <w:bottom w:val="single" w:sz="8" w:color="auto"/>
            </w:tcBorders>
            <w:shd w:val="clear" w:color="auto" w:fill="D8D8D8"/>
          </w:tcPr>
          <w:p>
            <w:pPr>
              <w:spacing w:after="0"/>
              <w:rPr>
                <w:sz w:val="6"/>
                <w:szCs w:val="6"/>
                <w:color w:val="auto"/>
              </w:rPr>
            </w:pPr>
          </w:p>
        </w:tc>
        <w:tc>
          <w:tcPr>
            <w:tcW w:w="1080" w:type="dxa"/>
            <w:vAlign w:val="bottom"/>
            <w:tcBorders>
              <w:bottom w:val="single" w:sz="8" w:color="auto"/>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w:t>
            </w:r>
          </w:p>
        </w:tc>
        <w:tc>
          <w:tcPr>
            <w:tcW w:w="1000" w:type="dxa"/>
            <w:vAlign w:val="bottom"/>
            <w:tcBorders>
              <w:left w:val="single" w:sz="8" w:color="D8D8D8"/>
              <w:bottom w:val="single" w:sz="8" w:color="auto"/>
            </w:tcBorders>
            <w:shd w:val="clear" w:color="auto" w:fill="D8D8D8"/>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1160" w:type="dxa"/>
            <w:vAlign w:val="bottom"/>
            <w:tcBorders>
              <w:bottom w:val="single" w:sz="8" w:color="auto"/>
              <w:right w:val="single" w:sz="8" w:color="D8D8D8"/>
            </w:tcBorders>
            <w:shd w:val="clear" w:color="auto" w:fill="D8D8D8"/>
          </w:tcPr>
          <w:p>
            <w:pPr>
              <w:ind w:left="220"/>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auto"/>
            </w:tcBorders>
            <w:shd w:val="clear" w:color="auto" w:fill="D8D8D8"/>
          </w:tcPr>
          <w:p>
            <w:pPr>
              <w:spacing w:after="0"/>
              <w:rPr>
                <w:sz w:val="18"/>
                <w:szCs w:val="18"/>
                <w:color w:val="auto"/>
              </w:rPr>
            </w:pPr>
          </w:p>
        </w:tc>
        <w:tc>
          <w:tcPr>
            <w:tcW w:w="160" w:type="dxa"/>
            <w:vAlign w:val="bottom"/>
            <w:tcBorders>
              <w:bottom w:val="single" w:sz="8" w:color="auto"/>
            </w:tcBorders>
            <w:shd w:val="clear" w:color="auto" w:fill="D8D8D8"/>
          </w:tcPr>
          <w:p>
            <w:pPr>
              <w:spacing w:after="0"/>
              <w:rPr>
                <w:sz w:val="18"/>
                <w:szCs w:val="18"/>
                <w:color w:val="auto"/>
              </w:rPr>
            </w:pPr>
          </w:p>
        </w:tc>
        <w:tc>
          <w:tcPr>
            <w:tcW w:w="1360" w:type="dxa"/>
            <w:vAlign w:val="bottom"/>
            <w:tcBorders>
              <w:bottom w:val="single" w:sz="8" w:color="auto"/>
            </w:tcBorders>
            <w:shd w:val="clear" w:color="auto" w:fill="D8D8D8"/>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jc w:val="right"/>
              <w:ind w:right="47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838</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1,100</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Credit-Risk-Related Contingent Features </w:t>
      </w:r>
      <w:r>
        <w:rPr>
          <w:rFonts w:ascii="Arial" w:cs="Arial" w:eastAsia="Arial" w:hAnsi="Arial"/>
          <w:sz w:val="17"/>
          <w:szCs w:val="17"/>
          <w:color w:val="000000"/>
        </w:rPr>
        <w:t>The Company has agreements at the property level with certain derivative counterparties that contain a</w:t>
      </w:r>
      <w:r>
        <w:rPr>
          <w:rFonts w:ascii="Arial" w:cs="Arial" w:eastAsia="Arial" w:hAnsi="Arial"/>
          <w:sz w:val="17"/>
          <w:szCs w:val="17"/>
          <w:b w:val="1"/>
          <w:bCs w:val="1"/>
          <w:color w:val="00497F"/>
        </w:rPr>
        <w:t xml:space="preserve"> </w:t>
      </w:r>
      <w:r>
        <w:rPr>
          <w:rFonts w:ascii="Arial" w:cs="Arial" w:eastAsia="Arial" w:hAnsi="Arial"/>
          <w:sz w:val="17"/>
          <w:szCs w:val="17"/>
          <w:color w:val="000000"/>
        </w:rPr>
        <w:t>provision where if the Company defaults on the related property-level indebtedness, including default where repayment of the indebtedness has not been accelerated by the lender, then the Company could also be declared in default on its related derivative obligations. None of the Company’s derivatives which contain credit-risk-related features were in a net liability position as of September 30, 2026.</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6"/>
        <w:spacing w:after="0"/>
        <w:tabs>
          <w:tab w:leader="none" w:pos="496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32" w:name="page33"/>
    <w:bookmarkEnd w:id="32"/>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8.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emphasizes that fair value is a market-based measurement that should be determined using assumptions market participants would use in pricing an asset or liability. The standard establishes a hierarchical disclosure framework that prioritizes and ranks the level of market price observability used in measuring assets or liabilities at fair value. Market price observability is impacted by a number of factors, including the type of investment and the characteristics specific to the asset or liability. Assets or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order to determine if a market is active or inactive for a security, a number of factors are considered, including, but not limited to, the spread between what a seller is asking for a security and what a buyer is bidding for the same security, the volume of trading activity for the security in question, the price of the security compared to its par value for fixed maturity investments, and other factors that may be indicative of market activity.</w:t>
      </w:r>
    </w:p>
    <w:p>
      <w:pPr>
        <w:spacing w:after="0" w:line="19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00497F"/>
        </w:rPr>
        <w:t xml:space="preserve">Recurring Fair Value Measurements </w:t>
      </w:r>
      <w:r>
        <w:rPr>
          <w:rFonts w:ascii="Arial" w:cs="Arial" w:eastAsia="Arial" w:hAnsi="Arial"/>
          <w:sz w:val="17"/>
          <w:szCs w:val="17"/>
          <w:color w:val="000000"/>
        </w:rPr>
        <w:t>The following table presents the fair value measurement hierarchy levels required under ASC 820 for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Company’s assets and liabilities that are measured at fair value on a recurring basis.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Borders>
              <w:top w:val="single" w:sz="8" w:color="auto"/>
            </w:tcBorders>
            <w:shd w:val="clear" w:color="auto" w:fill="D8D8D8"/>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2560" w:type="dxa"/>
            <w:vAlign w:val="bottom"/>
            <w:tcBorders>
              <w:top w:val="single" w:sz="8" w:color="auto"/>
            </w:tcBorders>
            <w:gridSpan w:val="3"/>
            <w:shd w:val="clear" w:color="auto" w:fill="DBDBDB"/>
          </w:tcPr>
          <w:p>
            <w:pPr>
              <w:jc w:val="right"/>
              <w:ind w:right="424"/>
              <w:spacing w:after="0"/>
              <w:rPr>
                <w:sz w:val="20"/>
                <w:szCs w:val="20"/>
                <w:color w:val="auto"/>
              </w:rPr>
            </w:pPr>
            <w:r>
              <w:rPr>
                <w:rFonts w:ascii="Arial" w:cs="Arial" w:eastAsia="Arial" w:hAnsi="Arial"/>
                <w:sz w:val="15"/>
                <w:szCs w:val="15"/>
                <w:b w:val="1"/>
                <w:bCs w:val="1"/>
                <w:color w:val="auto"/>
              </w:rPr>
              <w:t>September 30, 2026</w:t>
            </w:r>
          </w:p>
        </w:tc>
        <w:tc>
          <w:tcPr>
            <w:tcW w:w="200" w:type="dxa"/>
            <w:vAlign w:val="bottom"/>
            <w:tcBorders>
              <w:top w:val="single" w:sz="8" w:color="auto"/>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auto"/>
            </w:tcBorders>
            <w:shd w:val="clear" w:color="auto" w:fill="D8D8D8"/>
          </w:tcPr>
          <w:p>
            <w:pPr>
              <w:spacing w:after="0"/>
              <w:rPr>
                <w:sz w:val="18"/>
                <w:szCs w:val="18"/>
                <w:color w:val="auto"/>
              </w:rPr>
            </w:pPr>
          </w:p>
        </w:tc>
        <w:tc>
          <w:tcPr>
            <w:tcW w:w="120" w:type="dxa"/>
            <w:vAlign w:val="bottom"/>
            <w:tcBorders>
              <w:top w:val="single" w:sz="8" w:color="auto"/>
            </w:tcBorders>
            <w:shd w:val="clear" w:color="auto" w:fill="D8D8D8"/>
          </w:tcPr>
          <w:p>
            <w:pPr>
              <w:spacing w:after="0"/>
              <w:rPr>
                <w:sz w:val="18"/>
                <w:szCs w:val="18"/>
                <w:color w:val="auto"/>
              </w:rPr>
            </w:pPr>
          </w:p>
        </w:tc>
        <w:tc>
          <w:tcPr>
            <w:tcW w:w="500" w:type="dxa"/>
            <w:vAlign w:val="bottom"/>
            <w:tcBorders>
              <w:top w:val="single" w:sz="8" w:color="auto"/>
            </w:tcBorders>
            <w:shd w:val="clear" w:color="auto" w:fill="D8D8D8"/>
          </w:tcPr>
          <w:p>
            <w:pPr>
              <w:spacing w:after="0"/>
              <w:rPr>
                <w:sz w:val="18"/>
                <w:szCs w:val="18"/>
                <w:color w:val="auto"/>
              </w:rPr>
            </w:pPr>
          </w:p>
        </w:tc>
        <w:tc>
          <w:tcPr>
            <w:tcW w:w="220" w:type="dxa"/>
            <w:vAlign w:val="bottom"/>
            <w:tcBorders>
              <w:top w:val="single" w:sz="8" w:color="auto"/>
            </w:tcBorders>
            <w:shd w:val="clear" w:color="auto" w:fill="D8D8D8"/>
          </w:tcPr>
          <w:p>
            <w:pPr>
              <w:spacing w:after="0"/>
              <w:rPr>
                <w:sz w:val="18"/>
                <w:szCs w:val="18"/>
                <w:color w:val="auto"/>
              </w:rPr>
            </w:pPr>
          </w:p>
        </w:tc>
        <w:tc>
          <w:tcPr>
            <w:tcW w:w="2340" w:type="dxa"/>
            <w:vAlign w:val="bottom"/>
            <w:tcBorders>
              <w:top w:val="single" w:sz="8" w:color="auto"/>
            </w:tcBorders>
            <w:gridSpan w:val="3"/>
            <w:shd w:val="clear" w:color="auto" w:fill="D8D8D8"/>
          </w:tcPr>
          <w:p>
            <w:pPr>
              <w:jc w:val="center"/>
              <w:ind w:left="344"/>
              <w:spacing w:after="0"/>
              <w:rPr>
                <w:sz w:val="20"/>
                <w:szCs w:val="20"/>
                <w:color w:val="auto"/>
              </w:rPr>
            </w:pPr>
            <w:r>
              <w:rPr>
                <w:rFonts w:ascii="Arial" w:cs="Arial" w:eastAsia="Arial" w:hAnsi="Arial"/>
                <w:sz w:val="15"/>
                <w:szCs w:val="15"/>
                <w:color w:val="auto"/>
              </w:rPr>
              <w:t>December 31, 2025</w:t>
            </w:r>
          </w:p>
        </w:tc>
        <w:tc>
          <w:tcPr>
            <w:tcW w:w="220" w:type="dxa"/>
            <w:vAlign w:val="bottom"/>
            <w:tcBorders>
              <w:top w:val="single" w:sz="8" w:color="auto"/>
            </w:tcBorders>
            <w:shd w:val="clear" w:color="auto" w:fill="D8D8D8"/>
          </w:tcPr>
          <w:p>
            <w:pPr>
              <w:spacing w:after="0"/>
              <w:rPr>
                <w:sz w:val="18"/>
                <w:szCs w:val="18"/>
                <w:color w:val="auto"/>
              </w:rPr>
            </w:pPr>
          </w:p>
        </w:tc>
        <w:tc>
          <w:tcPr>
            <w:tcW w:w="1040" w:type="dxa"/>
            <w:vAlign w:val="bottom"/>
            <w:tcBorders>
              <w:top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D8D8D8"/>
            </w:tcBorders>
            <w:shd w:val="clear" w:color="auto" w:fill="D8D8D8"/>
          </w:tcPr>
          <w:p>
            <w:pPr>
              <w:spacing w:after="0"/>
              <w:rPr>
                <w:sz w:val="17"/>
                <w:szCs w:val="17"/>
                <w:color w:val="auto"/>
              </w:rPr>
            </w:pPr>
          </w:p>
        </w:tc>
        <w:tc>
          <w:tcPr>
            <w:tcW w:w="98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56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5"/>
                <w:szCs w:val="15"/>
                <w:b w:val="1"/>
                <w:bCs w:val="1"/>
                <w:color w:val="auto"/>
              </w:rPr>
              <w:t>Fair Value Measurements Using</w:t>
            </w:r>
          </w:p>
        </w:tc>
        <w:tc>
          <w:tcPr>
            <w:tcW w:w="20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8D8D8"/>
            </w:tcBorders>
            <w:shd w:val="clear" w:color="auto" w:fill="D8D8D8"/>
          </w:tcPr>
          <w:p>
            <w:pPr>
              <w:spacing w:after="0"/>
              <w:rPr>
                <w:sz w:val="17"/>
                <w:szCs w:val="17"/>
                <w:color w:val="auto"/>
              </w:rPr>
            </w:pPr>
          </w:p>
        </w:tc>
        <w:tc>
          <w:tcPr>
            <w:tcW w:w="120" w:type="dxa"/>
            <w:vAlign w:val="bottom"/>
            <w:tcBorders>
              <w:bottom w:val="single" w:sz="8" w:color="auto"/>
            </w:tcBorders>
            <w:shd w:val="clear" w:color="auto" w:fill="D8D8D8"/>
          </w:tcPr>
          <w:p>
            <w:pPr>
              <w:spacing w:after="0"/>
              <w:rPr>
                <w:sz w:val="17"/>
                <w:szCs w:val="17"/>
                <w:color w:val="auto"/>
              </w:rPr>
            </w:pPr>
          </w:p>
        </w:tc>
        <w:tc>
          <w:tcPr>
            <w:tcW w:w="500" w:type="dxa"/>
            <w:vAlign w:val="bottom"/>
            <w:tcBorders>
              <w:bottom w:val="single" w:sz="8" w:color="auto"/>
            </w:tcBorders>
            <w:shd w:val="clear" w:color="auto" w:fill="D8D8D8"/>
          </w:tcPr>
          <w:p>
            <w:pPr>
              <w:spacing w:after="0"/>
              <w:rPr>
                <w:sz w:val="17"/>
                <w:szCs w:val="17"/>
                <w:color w:val="auto"/>
              </w:rPr>
            </w:pPr>
          </w:p>
        </w:tc>
        <w:tc>
          <w:tcPr>
            <w:tcW w:w="220" w:type="dxa"/>
            <w:vAlign w:val="bottom"/>
            <w:tcBorders>
              <w:bottom w:val="single" w:sz="8" w:color="auto"/>
            </w:tcBorders>
            <w:shd w:val="clear" w:color="auto" w:fill="D8D8D8"/>
          </w:tcPr>
          <w:p>
            <w:pPr>
              <w:spacing w:after="0"/>
              <w:rPr>
                <w:sz w:val="17"/>
                <w:szCs w:val="17"/>
                <w:color w:val="auto"/>
              </w:rPr>
            </w:pPr>
          </w:p>
        </w:tc>
        <w:tc>
          <w:tcPr>
            <w:tcW w:w="2560" w:type="dxa"/>
            <w:vAlign w:val="bottom"/>
            <w:tcBorders>
              <w:bottom w:val="single" w:sz="8" w:color="auto"/>
            </w:tcBorders>
            <w:gridSpan w:val="4"/>
            <w:shd w:val="clear" w:color="auto" w:fill="D8D8D8"/>
          </w:tcPr>
          <w:p>
            <w:pPr>
              <w:jc w:val="center"/>
              <w:ind w:left="124"/>
              <w:spacing w:after="0"/>
              <w:rPr>
                <w:sz w:val="20"/>
                <w:szCs w:val="20"/>
                <w:color w:val="auto"/>
              </w:rPr>
            </w:pPr>
            <w:r>
              <w:rPr>
                <w:rFonts w:ascii="Arial" w:cs="Arial" w:eastAsia="Arial" w:hAnsi="Arial"/>
                <w:sz w:val="15"/>
                <w:szCs w:val="15"/>
                <w:color w:val="auto"/>
              </w:rPr>
              <w:t>Fair Value Measurements Using</w:t>
            </w:r>
          </w:p>
        </w:tc>
        <w:tc>
          <w:tcPr>
            <w:tcW w:w="1040" w:type="dxa"/>
            <w:vAlign w:val="bottom"/>
            <w:tcBorders>
              <w:bottom w:val="single" w:sz="8" w:color="auto"/>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D8D8D8"/>
          </w:tcPr>
          <w:p>
            <w:pPr>
              <w:spacing w:after="0"/>
              <w:rPr>
                <w:sz w:val="12"/>
                <w:szCs w:val="12"/>
                <w:color w:val="auto"/>
              </w:rPr>
            </w:pPr>
          </w:p>
        </w:tc>
        <w:tc>
          <w:tcPr>
            <w:tcW w:w="98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1400" w:type="dxa"/>
            <w:vAlign w:val="bottom"/>
            <w:vMerge w:val="restart"/>
            <w:shd w:val="clear" w:color="auto" w:fill="D8D8D8"/>
          </w:tcPr>
          <w:p>
            <w:pPr>
              <w:jc w:val="center"/>
              <w:ind w:right="144"/>
              <w:spacing w:after="0"/>
              <w:rPr>
                <w:sz w:val="20"/>
                <w:szCs w:val="20"/>
                <w:color w:val="auto"/>
              </w:rPr>
            </w:pPr>
            <w:r>
              <w:rPr>
                <w:rFonts w:ascii="Arial" w:cs="Arial" w:eastAsia="Arial" w:hAnsi="Arial"/>
                <w:sz w:val="15"/>
                <w:szCs w:val="15"/>
                <w:b w:val="1"/>
                <w:bCs w:val="1"/>
                <w:color w:val="auto"/>
              </w:rPr>
              <w:t>Quoted Prices</w:t>
            </w:r>
          </w:p>
        </w:tc>
        <w:tc>
          <w:tcPr>
            <w:tcW w:w="1160" w:type="dxa"/>
            <w:vAlign w:val="bottom"/>
            <w:gridSpan w:val="2"/>
            <w:shd w:val="clear" w:color="auto" w:fill="D8D8D8"/>
          </w:tcPr>
          <w:p>
            <w:pPr>
              <w:jc w:val="center"/>
              <w:spacing w:after="0" w:line="142" w:lineRule="exact"/>
              <w:rPr>
                <w:sz w:val="20"/>
                <w:szCs w:val="20"/>
                <w:color w:val="auto"/>
              </w:rPr>
            </w:pPr>
            <w:r>
              <w:rPr>
                <w:rFonts w:ascii="Arial" w:cs="Arial" w:eastAsia="Arial" w:hAnsi="Arial"/>
                <w:sz w:val="15"/>
                <w:szCs w:val="15"/>
                <w:b w:val="1"/>
                <w:bCs w:val="1"/>
                <w:color w:val="auto"/>
              </w:rPr>
              <w:t>Significant</w:t>
            </w:r>
          </w:p>
        </w:tc>
        <w:tc>
          <w:tcPr>
            <w:tcW w:w="200" w:type="dxa"/>
            <w:vAlign w:val="bottom"/>
            <w:shd w:val="clear" w:color="auto" w:fill="D8D8D8"/>
          </w:tcPr>
          <w:p>
            <w:pPr>
              <w:spacing w:after="0"/>
              <w:rPr>
                <w:sz w:val="12"/>
                <w:szCs w:val="12"/>
                <w:color w:val="auto"/>
              </w:rPr>
            </w:pPr>
          </w:p>
        </w:tc>
        <w:tc>
          <w:tcPr>
            <w:tcW w:w="1120" w:type="dxa"/>
            <w:vAlign w:val="bottom"/>
            <w:vMerge w:val="restart"/>
            <w:shd w:val="clear" w:color="auto" w:fill="D8D8D8"/>
          </w:tcPr>
          <w:p>
            <w:pPr>
              <w:jc w:val="center"/>
              <w:ind w:right="144"/>
              <w:spacing w:after="0"/>
              <w:rPr>
                <w:sz w:val="20"/>
                <w:szCs w:val="20"/>
                <w:color w:val="auto"/>
              </w:rPr>
            </w:pPr>
            <w:r>
              <w:rPr>
                <w:rFonts w:ascii="Arial" w:cs="Arial" w:eastAsia="Arial" w:hAnsi="Arial"/>
                <w:sz w:val="15"/>
                <w:szCs w:val="15"/>
                <w:b w:val="1"/>
                <w:bCs w:val="1"/>
                <w:color w:val="auto"/>
              </w:rPr>
              <w:t>Significant</w:t>
            </w:r>
          </w:p>
        </w:tc>
        <w:tc>
          <w:tcPr>
            <w:tcW w:w="10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1260" w:type="dxa"/>
            <w:vAlign w:val="bottom"/>
            <w:shd w:val="clear" w:color="auto" w:fill="D8D8D8"/>
          </w:tcPr>
          <w:p>
            <w:pPr>
              <w:spacing w:after="0"/>
              <w:rPr>
                <w:sz w:val="12"/>
                <w:szCs w:val="12"/>
                <w:color w:val="auto"/>
              </w:rPr>
            </w:pPr>
          </w:p>
        </w:tc>
        <w:tc>
          <w:tcPr>
            <w:tcW w:w="1080" w:type="dxa"/>
            <w:vAlign w:val="bottom"/>
            <w:gridSpan w:val="2"/>
            <w:shd w:val="clear" w:color="auto" w:fill="D8D8D8"/>
          </w:tcPr>
          <w:p>
            <w:pPr>
              <w:jc w:val="center"/>
              <w:spacing w:after="0" w:line="142" w:lineRule="exact"/>
              <w:rPr>
                <w:sz w:val="20"/>
                <w:szCs w:val="20"/>
                <w:color w:val="auto"/>
              </w:rPr>
            </w:pPr>
            <w:r>
              <w:rPr>
                <w:rFonts w:ascii="Arial" w:cs="Arial" w:eastAsia="Arial" w:hAnsi="Arial"/>
                <w:sz w:val="15"/>
                <w:szCs w:val="15"/>
                <w:color w:val="auto"/>
              </w:rPr>
              <w:t>Significant</w:t>
            </w:r>
          </w:p>
        </w:tc>
        <w:tc>
          <w:tcPr>
            <w:tcW w:w="22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D8D8D8"/>
          </w:tcPr>
          <w:p>
            <w:pPr>
              <w:spacing w:after="0"/>
              <w:rPr>
                <w:sz w:val="14"/>
                <w:szCs w:val="14"/>
                <w:color w:val="auto"/>
              </w:rPr>
            </w:pPr>
          </w:p>
        </w:tc>
        <w:tc>
          <w:tcPr>
            <w:tcW w:w="98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1400" w:type="dxa"/>
            <w:vAlign w:val="bottom"/>
            <w:vMerge w:val="continue"/>
            <w:shd w:val="clear" w:color="auto" w:fill="D8D8D8"/>
          </w:tcPr>
          <w:p>
            <w:pPr>
              <w:spacing w:after="0"/>
              <w:rPr>
                <w:sz w:val="14"/>
                <w:szCs w:val="14"/>
                <w:color w:val="auto"/>
              </w:rPr>
            </w:pPr>
          </w:p>
        </w:tc>
        <w:tc>
          <w:tcPr>
            <w:tcW w:w="260" w:type="dxa"/>
            <w:vAlign w:val="bottom"/>
            <w:shd w:val="clear" w:color="auto" w:fill="D8D8D8"/>
          </w:tcPr>
          <w:p>
            <w:pPr>
              <w:spacing w:after="0"/>
              <w:rPr>
                <w:sz w:val="14"/>
                <w:szCs w:val="14"/>
                <w:color w:val="auto"/>
              </w:rPr>
            </w:pPr>
          </w:p>
        </w:tc>
        <w:tc>
          <w:tcPr>
            <w:tcW w:w="900" w:type="dxa"/>
            <w:vAlign w:val="bottom"/>
            <w:shd w:val="clear" w:color="auto" w:fill="D8D8D8"/>
          </w:tcPr>
          <w:p>
            <w:pPr>
              <w:jc w:val="center"/>
              <w:ind w:right="244"/>
              <w:spacing w:after="0" w:line="162" w:lineRule="exact"/>
              <w:rPr>
                <w:sz w:val="20"/>
                <w:szCs w:val="20"/>
                <w:color w:val="auto"/>
              </w:rPr>
            </w:pPr>
            <w:r>
              <w:rPr>
                <w:rFonts w:ascii="Arial" w:cs="Arial" w:eastAsia="Arial" w:hAnsi="Arial"/>
                <w:sz w:val="15"/>
                <w:szCs w:val="15"/>
                <w:b w:val="1"/>
                <w:bCs w:val="1"/>
                <w:color w:val="auto"/>
              </w:rPr>
              <w:t>Other</w:t>
            </w:r>
          </w:p>
        </w:tc>
        <w:tc>
          <w:tcPr>
            <w:tcW w:w="200" w:type="dxa"/>
            <w:vAlign w:val="bottom"/>
            <w:shd w:val="clear" w:color="auto" w:fill="D8D8D8"/>
          </w:tcPr>
          <w:p>
            <w:pPr>
              <w:spacing w:after="0"/>
              <w:rPr>
                <w:sz w:val="14"/>
                <w:szCs w:val="14"/>
                <w:color w:val="auto"/>
              </w:rPr>
            </w:pPr>
          </w:p>
        </w:tc>
        <w:tc>
          <w:tcPr>
            <w:tcW w:w="112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0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1260" w:type="dxa"/>
            <w:vAlign w:val="bottom"/>
            <w:shd w:val="clear" w:color="auto" w:fill="D8D8D8"/>
          </w:tcPr>
          <w:p>
            <w:pPr>
              <w:jc w:val="center"/>
              <w:ind w:right="164"/>
              <w:spacing w:after="0" w:line="162" w:lineRule="exact"/>
              <w:rPr>
                <w:sz w:val="20"/>
                <w:szCs w:val="20"/>
                <w:color w:val="auto"/>
              </w:rPr>
            </w:pPr>
            <w:r>
              <w:rPr>
                <w:rFonts w:ascii="Arial" w:cs="Arial" w:eastAsia="Arial" w:hAnsi="Arial"/>
                <w:sz w:val="15"/>
                <w:szCs w:val="15"/>
                <w:color w:val="auto"/>
              </w:rPr>
              <w:t>Quoted Prices</w:t>
            </w: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center"/>
              <w:ind w:right="164"/>
              <w:spacing w:after="0" w:line="162" w:lineRule="exact"/>
              <w:rPr>
                <w:sz w:val="20"/>
                <w:szCs w:val="20"/>
                <w:color w:val="auto"/>
              </w:rPr>
            </w:pPr>
            <w:r>
              <w:rPr>
                <w:rFonts w:ascii="Arial" w:cs="Arial" w:eastAsia="Arial" w:hAnsi="Arial"/>
                <w:sz w:val="15"/>
                <w:szCs w:val="15"/>
                <w:color w:val="auto"/>
              </w:rPr>
              <w:t>Other</w:t>
            </w:r>
          </w:p>
        </w:tc>
        <w:tc>
          <w:tcPr>
            <w:tcW w:w="220" w:type="dxa"/>
            <w:vAlign w:val="bottom"/>
            <w:shd w:val="clear" w:color="auto" w:fill="D8D8D8"/>
          </w:tcPr>
          <w:p>
            <w:pPr>
              <w:spacing w:after="0"/>
              <w:rPr>
                <w:sz w:val="14"/>
                <w:szCs w:val="14"/>
                <w:color w:val="auto"/>
              </w:rPr>
            </w:pPr>
          </w:p>
        </w:tc>
        <w:tc>
          <w:tcPr>
            <w:tcW w:w="1040" w:type="dxa"/>
            <w:vAlign w:val="bottom"/>
            <w:shd w:val="clear" w:color="auto" w:fill="D8D8D8"/>
          </w:tcPr>
          <w:p>
            <w:pPr>
              <w:jc w:val="center"/>
              <w:ind w:right="164"/>
              <w:spacing w:after="0" w:line="162" w:lineRule="exact"/>
              <w:rPr>
                <w:sz w:val="20"/>
                <w:szCs w:val="20"/>
                <w:color w:val="auto"/>
              </w:rPr>
            </w:pPr>
            <w:r>
              <w:rPr>
                <w:rFonts w:ascii="Arial" w:cs="Arial" w:eastAsia="Arial" w:hAnsi="Arial"/>
                <w:sz w:val="15"/>
                <w:szCs w:val="15"/>
                <w:color w:val="auto"/>
              </w:rPr>
              <w:t>Significant</w:t>
            </w:r>
          </w:p>
        </w:tc>
        <w:tc>
          <w:tcPr>
            <w:tcW w:w="0" w:type="dxa"/>
            <w:vAlign w:val="bottom"/>
          </w:tcPr>
          <w:p>
            <w:pPr>
              <w:spacing w:after="0"/>
              <w:rPr>
                <w:sz w:val="1"/>
                <w:szCs w:val="1"/>
                <w:color w:val="auto"/>
              </w:rPr>
            </w:pPr>
          </w:p>
        </w:tc>
      </w:tr>
      <w:tr>
        <w:trPr>
          <w:trHeight w:val="148"/>
        </w:trPr>
        <w:tc>
          <w:tcPr>
            <w:tcW w:w="1620" w:type="dxa"/>
            <w:vAlign w:val="bottom"/>
            <w:shd w:val="clear" w:color="auto" w:fill="D8D8D8"/>
          </w:tcPr>
          <w:p>
            <w:pPr>
              <w:spacing w:after="0"/>
              <w:rPr>
                <w:sz w:val="12"/>
                <w:szCs w:val="12"/>
                <w:color w:val="auto"/>
              </w:rPr>
            </w:pPr>
          </w:p>
        </w:tc>
        <w:tc>
          <w:tcPr>
            <w:tcW w:w="980" w:type="dxa"/>
            <w:vAlign w:val="bottom"/>
            <w:shd w:val="clear" w:color="auto" w:fill="D8D8D8"/>
          </w:tcPr>
          <w:p>
            <w:pPr>
              <w:spacing w:after="0"/>
              <w:rPr>
                <w:sz w:val="12"/>
                <w:szCs w:val="12"/>
                <w:color w:val="auto"/>
              </w:rPr>
            </w:pPr>
          </w:p>
        </w:tc>
        <w:tc>
          <w:tcPr>
            <w:tcW w:w="1620" w:type="dxa"/>
            <w:vAlign w:val="bottom"/>
            <w:gridSpan w:val="2"/>
            <w:shd w:val="clear" w:color="auto" w:fill="D8D8D8"/>
          </w:tcPr>
          <w:p>
            <w:pPr>
              <w:jc w:val="center"/>
              <w:spacing w:after="0" w:line="149" w:lineRule="exact"/>
              <w:rPr>
                <w:sz w:val="20"/>
                <w:szCs w:val="20"/>
                <w:color w:val="auto"/>
              </w:rPr>
            </w:pPr>
            <w:r>
              <w:rPr>
                <w:rFonts w:ascii="Arial" w:cs="Arial" w:eastAsia="Arial" w:hAnsi="Arial"/>
                <w:sz w:val="15"/>
                <w:szCs w:val="15"/>
                <w:b w:val="1"/>
                <w:bCs w:val="1"/>
                <w:color w:val="auto"/>
              </w:rPr>
              <w:t>in Active Markets for</w:t>
            </w:r>
          </w:p>
        </w:tc>
        <w:tc>
          <w:tcPr>
            <w:tcW w:w="1160" w:type="dxa"/>
            <w:vAlign w:val="bottom"/>
            <w:gridSpan w:val="2"/>
            <w:shd w:val="clear" w:color="auto" w:fill="D8D8D8"/>
          </w:tcPr>
          <w:p>
            <w:pPr>
              <w:jc w:val="center"/>
              <w:spacing w:after="0" w:line="149" w:lineRule="exact"/>
              <w:rPr>
                <w:sz w:val="20"/>
                <w:szCs w:val="20"/>
                <w:color w:val="auto"/>
              </w:rPr>
            </w:pPr>
            <w:r>
              <w:rPr>
                <w:rFonts w:ascii="Arial" w:cs="Arial" w:eastAsia="Arial" w:hAnsi="Arial"/>
                <w:sz w:val="15"/>
                <w:szCs w:val="15"/>
                <w:b w:val="1"/>
                <w:bCs w:val="1"/>
                <w:color w:val="auto"/>
              </w:rPr>
              <w:t>Observable</w:t>
            </w:r>
          </w:p>
        </w:tc>
        <w:tc>
          <w:tcPr>
            <w:tcW w:w="1320" w:type="dxa"/>
            <w:vAlign w:val="bottom"/>
            <w:gridSpan w:val="2"/>
            <w:shd w:val="clear" w:color="auto" w:fill="D8D8D8"/>
          </w:tcPr>
          <w:p>
            <w:pPr>
              <w:jc w:val="center"/>
              <w:spacing w:after="0" w:line="149" w:lineRule="exact"/>
              <w:rPr>
                <w:sz w:val="20"/>
                <w:szCs w:val="20"/>
                <w:color w:val="auto"/>
              </w:rPr>
            </w:pPr>
            <w:r>
              <w:rPr>
                <w:rFonts w:ascii="Arial" w:cs="Arial" w:eastAsia="Arial" w:hAnsi="Arial"/>
                <w:sz w:val="15"/>
                <w:szCs w:val="15"/>
                <w:b w:val="1"/>
                <w:bCs w:val="1"/>
                <w:color w:val="auto"/>
              </w:rPr>
              <w:t>Unobservable</w:t>
            </w:r>
          </w:p>
        </w:tc>
        <w:tc>
          <w:tcPr>
            <w:tcW w:w="10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1480" w:type="dxa"/>
            <w:vAlign w:val="bottom"/>
            <w:gridSpan w:val="2"/>
            <w:shd w:val="clear" w:color="auto" w:fill="D8D8D8"/>
          </w:tcPr>
          <w:p>
            <w:pPr>
              <w:jc w:val="center"/>
              <w:spacing w:after="0" w:line="149" w:lineRule="exact"/>
              <w:rPr>
                <w:sz w:val="20"/>
                <w:szCs w:val="20"/>
                <w:color w:val="auto"/>
              </w:rPr>
            </w:pPr>
            <w:r>
              <w:rPr>
                <w:rFonts w:ascii="Arial" w:cs="Arial" w:eastAsia="Arial" w:hAnsi="Arial"/>
                <w:sz w:val="15"/>
                <w:szCs w:val="15"/>
                <w:color w:val="auto"/>
              </w:rPr>
              <w:t>in Active Markets for</w:t>
            </w:r>
          </w:p>
        </w:tc>
        <w:tc>
          <w:tcPr>
            <w:tcW w:w="1080" w:type="dxa"/>
            <w:vAlign w:val="bottom"/>
            <w:gridSpan w:val="2"/>
            <w:shd w:val="clear" w:color="auto" w:fill="D8D8D8"/>
          </w:tcPr>
          <w:p>
            <w:pPr>
              <w:jc w:val="center"/>
              <w:spacing w:after="0" w:line="149" w:lineRule="exact"/>
              <w:rPr>
                <w:sz w:val="20"/>
                <w:szCs w:val="20"/>
                <w:color w:val="auto"/>
              </w:rPr>
            </w:pPr>
            <w:r>
              <w:rPr>
                <w:rFonts w:ascii="Arial" w:cs="Arial" w:eastAsia="Arial" w:hAnsi="Arial"/>
                <w:sz w:val="15"/>
                <w:szCs w:val="15"/>
                <w:color w:val="auto"/>
              </w:rPr>
              <w:t>Observable</w:t>
            </w:r>
          </w:p>
        </w:tc>
        <w:tc>
          <w:tcPr>
            <w:tcW w:w="1260" w:type="dxa"/>
            <w:vAlign w:val="bottom"/>
            <w:gridSpan w:val="2"/>
            <w:shd w:val="clear" w:color="auto" w:fill="D8D8D8"/>
          </w:tcPr>
          <w:p>
            <w:pPr>
              <w:jc w:val="center"/>
              <w:spacing w:after="0" w:line="149" w:lineRule="exact"/>
              <w:rPr>
                <w:sz w:val="20"/>
                <w:szCs w:val="20"/>
                <w:color w:val="auto"/>
              </w:rPr>
            </w:pPr>
            <w:r>
              <w:rPr>
                <w:rFonts w:ascii="Arial" w:cs="Arial" w:eastAsia="Arial" w:hAnsi="Arial"/>
                <w:sz w:val="15"/>
                <w:szCs w:val="15"/>
                <w:color w:val="auto"/>
              </w:rPr>
              <w:t>Unobservable</w:t>
            </w:r>
          </w:p>
        </w:tc>
        <w:tc>
          <w:tcPr>
            <w:tcW w:w="0" w:type="dxa"/>
            <w:vAlign w:val="bottom"/>
          </w:tcPr>
          <w:p>
            <w:pPr>
              <w:spacing w:after="0"/>
              <w:rPr>
                <w:sz w:val="1"/>
                <w:szCs w:val="1"/>
                <w:color w:val="auto"/>
              </w:rPr>
            </w:pPr>
          </w:p>
        </w:tc>
      </w:tr>
      <w:tr>
        <w:trPr>
          <w:trHeight w:val="162"/>
        </w:trPr>
        <w:tc>
          <w:tcPr>
            <w:tcW w:w="1620" w:type="dxa"/>
            <w:vAlign w:val="bottom"/>
            <w:vMerge w:val="restart"/>
            <w:shd w:val="clear" w:color="auto" w:fill="D8D8D8"/>
          </w:tcPr>
          <w:p>
            <w:pPr>
              <w:ind w:left="20"/>
              <w:spacing w:after="0"/>
              <w:rPr>
                <w:sz w:val="20"/>
                <w:szCs w:val="20"/>
                <w:color w:val="auto"/>
              </w:rPr>
            </w:pPr>
            <w:r>
              <w:rPr>
                <w:rFonts w:ascii="Arial" w:cs="Arial" w:eastAsia="Arial" w:hAnsi="Arial"/>
                <w:sz w:val="15"/>
                <w:szCs w:val="15"/>
                <w:i w:val="1"/>
                <w:iCs w:val="1"/>
                <w:color w:val="auto"/>
              </w:rPr>
              <w:t>thousands</w:t>
            </w:r>
          </w:p>
        </w:tc>
        <w:tc>
          <w:tcPr>
            <w:tcW w:w="980" w:type="dxa"/>
            <w:vAlign w:val="bottom"/>
            <w:vMerge w:val="restart"/>
            <w:shd w:val="clear" w:color="auto" w:fill="D8D8D8"/>
          </w:tcPr>
          <w:p>
            <w:pPr>
              <w:jc w:val="right"/>
              <w:ind w:right="224"/>
              <w:spacing w:after="0"/>
              <w:rPr>
                <w:sz w:val="20"/>
                <w:szCs w:val="20"/>
                <w:color w:val="auto"/>
              </w:rPr>
            </w:pPr>
            <w:r>
              <w:rPr>
                <w:rFonts w:ascii="Arial" w:cs="Arial" w:eastAsia="Arial" w:hAnsi="Arial"/>
                <w:sz w:val="15"/>
                <w:szCs w:val="15"/>
                <w:b w:val="1"/>
                <w:bCs w:val="1"/>
                <w:color w:val="auto"/>
              </w:rPr>
              <w:t>Total</w:t>
            </w:r>
          </w:p>
        </w:tc>
        <w:tc>
          <w:tcPr>
            <w:tcW w:w="220" w:type="dxa"/>
            <w:vAlign w:val="bottom"/>
            <w:shd w:val="clear" w:color="auto" w:fill="D8D8D8"/>
          </w:tcPr>
          <w:p>
            <w:pPr>
              <w:spacing w:after="0"/>
              <w:rPr>
                <w:sz w:val="14"/>
                <w:szCs w:val="14"/>
                <w:color w:val="auto"/>
              </w:rPr>
            </w:pPr>
          </w:p>
        </w:tc>
        <w:tc>
          <w:tcPr>
            <w:tcW w:w="1400" w:type="dxa"/>
            <w:vAlign w:val="bottom"/>
            <w:shd w:val="clear" w:color="auto" w:fill="D8D8D8"/>
          </w:tcPr>
          <w:p>
            <w:pPr>
              <w:jc w:val="center"/>
              <w:ind w:right="144"/>
              <w:spacing w:after="0" w:line="162" w:lineRule="exact"/>
              <w:rPr>
                <w:sz w:val="20"/>
                <w:szCs w:val="20"/>
                <w:color w:val="auto"/>
              </w:rPr>
            </w:pPr>
            <w:r>
              <w:rPr>
                <w:rFonts w:ascii="Arial" w:cs="Arial" w:eastAsia="Arial" w:hAnsi="Arial"/>
                <w:sz w:val="15"/>
                <w:szCs w:val="15"/>
                <w:b w:val="1"/>
                <w:bCs w:val="1"/>
                <w:color w:val="auto"/>
                <w:w w:val="99"/>
              </w:rPr>
              <w:t>Identical Assets</w:t>
            </w:r>
          </w:p>
        </w:tc>
        <w:tc>
          <w:tcPr>
            <w:tcW w:w="1160" w:type="dxa"/>
            <w:vAlign w:val="bottom"/>
            <w:gridSpan w:val="2"/>
            <w:shd w:val="clear" w:color="auto" w:fill="D8D8D8"/>
          </w:tcPr>
          <w:p>
            <w:pPr>
              <w:jc w:val="center"/>
              <w:spacing w:after="0" w:line="162" w:lineRule="exact"/>
              <w:rPr>
                <w:sz w:val="20"/>
                <w:szCs w:val="20"/>
                <w:color w:val="auto"/>
              </w:rPr>
            </w:pPr>
            <w:r>
              <w:rPr>
                <w:rFonts w:ascii="Arial" w:cs="Arial" w:eastAsia="Arial" w:hAnsi="Arial"/>
                <w:sz w:val="15"/>
                <w:szCs w:val="15"/>
                <w:b w:val="1"/>
                <w:bCs w:val="1"/>
                <w:color w:val="auto"/>
              </w:rPr>
              <w:t>Inputs (Level</w:t>
            </w:r>
          </w:p>
        </w:tc>
        <w:tc>
          <w:tcPr>
            <w:tcW w:w="200" w:type="dxa"/>
            <w:vAlign w:val="bottom"/>
            <w:shd w:val="clear" w:color="auto" w:fill="D8D8D8"/>
          </w:tcPr>
          <w:p>
            <w:pPr>
              <w:spacing w:after="0"/>
              <w:rPr>
                <w:sz w:val="14"/>
                <w:szCs w:val="14"/>
                <w:color w:val="auto"/>
              </w:rPr>
            </w:pPr>
          </w:p>
        </w:tc>
        <w:tc>
          <w:tcPr>
            <w:tcW w:w="1120" w:type="dxa"/>
            <w:vAlign w:val="bottom"/>
            <w:shd w:val="clear" w:color="auto" w:fill="D8D8D8"/>
          </w:tcPr>
          <w:p>
            <w:pPr>
              <w:jc w:val="center"/>
              <w:ind w:right="144"/>
              <w:spacing w:after="0" w:line="162" w:lineRule="exact"/>
              <w:rPr>
                <w:sz w:val="20"/>
                <w:szCs w:val="20"/>
                <w:color w:val="auto"/>
              </w:rPr>
            </w:pPr>
            <w:r>
              <w:rPr>
                <w:rFonts w:ascii="Arial" w:cs="Arial" w:eastAsia="Arial" w:hAnsi="Arial"/>
                <w:sz w:val="15"/>
                <w:szCs w:val="15"/>
                <w:b w:val="1"/>
                <w:bCs w:val="1"/>
                <w:color w:val="auto"/>
              </w:rPr>
              <w:t>Inputs</w:t>
            </w:r>
          </w:p>
        </w:tc>
        <w:tc>
          <w:tcPr>
            <w:tcW w:w="10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00" w:type="dxa"/>
            <w:vAlign w:val="bottom"/>
            <w:vMerge w:val="restart"/>
            <w:shd w:val="clear" w:color="auto" w:fill="D8D8D8"/>
          </w:tcPr>
          <w:p>
            <w:pPr>
              <w:jc w:val="right"/>
              <w:ind w:right="64"/>
              <w:spacing w:after="0"/>
              <w:rPr>
                <w:sz w:val="20"/>
                <w:szCs w:val="20"/>
                <w:color w:val="auto"/>
              </w:rPr>
            </w:pPr>
            <w:r>
              <w:rPr>
                <w:rFonts w:ascii="Arial" w:cs="Arial" w:eastAsia="Arial" w:hAnsi="Arial"/>
                <w:sz w:val="15"/>
                <w:szCs w:val="15"/>
                <w:color w:val="auto"/>
              </w:rPr>
              <w:t>Total</w:t>
            </w:r>
          </w:p>
        </w:tc>
        <w:tc>
          <w:tcPr>
            <w:tcW w:w="1480" w:type="dxa"/>
            <w:vAlign w:val="bottom"/>
            <w:gridSpan w:val="2"/>
            <w:shd w:val="clear" w:color="auto" w:fill="D8D8D8"/>
          </w:tcPr>
          <w:p>
            <w:pPr>
              <w:jc w:val="center"/>
              <w:spacing w:after="0" w:line="162" w:lineRule="exact"/>
              <w:rPr>
                <w:sz w:val="20"/>
                <w:szCs w:val="20"/>
                <w:color w:val="auto"/>
              </w:rPr>
            </w:pPr>
            <w:r>
              <w:rPr>
                <w:rFonts w:ascii="Arial" w:cs="Arial" w:eastAsia="Arial" w:hAnsi="Arial"/>
                <w:sz w:val="15"/>
                <w:szCs w:val="15"/>
                <w:color w:val="auto"/>
              </w:rPr>
              <w:t>Identical Assets</w:t>
            </w: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center"/>
              <w:ind w:right="164"/>
              <w:spacing w:after="0" w:line="162" w:lineRule="exact"/>
              <w:rPr>
                <w:sz w:val="20"/>
                <w:szCs w:val="20"/>
                <w:color w:val="auto"/>
              </w:rPr>
            </w:pPr>
            <w:r>
              <w:rPr>
                <w:rFonts w:ascii="Arial" w:cs="Arial" w:eastAsia="Arial" w:hAnsi="Arial"/>
                <w:sz w:val="15"/>
                <w:szCs w:val="15"/>
                <w:color w:val="auto"/>
              </w:rPr>
              <w:t>Inputs</w:t>
            </w:r>
          </w:p>
        </w:tc>
        <w:tc>
          <w:tcPr>
            <w:tcW w:w="220" w:type="dxa"/>
            <w:vAlign w:val="bottom"/>
            <w:shd w:val="clear" w:color="auto" w:fill="D8D8D8"/>
          </w:tcPr>
          <w:p>
            <w:pPr>
              <w:spacing w:after="0"/>
              <w:rPr>
                <w:sz w:val="14"/>
                <w:szCs w:val="14"/>
                <w:color w:val="auto"/>
              </w:rPr>
            </w:pPr>
          </w:p>
        </w:tc>
        <w:tc>
          <w:tcPr>
            <w:tcW w:w="1040" w:type="dxa"/>
            <w:vAlign w:val="bottom"/>
            <w:shd w:val="clear" w:color="auto" w:fill="D8D8D8"/>
          </w:tcPr>
          <w:p>
            <w:pPr>
              <w:jc w:val="center"/>
              <w:ind w:right="164"/>
              <w:spacing w:after="0" w:line="162" w:lineRule="exact"/>
              <w:rPr>
                <w:sz w:val="20"/>
                <w:szCs w:val="20"/>
                <w:color w:val="auto"/>
              </w:rPr>
            </w:pPr>
            <w:r>
              <w:rPr>
                <w:rFonts w:ascii="Arial" w:cs="Arial" w:eastAsia="Arial" w:hAnsi="Arial"/>
                <w:sz w:val="15"/>
                <w:szCs w:val="15"/>
                <w:color w:val="auto"/>
                <w:w w:val="97"/>
              </w:rPr>
              <w:t>Inputs</w:t>
            </w:r>
          </w:p>
        </w:tc>
        <w:tc>
          <w:tcPr>
            <w:tcW w:w="0" w:type="dxa"/>
            <w:vAlign w:val="bottom"/>
          </w:tcPr>
          <w:p>
            <w:pPr>
              <w:spacing w:after="0"/>
              <w:rPr>
                <w:sz w:val="1"/>
                <w:szCs w:val="1"/>
                <w:color w:val="auto"/>
              </w:rPr>
            </w:pPr>
          </w:p>
        </w:tc>
      </w:tr>
      <w:tr>
        <w:trPr>
          <w:trHeight w:val="203"/>
        </w:trPr>
        <w:tc>
          <w:tcPr>
            <w:tcW w:w="1620" w:type="dxa"/>
            <w:vAlign w:val="bottom"/>
            <w:tcBorders>
              <w:bottom w:val="single" w:sz="8" w:color="auto"/>
            </w:tcBorders>
            <w:vMerge w:val="continue"/>
            <w:shd w:val="clear" w:color="auto" w:fill="D8D8D8"/>
          </w:tcPr>
          <w:p>
            <w:pPr>
              <w:spacing w:after="0"/>
              <w:rPr>
                <w:sz w:val="17"/>
                <w:szCs w:val="17"/>
                <w:color w:val="auto"/>
              </w:rPr>
            </w:pPr>
          </w:p>
        </w:tc>
        <w:tc>
          <w:tcPr>
            <w:tcW w:w="980" w:type="dxa"/>
            <w:vAlign w:val="bottom"/>
            <w:tcBorders>
              <w:bottom w:val="single" w:sz="8" w:color="auto"/>
            </w:tcBorders>
            <w:vMerge w:val="continue"/>
            <w:shd w:val="clear" w:color="auto" w:fill="D8D8D8"/>
          </w:tcPr>
          <w:p>
            <w:pPr>
              <w:spacing w:after="0"/>
              <w:rPr>
                <w:sz w:val="17"/>
                <w:szCs w:val="17"/>
                <w:color w:val="auto"/>
              </w:rPr>
            </w:pPr>
          </w:p>
        </w:tc>
        <w:tc>
          <w:tcPr>
            <w:tcW w:w="220" w:type="dxa"/>
            <w:vAlign w:val="bottom"/>
            <w:tcBorders>
              <w:bottom w:val="single" w:sz="8" w:color="auto"/>
            </w:tcBorders>
            <w:shd w:val="clear" w:color="auto" w:fill="D8D8D8"/>
          </w:tcPr>
          <w:p>
            <w:pPr>
              <w:spacing w:after="0"/>
              <w:rPr>
                <w:sz w:val="17"/>
                <w:szCs w:val="17"/>
                <w:color w:val="auto"/>
              </w:rPr>
            </w:pPr>
          </w:p>
        </w:tc>
        <w:tc>
          <w:tcPr>
            <w:tcW w:w="1400" w:type="dxa"/>
            <w:vAlign w:val="bottom"/>
            <w:tcBorders>
              <w:bottom w:val="single" w:sz="8" w:color="auto"/>
            </w:tcBorders>
            <w:shd w:val="clear" w:color="auto" w:fill="D8D8D8"/>
          </w:tcPr>
          <w:p>
            <w:pPr>
              <w:jc w:val="center"/>
              <w:ind w:right="144"/>
              <w:spacing w:after="0"/>
              <w:rPr>
                <w:sz w:val="20"/>
                <w:szCs w:val="20"/>
                <w:color w:val="auto"/>
              </w:rPr>
            </w:pPr>
            <w:r>
              <w:rPr>
                <w:rFonts w:ascii="Arial" w:cs="Arial" w:eastAsia="Arial" w:hAnsi="Arial"/>
                <w:sz w:val="15"/>
                <w:szCs w:val="15"/>
                <w:b w:val="1"/>
                <w:bCs w:val="1"/>
                <w:color w:val="auto"/>
              </w:rPr>
              <w:t>(Level 1)</w:t>
            </w:r>
          </w:p>
        </w:tc>
        <w:tc>
          <w:tcPr>
            <w:tcW w:w="260" w:type="dxa"/>
            <w:vAlign w:val="bottom"/>
            <w:tcBorders>
              <w:bottom w:val="single" w:sz="8" w:color="auto"/>
            </w:tcBorders>
            <w:shd w:val="clear" w:color="auto" w:fill="D8D8D8"/>
          </w:tcPr>
          <w:p>
            <w:pPr>
              <w:spacing w:after="0"/>
              <w:rPr>
                <w:sz w:val="17"/>
                <w:szCs w:val="17"/>
                <w:color w:val="auto"/>
              </w:rPr>
            </w:pPr>
          </w:p>
        </w:tc>
        <w:tc>
          <w:tcPr>
            <w:tcW w:w="900" w:type="dxa"/>
            <w:vAlign w:val="bottom"/>
            <w:tcBorders>
              <w:bottom w:val="single" w:sz="8" w:color="auto"/>
            </w:tcBorders>
            <w:shd w:val="clear" w:color="auto" w:fill="D8D8D8"/>
          </w:tcPr>
          <w:p>
            <w:pPr>
              <w:jc w:val="center"/>
              <w:ind w:right="244"/>
              <w:spacing w:after="0"/>
              <w:rPr>
                <w:sz w:val="20"/>
                <w:szCs w:val="20"/>
                <w:color w:val="auto"/>
              </w:rPr>
            </w:pPr>
            <w:r>
              <w:rPr>
                <w:rFonts w:ascii="Arial" w:cs="Arial" w:eastAsia="Arial" w:hAnsi="Arial"/>
                <w:sz w:val="15"/>
                <w:szCs w:val="15"/>
                <w:b w:val="1"/>
                <w:bCs w:val="1"/>
                <w:color w:val="auto"/>
              </w:rPr>
              <w:t>2)</w:t>
            </w:r>
          </w:p>
        </w:tc>
        <w:tc>
          <w:tcPr>
            <w:tcW w:w="200" w:type="dxa"/>
            <w:vAlign w:val="bottom"/>
            <w:tcBorders>
              <w:bottom w:val="single" w:sz="8" w:color="auto"/>
            </w:tcBorders>
            <w:shd w:val="clear" w:color="auto" w:fill="D8D8D8"/>
          </w:tcPr>
          <w:p>
            <w:pPr>
              <w:spacing w:after="0"/>
              <w:rPr>
                <w:sz w:val="17"/>
                <w:szCs w:val="17"/>
                <w:color w:val="auto"/>
              </w:rPr>
            </w:pPr>
          </w:p>
        </w:tc>
        <w:tc>
          <w:tcPr>
            <w:tcW w:w="1120" w:type="dxa"/>
            <w:vAlign w:val="bottom"/>
            <w:tcBorders>
              <w:bottom w:val="single" w:sz="8" w:color="auto"/>
            </w:tcBorders>
            <w:shd w:val="clear" w:color="auto" w:fill="D8D8D8"/>
          </w:tcPr>
          <w:p>
            <w:pPr>
              <w:jc w:val="center"/>
              <w:ind w:right="144"/>
              <w:spacing w:after="0"/>
              <w:rPr>
                <w:sz w:val="20"/>
                <w:szCs w:val="20"/>
                <w:color w:val="auto"/>
              </w:rPr>
            </w:pPr>
            <w:r>
              <w:rPr>
                <w:rFonts w:ascii="Arial" w:cs="Arial" w:eastAsia="Arial" w:hAnsi="Arial"/>
                <w:sz w:val="15"/>
                <w:szCs w:val="15"/>
                <w:b w:val="1"/>
                <w:bCs w:val="1"/>
                <w:color w:val="auto"/>
              </w:rPr>
              <w:t>(Level 3)</w:t>
            </w:r>
          </w:p>
        </w:tc>
        <w:tc>
          <w:tcPr>
            <w:tcW w:w="100" w:type="dxa"/>
            <w:vAlign w:val="bottom"/>
            <w:tcBorders>
              <w:bottom w:val="single" w:sz="8" w:color="auto"/>
            </w:tcBorders>
            <w:shd w:val="clear" w:color="auto" w:fill="D8D8D8"/>
          </w:tcPr>
          <w:p>
            <w:pPr>
              <w:spacing w:after="0"/>
              <w:rPr>
                <w:sz w:val="17"/>
                <w:szCs w:val="17"/>
                <w:color w:val="auto"/>
              </w:rPr>
            </w:pPr>
          </w:p>
        </w:tc>
        <w:tc>
          <w:tcPr>
            <w:tcW w:w="120" w:type="dxa"/>
            <w:vAlign w:val="bottom"/>
            <w:tcBorders>
              <w:bottom w:val="single" w:sz="8" w:color="auto"/>
            </w:tcBorders>
            <w:shd w:val="clear" w:color="auto" w:fill="D8D8D8"/>
          </w:tcPr>
          <w:p>
            <w:pPr>
              <w:spacing w:after="0"/>
              <w:rPr>
                <w:sz w:val="17"/>
                <w:szCs w:val="17"/>
                <w:color w:val="auto"/>
              </w:rPr>
            </w:pPr>
          </w:p>
        </w:tc>
        <w:tc>
          <w:tcPr>
            <w:tcW w:w="500" w:type="dxa"/>
            <w:vAlign w:val="bottom"/>
            <w:tcBorders>
              <w:bottom w:val="single" w:sz="8" w:color="auto"/>
            </w:tcBorders>
            <w:vMerge w:val="continue"/>
            <w:shd w:val="clear" w:color="auto" w:fill="D8D8D8"/>
          </w:tcPr>
          <w:p>
            <w:pPr>
              <w:spacing w:after="0"/>
              <w:rPr>
                <w:sz w:val="17"/>
                <w:szCs w:val="17"/>
                <w:color w:val="auto"/>
              </w:rPr>
            </w:pPr>
          </w:p>
        </w:tc>
        <w:tc>
          <w:tcPr>
            <w:tcW w:w="220" w:type="dxa"/>
            <w:vAlign w:val="bottom"/>
            <w:tcBorders>
              <w:bottom w:val="single" w:sz="8" w:color="auto"/>
            </w:tcBorders>
            <w:shd w:val="clear" w:color="auto" w:fill="D8D8D8"/>
          </w:tcPr>
          <w:p>
            <w:pPr>
              <w:spacing w:after="0"/>
              <w:rPr>
                <w:sz w:val="17"/>
                <w:szCs w:val="17"/>
                <w:color w:val="auto"/>
              </w:rPr>
            </w:pPr>
          </w:p>
        </w:tc>
        <w:tc>
          <w:tcPr>
            <w:tcW w:w="1260" w:type="dxa"/>
            <w:vAlign w:val="bottom"/>
            <w:tcBorders>
              <w:bottom w:val="single" w:sz="8" w:color="auto"/>
            </w:tcBorders>
            <w:shd w:val="clear" w:color="auto" w:fill="D8D8D8"/>
          </w:tcPr>
          <w:p>
            <w:pPr>
              <w:jc w:val="center"/>
              <w:ind w:right="164"/>
              <w:spacing w:after="0"/>
              <w:rPr>
                <w:sz w:val="20"/>
                <w:szCs w:val="20"/>
                <w:color w:val="auto"/>
              </w:rPr>
            </w:pPr>
            <w:r>
              <w:rPr>
                <w:rFonts w:ascii="Arial" w:cs="Arial" w:eastAsia="Arial" w:hAnsi="Arial"/>
                <w:sz w:val="15"/>
                <w:szCs w:val="15"/>
                <w:color w:val="auto"/>
                <w:w w:val="99"/>
              </w:rPr>
              <w:t>(Level 1)</w:t>
            </w:r>
          </w:p>
        </w:tc>
        <w:tc>
          <w:tcPr>
            <w:tcW w:w="180" w:type="dxa"/>
            <w:vAlign w:val="bottom"/>
            <w:tcBorders>
              <w:bottom w:val="single" w:sz="8" w:color="auto"/>
            </w:tcBorders>
            <w:shd w:val="clear" w:color="auto" w:fill="D8D8D8"/>
          </w:tcPr>
          <w:p>
            <w:pPr>
              <w:spacing w:after="0"/>
              <w:rPr>
                <w:sz w:val="17"/>
                <w:szCs w:val="17"/>
                <w:color w:val="auto"/>
              </w:rPr>
            </w:pPr>
          </w:p>
        </w:tc>
        <w:tc>
          <w:tcPr>
            <w:tcW w:w="900" w:type="dxa"/>
            <w:vAlign w:val="bottom"/>
            <w:tcBorders>
              <w:bottom w:val="single" w:sz="8" w:color="auto"/>
            </w:tcBorders>
            <w:shd w:val="clear" w:color="auto" w:fill="D8D8D8"/>
          </w:tcPr>
          <w:p>
            <w:pPr>
              <w:jc w:val="center"/>
              <w:ind w:right="164"/>
              <w:spacing w:after="0"/>
              <w:rPr>
                <w:sz w:val="20"/>
                <w:szCs w:val="20"/>
                <w:color w:val="auto"/>
              </w:rPr>
            </w:pPr>
            <w:r>
              <w:rPr>
                <w:rFonts w:ascii="Arial" w:cs="Arial" w:eastAsia="Arial" w:hAnsi="Arial"/>
                <w:sz w:val="15"/>
                <w:szCs w:val="15"/>
                <w:color w:val="auto"/>
                <w:w w:val="99"/>
              </w:rPr>
              <w:t>(Level 2)</w:t>
            </w:r>
          </w:p>
        </w:tc>
        <w:tc>
          <w:tcPr>
            <w:tcW w:w="220" w:type="dxa"/>
            <w:vAlign w:val="bottom"/>
            <w:tcBorders>
              <w:bottom w:val="single" w:sz="8" w:color="auto"/>
            </w:tcBorders>
            <w:shd w:val="clear" w:color="auto" w:fill="D8D8D8"/>
          </w:tcPr>
          <w:p>
            <w:pPr>
              <w:spacing w:after="0"/>
              <w:rPr>
                <w:sz w:val="17"/>
                <w:szCs w:val="17"/>
                <w:color w:val="auto"/>
              </w:rPr>
            </w:pPr>
          </w:p>
        </w:tc>
        <w:tc>
          <w:tcPr>
            <w:tcW w:w="1040" w:type="dxa"/>
            <w:vAlign w:val="bottom"/>
            <w:tcBorders>
              <w:bottom w:val="single" w:sz="8" w:color="auto"/>
            </w:tcBorders>
            <w:shd w:val="clear" w:color="auto" w:fill="D8D8D8"/>
          </w:tcPr>
          <w:p>
            <w:pPr>
              <w:jc w:val="center"/>
              <w:ind w:right="164"/>
              <w:spacing w:after="0"/>
              <w:rPr>
                <w:sz w:val="20"/>
                <w:szCs w:val="20"/>
                <w:color w:val="auto"/>
              </w:rPr>
            </w:pPr>
            <w:r>
              <w:rPr>
                <w:rFonts w:ascii="Arial" w:cs="Arial" w:eastAsia="Arial" w:hAnsi="Arial"/>
                <w:sz w:val="15"/>
                <w:szCs w:val="15"/>
                <w:color w:val="auto"/>
              </w:rPr>
              <w:t>(Level 3)</w:t>
            </w:r>
          </w:p>
        </w:tc>
        <w:tc>
          <w:tcPr>
            <w:tcW w:w="0" w:type="dxa"/>
            <w:vAlign w:val="bottom"/>
          </w:tcPr>
          <w:p>
            <w:pPr>
              <w:spacing w:after="0"/>
              <w:rPr>
                <w:sz w:val="1"/>
                <w:szCs w:val="1"/>
                <w:color w:val="auto"/>
              </w:rPr>
            </w:pPr>
          </w:p>
        </w:tc>
      </w:tr>
      <w:tr>
        <w:trPr>
          <w:trHeight w:val="142"/>
        </w:trPr>
        <w:tc>
          <w:tcPr>
            <w:tcW w:w="1620" w:type="dxa"/>
            <w:vAlign w:val="bottom"/>
          </w:tcPr>
          <w:p>
            <w:pPr>
              <w:ind w:left="20"/>
              <w:spacing w:after="0" w:line="142" w:lineRule="exact"/>
              <w:rPr>
                <w:sz w:val="20"/>
                <w:szCs w:val="20"/>
                <w:color w:val="auto"/>
              </w:rPr>
            </w:pPr>
            <w:r>
              <w:rPr>
                <w:rFonts w:ascii="Arial" w:cs="Arial" w:eastAsia="Arial" w:hAnsi="Arial"/>
                <w:sz w:val="15"/>
                <w:szCs w:val="15"/>
                <w:color w:val="auto"/>
              </w:rPr>
              <w:t>Investments in equity</w:t>
            </w: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1,263,521</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4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1,263,521</w:t>
            </w:r>
          </w:p>
        </w:tc>
        <w:tc>
          <w:tcPr>
            <w:tcW w:w="2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20"/>
              <w:spacing w:after="0"/>
              <w:rPr>
                <w:sz w:val="20"/>
                <w:szCs w:val="20"/>
                <w:color w:val="auto"/>
              </w:rPr>
            </w:pPr>
            <w:r>
              <w:rPr>
                <w:rFonts w:ascii="Arial" w:cs="Arial" w:eastAsia="Arial" w:hAnsi="Arial"/>
                <w:sz w:val="15"/>
                <w:szCs w:val="15"/>
                <w:color w:val="auto"/>
              </w:rPr>
              <w:t>securities</w:t>
            </w:r>
          </w:p>
        </w:tc>
        <w:tc>
          <w:tcPr>
            <w:tcW w:w="9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ind w:left="1000"/>
              <w:spacing w:after="0"/>
              <w:rPr>
                <w:sz w:val="20"/>
                <w:szCs w:val="20"/>
                <w:color w:val="auto"/>
              </w:rPr>
            </w:pPr>
            <w:r>
              <w:rPr>
                <w:rFonts w:ascii="Arial" w:cs="Arial" w:eastAsia="Arial" w:hAnsi="Arial"/>
                <w:sz w:val="15"/>
                <w:szCs w:val="15"/>
                <w:color w:val="auto"/>
              </w:rPr>
              <w:t>—</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162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27,761</w:t>
            </w:r>
          </w:p>
        </w:tc>
        <w:tc>
          <w:tcPr>
            <w:tcW w:w="220" w:type="dxa"/>
            <w:vAlign w:val="bottom"/>
          </w:tcPr>
          <w:p>
            <w:pPr>
              <w:spacing w:after="0"/>
              <w:rPr>
                <w:sz w:val="17"/>
                <w:szCs w:val="17"/>
                <w:color w:val="auto"/>
              </w:rPr>
            </w:pPr>
          </w:p>
        </w:tc>
        <w:tc>
          <w:tcPr>
            <w:tcW w:w="140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27,761</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ind w:left="10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1620" w:type="dxa"/>
            <w:vAlign w:val="bottom"/>
          </w:tcPr>
          <w:p>
            <w:pPr>
              <w:ind w:left="40"/>
              <w:spacing w:after="0" w:line="153" w:lineRule="exact"/>
              <w:rPr>
                <w:sz w:val="20"/>
                <w:szCs w:val="20"/>
                <w:color w:val="auto"/>
              </w:rPr>
            </w:pPr>
            <w:r>
              <w:rPr>
                <w:rFonts w:ascii="Arial" w:cs="Arial" w:eastAsia="Arial" w:hAnsi="Arial"/>
                <w:sz w:val="15"/>
                <w:szCs w:val="15"/>
                <w:color w:val="auto"/>
              </w:rPr>
              <w:t>Investments in AFS</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20" w:type="dxa"/>
            <w:vAlign w:val="bottom"/>
          </w:tcPr>
          <w:p>
            <w:pPr>
              <w:ind w:left="40"/>
              <w:spacing w:after="0" w:line="158" w:lineRule="exact"/>
              <w:rPr>
                <w:sz w:val="20"/>
                <w:szCs w:val="20"/>
                <w:color w:val="auto"/>
              </w:rPr>
            </w:pPr>
            <w:r>
              <w:rPr>
                <w:rFonts w:ascii="Arial" w:cs="Arial" w:eastAsia="Arial" w:hAnsi="Arial"/>
                <w:sz w:val="15"/>
                <w:szCs w:val="15"/>
                <w:color w:val="auto"/>
              </w:rPr>
              <w:t>fixed maturity</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620" w:type="dxa"/>
            <w:vAlign w:val="bottom"/>
          </w:tcPr>
          <w:p>
            <w:pPr>
              <w:ind w:left="40"/>
              <w:spacing w:after="0"/>
              <w:rPr>
                <w:sz w:val="20"/>
                <w:szCs w:val="20"/>
                <w:color w:val="auto"/>
              </w:rPr>
            </w:pPr>
            <w:r>
              <w:rPr>
                <w:rFonts w:ascii="Arial" w:cs="Arial" w:eastAsia="Arial" w:hAnsi="Arial"/>
                <w:sz w:val="15"/>
                <w:szCs w:val="15"/>
                <w:color w:val="auto"/>
              </w:rPr>
              <w:t>securities: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40"/>
              <w:spacing w:after="0"/>
              <w:rPr>
                <w:sz w:val="20"/>
                <w:szCs w:val="20"/>
                <w:color w:val="auto"/>
              </w:rPr>
            </w:pPr>
            <w:r>
              <w:rPr>
                <w:rFonts w:ascii="Arial" w:cs="Arial" w:eastAsia="Arial" w:hAnsi="Arial"/>
                <w:sz w:val="15"/>
                <w:szCs w:val="15"/>
                <w:color w:val="auto"/>
              </w:rPr>
              <w:t>U.S. Government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3,137</w:t>
            </w:r>
          </w:p>
        </w:tc>
        <w:tc>
          <w:tcPr>
            <w:tcW w:w="220" w:type="dxa"/>
            <w:vAlign w:val="bottom"/>
          </w:tcPr>
          <w:p>
            <w:pPr>
              <w:spacing w:after="0"/>
              <w:rPr>
                <w:sz w:val="17"/>
                <w:szCs w:val="17"/>
                <w:color w:val="auto"/>
              </w:rPr>
            </w:pPr>
          </w:p>
        </w:tc>
        <w:tc>
          <w:tcPr>
            <w:tcW w:w="140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3,137</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ind w:left="10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1620" w:type="dxa"/>
            <w:vAlign w:val="bottom"/>
          </w:tcPr>
          <w:p>
            <w:pPr>
              <w:ind w:left="140"/>
              <w:spacing w:after="0"/>
              <w:rPr>
                <w:sz w:val="20"/>
                <w:szCs w:val="20"/>
                <w:color w:val="auto"/>
              </w:rPr>
            </w:pPr>
            <w:r>
              <w:rPr>
                <w:rFonts w:ascii="Arial" w:cs="Arial" w:eastAsia="Arial" w:hAnsi="Arial"/>
                <w:sz w:val="15"/>
                <w:szCs w:val="15"/>
                <w:color w:val="auto"/>
              </w:rPr>
              <w:t>U.S. Corporate</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7,297</w:t>
            </w:r>
          </w:p>
        </w:tc>
        <w:tc>
          <w:tcPr>
            <w:tcW w:w="220" w:type="dxa"/>
            <w:vAlign w:val="bottom"/>
          </w:tcPr>
          <w:p>
            <w:pPr>
              <w:spacing w:after="0"/>
              <w:rPr>
                <w:sz w:val="17"/>
                <w:szCs w:val="17"/>
                <w:color w:val="auto"/>
              </w:rPr>
            </w:pPr>
          </w:p>
        </w:tc>
        <w:tc>
          <w:tcPr>
            <w:tcW w:w="140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7,297</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ind w:left="10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1620" w:type="dxa"/>
            <w:vAlign w:val="bottom"/>
          </w:tcPr>
          <w:p>
            <w:pPr>
              <w:ind w:left="140"/>
              <w:spacing w:after="0" w:line="153" w:lineRule="exact"/>
              <w:rPr>
                <w:sz w:val="20"/>
                <w:szCs w:val="20"/>
                <w:color w:val="auto"/>
              </w:rPr>
            </w:pPr>
            <w:r>
              <w:rPr>
                <w:rFonts w:ascii="Arial" w:cs="Arial" w:eastAsia="Arial" w:hAnsi="Arial"/>
                <w:sz w:val="15"/>
                <w:szCs w:val="15"/>
                <w:color w:val="auto"/>
              </w:rPr>
              <w:t>Foreign</w:t>
            </w: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602</w:t>
            </w:r>
          </w:p>
        </w:tc>
        <w:tc>
          <w:tcPr>
            <w:tcW w:w="220" w:type="dxa"/>
            <w:vAlign w:val="bottom"/>
          </w:tcPr>
          <w:p>
            <w:pPr>
              <w:spacing w:after="0"/>
              <w:rPr>
                <w:sz w:val="13"/>
                <w:szCs w:val="13"/>
                <w:color w:val="auto"/>
              </w:rPr>
            </w:pPr>
          </w:p>
        </w:tc>
        <w:tc>
          <w:tcPr>
            <w:tcW w:w="14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602</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40"/>
              <w:spacing w:after="0"/>
              <w:rPr>
                <w:sz w:val="20"/>
                <w:szCs w:val="20"/>
                <w:color w:val="auto"/>
              </w:rPr>
            </w:pPr>
            <w:r>
              <w:rPr>
                <w:rFonts w:ascii="Arial" w:cs="Arial" w:eastAsia="Arial" w:hAnsi="Arial"/>
                <w:sz w:val="15"/>
                <w:szCs w:val="15"/>
                <w:color w:val="auto"/>
              </w:rPr>
              <w:t>Governments</w:t>
            </w: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620" w:type="dxa"/>
            <w:vAlign w:val="bottom"/>
          </w:tcPr>
          <w:p>
            <w:pPr>
              <w:ind w:left="40"/>
              <w:spacing w:after="0"/>
              <w:rPr>
                <w:sz w:val="20"/>
                <w:szCs w:val="20"/>
                <w:color w:val="auto"/>
              </w:rPr>
            </w:pPr>
            <w:r>
              <w:rPr>
                <w:rFonts w:ascii="Arial" w:cs="Arial" w:eastAsia="Arial" w:hAnsi="Arial"/>
                <w:sz w:val="15"/>
                <w:szCs w:val="15"/>
                <w:color w:val="auto"/>
              </w:rPr>
              <w:t>Derivative assets</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18,948</w:t>
            </w:r>
          </w:p>
        </w:tc>
        <w:tc>
          <w:tcPr>
            <w:tcW w:w="220" w:type="dxa"/>
            <w:vAlign w:val="bottom"/>
          </w:tcPr>
          <w:p>
            <w:pPr>
              <w:spacing w:after="0"/>
              <w:rPr>
                <w:sz w:val="17"/>
                <w:szCs w:val="17"/>
                <w:color w:val="auto"/>
              </w:rPr>
            </w:pPr>
          </w:p>
        </w:tc>
        <w:tc>
          <w:tcPr>
            <w:tcW w:w="140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18,740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3,113</w:t>
            </w:r>
          </w:p>
        </w:tc>
        <w:tc>
          <w:tcPr>
            <w:tcW w:w="220" w:type="dxa"/>
            <w:vAlign w:val="bottom"/>
          </w:tcPr>
          <w:p>
            <w:pPr>
              <w:spacing w:after="0"/>
              <w:rPr>
                <w:sz w:val="17"/>
                <w:szCs w:val="17"/>
                <w:color w:val="auto"/>
              </w:rPr>
            </w:pPr>
          </w:p>
        </w:tc>
        <w:tc>
          <w:tcPr>
            <w:tcW w:w="1260" w:type="dxa"/>
            <w:vAlign w:val="bottom"/>
          </w:tcPr>
          <w:p>
            <w:pPr>
              <w:ind w:left="10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3,113</w:t>
            </w:r>
          </w:p>
        </w:tc>
        <w:tc>
          <w:tcPr>
            <w:tcW w:w="22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Derivative liabilities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689</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Equity Securities </w:t>
      </w:r>
      <w:r>
        <w:rPr>
          <w:rFonts w:ascii="Arial" w:cs="Arial" w:eastAsia="Arial" w:hAnsi="Arial"/>
          <w:sz w:val="17"/>
          <w:szCs w:val="17"/>
          <w:color w:val="auto"/>
        </w:rPr>
        <w:t>The Company values Level 1 securities using quoted prices in active markets for identical securities.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Short-Term Investments </w:t>
      </w:r>
      <w:r>
        <w:rPr>
          <w:rFonts w:ascii="Arial" w:cs="Arial" w:eastAsia="Arial" w:hAnsi="Arial"/>
          <w:sz w:val="17"/>
          <w:szCs w:val="17"/>
          <w:color w:val="auto"/>
        </w:rPr>
        <w:t>The Company's short-term investments consist of U.S. Government securities with original maturities greater than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and less than 12 months. These investments are generally valued using spreads above the risk-free yield curve using pricing information obtained from independent pricing services.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 xml:space="preserve">AFS Fixed Maturity Securities </w:t>
      </w:r>
      <w:r>
        <w:rPr>
          <w:rFonts w:ascii="Arial" w:cs="Arial" w:eastAsia="Arial" w:hAnsi="Arial"/>
          <w:sz w:val="17"/>
          <w:szCs w:val="17"/>
          <w:color w:val="auto"/>
        </w:rPr>
        <w:t>The Company values Level 2 securities using observable market inputs obtained from independent pricing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use proprietary valuation models and techniques, including matrix pricing, to estimate fair value using observable market inputs. The extent to which each observable market input is used depends on the type of security and market conditions at the balance sheet date. The Company uses the following observable market inputs, listed in the approximate order of priority, in the pricing evaluation of Level 2 securities: benchmark yields, reported trades, broker/dealer quotes, issuer spreads, two-sided markets, benchmark securities, bids, offers and reference data including market research data. Depending on the security, the priority of the use of observable market inputs may change as some observable market inputs may not be relevant or additional inputs may be necessary.</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Derivative Assets and Liabilities </w:t>
      </w:r>
      <w:r>
        <w:rPr>
          <w:rFonts w:ascii="Arial" w:cs="Arial" w:eastAsia="Arial" w:hAnsi="Arial"/>
          <w:sz w:val="17"/>
          <w:szCs w:val="17"/>
          <w:color w:val="auto"/>
        </w:rPr>
        <w:t>The fair values of interest rate derivatives (Level 2) are determined using the market standard methodology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netting the discounted future fixed cash payments and the discounted expected variable cash receipts. The variable cash receipts are based on an expectation of future interest rates derived from observable market interest rate curves.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60" w:hanging="446"/>
        <w:spacing w:after="0"/>
        <w:tabs>
          <w:tab w:leader="none" w:pos="49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Financial Instruments Not Carried at Fair Value </w:t>
      </w:r>
      <w:r>
        <w:rPr>
          <w:rFonts w:ascii="Arial" w:cs="Arial" w:eastAsia="Arial" w:hAnsi="Arial"/>
          <w:sz w:val="17"/>
          <w:szCs w:val="17"/>
          <w:color w:val="000000"/>
        </w:rPr>
        <w:t>The estimated fair values of the Company’s financial instruments that are not measured at fair</w:t>
      </w:r>
      <w:r>
        <w:rPr>
          <w:rFonts w:ascii="Arial" w:cs="Arial" w:eastAsia="Arial" w:hAnsi="Arial"/>
          <w:sz w:val="17"/>
          <w:szCs w:val="17"/>
          <w:b w:val="1"/>
          <w:bCs w:val="1"/>
          <w:color w:val="00497F"/>
        </w:rPr>
        <w:t xml:space="preserve"> </w:t>
      </w:r>
      <w:r>
        <w:rPr>
          <w:rFonts w:ascii="Arial" w:cs="Arial" w:eastAsia="Arial" w:hAnsi="Arial"/>
          <w:sz w:val="17"/>
          <w:szCs w:val="17"/>
          <w:color w:val="000000"/>
        </w:rPr>
        <w:t>value on a recurring basis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Borders>
              <w:top w:val="single" w:sz="8" w:color="auto"/>
            </w:tcBorders>
            <w:shd w:val="clear" w:color="auto" w:fill="D8D8D8"/>
          </w:tcPr>
          <w:p>
            <w:pPr>
              <w:spacing w:after="0"/>
              <w:rPr>
                <w:sz w:val="21"/>
                <w:szCs w:val="21"/>
                <w:color w:val="auto"/>
              </w:rPr>
            </w:pPr>
          </w:p>
        </w:tc>
        <w:tc>
          <w:tcPr>
            <w:tcW w:w="1120" w:type="dxa"/>
            <w:vAlign w:val="bottom"/>
            <w:tcBorders>
              <w:top w:val="single" w:sz="8" w:color="auto"/>
            </w:tcBorders>
            <w:shd w:val="clear" w:color="auto" w:fill="D8D8D8"/>
          </w:tcPr>
          <w:p>
            <w:pPr>
              <w:spacing w:after="0"/>
              <w:rPr>
                <w:sz w:val="21"/>
                <w:szCs w:val="21"/>
                <w:color w:val="auto"/>
              </w:rPr>
            </w:pPr>
          </w:p>
        </w:tc>
        <w:tc>
          <w:tcPr>
            <w:tcW w:w="200" w:type="dxa"/>
            <w:vAlign w:val="bottom"/>
            <w:tcBorders>
              <w:top w:val="single" w:sz="8" w:color="auto"/>
            </w:tcBorders>
            <w:shd w:val="clear" w:color="auto" w:fill="D8D8D8"/>
          </w:tcPr>
          <w:p>
            <w:pPr>
              <w:spacing w:after="0"/>
              <w:rPr>
                <w:sz w:val="21"/>
                <w:szCs w:val="21"/>
                <w:color w:val="auto"/>
              </w:rPr>
            </w:pPr>
          </w:p>
        </w:tc>
        <w:tc>
          <w:tcPr>
            <w:tcW w:w="2660" w:type="dxa"/>
            <w:vAlign w:val="bottom"/>
            <w:tcBorders>
              <w:top w:val="single" w:sz="8" w:color="auto"/>
            </w:tcBorders>
            <w:gridSpan w:val="4"/>
            <w:shd w:val="clear" w:color="auto" w:fill="D8D8D8"/>
          </w:tcPr>
          <w:p>
            <w:pPr>
              <w:ind w:left="380"/>
              <w:spacing w:after="0"/>
              <w:rPr>
                <w:sz w:val="20"/>
                <w:szCs w:val="20"/>
                <w:color w:val="auto"/>
              </w:rPr>
            </w:pPr>
            <w:r>
              <w:rPr>
                <w:rFonts w:ascii="Arial" w:cs="Arial" w:eastAsia="Arial" w:hAnsi="Arial"/>
                <w:sz w:val="17"/>
                <w:szCs w:val="17"/>
                <w:b w:val="1"/>
                <w:bCs w:val="1"/>
                <w:color w:val="auto"/>
              </w:rPr>
              <w:t>September 30, 2026</w:t>
            </w:r>
          </w:p>
        </w:tc>
        <w:tc>
          <w:tcPr>
            <w:tcW w:w="300" w:type="dxa"/>
            <w:vAlign w:val="bottom"/>
            <w:tcBorders>
              <w:top w:val="single" w:sz="8" w:color="auto"/>
            </w:tcBorders>
            <w:shd w:val="clear" w:color="auto" w:fill="D8D8D8"/>
          </w:tcPr>
          <w:p>
            <w:pPr>
              <w:spacing w:after="0"/>
              <w:rPr>
                <w:sz w:val="21"/>
                <w:szCs w:val="21"/>
                <w:color w:val="auto"/>
              </w:rPr>
            </w:pPr>
          </w:p>
        </w:tc>
        <w:tc>
          <w:tcPr>
            <w:tcW w:w="2480" w:type="dxa"/>
            <w:vAlign w:val="bottom"/>
            <w:tcBorders>
              <w:top w:val="single" w:sz="8" w:color="auto"/>
            </w:tcBorders>
            <w:gridSpan w:val="3"/>
            <w:shd w:val="clear" w:color="auto" w:fill="D8D8D8"/>
          </w:tcPr>
          <w:p>
            <w:pPr>
              <w:jc w:val="right"/>
              <w:ind w:right="555"/>
              <w:spacing w:after="0"/>
              <w:rPr>
                <w:sz w:val="20"/>
                <w:szCs w:val="20"/>
                <w:color w:val="auto"/>
              </w:rPr>
            </w:pPr>
            <w:r>
              <w:rPr>
                <w:rFonts w:ascii="Arial" w:cs="Arial" w:eastAsia="Arial" w:hAnsi="Arial"/>
                <w:sz w:val="17"/>
                <w:szCs w:val="17"/>
                <w:color w:val="auto"/>
              </w:rPr>
              <w:t>December 31, 2025</w:t>
            </w:r>
          </w:p>
        </w:tc>
        <w:tc>
          <w:tcPr>
            <w:tcW w:w="0" w:type="dxa"/>
            <w:vAlign w:val="bottom"/>
          </w:tcPr>
          <w:p>
            <w:pPr>
              <w:spacing w:after="0"/>
              <w:rPr>
                <w:sz w:val="1"/>
                <w:szCs w:val="1"/>
                <w:color w:val="auto"/>
              </w:rPr>
            </w:pPr>
          </w:p>
        </w:tc>
      </w:tr>
      <w:tr>
        <w:trPr>
          <w:trHeight w:val="155"/>
        </w:trPr>
        <w:tc>
          <w:tcPr>
            <w:tcW w:w="4480" w:type="dxa"/>
            <w:vAlign w:val="bottom"/>
            <w:tcBorders>
              <w:top w:val="single" w:sz="8" w:color="D8D8D8"/>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120" w:type="dxa"/>
            <w:vAlign w:val="bottom"/>
            <w:tcBorders>
              <w:top w:val="single" w:sz="8" w:color="D8D8D8"/>
            </w:tcBorders>
            <w:shd w:val="clear" w:color="auto" w:fill="D8D8D8"/>
          </w:tcPr>
          <w:p>
            <w:pPr>
              <w:jc w:val="center"/>
              <w:spacing w:after="0" w:line="155" w:lineRule="exact"/>
              <w:rPr>
                <w:sz w:val="20"/>
                <w:szCs w:val="20"/>
                <w:color w:val="auto"/>
              </w:rPr>
            </w:pPr>
            <w:r>
              <w:rPr>
                <w:rFonts w:ascii="Arial" w:cs="Arial" w:eastAsia="Arial" w:hAnsi="Arial"/>
                <w:sz w:val="17"/>
                <w:szCs w:val="17"/>
                <w:b w:val="1"/>
                <w:bCs w:val="1"/>
                <w:color w:val="auto"/>
                <w:w w:val="98"/>
              </w:rPr>
              <w:t>Fair Value</w:t>
            </w:r>
          </w:p>
        </w:tc>
        <w:tc>
          <w:tcPr>
            <w:tcW w:w="200" w:type="dxa"/>
            <w:vAlign w:val="bottom"/>
            <w:tcBorders>
              <w:top w:val="single" w:sz="8" w:color="auto"/>
            </w:tcBorders>
            <w:shd w:val="clear" w:color="auto" w:fill="D8D8D8"/>
          </w:tcPr>
          <w:p>
            <w:pPr>
              <w:spacing w:after="0"/>
              <w:rPr>
                <w:sz w:val="13"/>
                <w:szCs w:val="13"/>
                <w:color w:val="auto"/>
              </w:rPr>
            </w:pPr>
          </w:p>
        </w:tc>
        <w:tc>
          <w:tcPr>
            <w:tcW w:w="1140" w:type="dxa"/>
            <w:vAlign w:val="bottom"/>
            <w:tcBorders>
              <w:top w:val="single" w:sz="8" w:color="auto"/>
            </w:tcBorders>
            <w:shd w:val="clear" w:color="auto" w:fill="D8D8D8"/>
          </w:tcPr>
          <w:p>
            <w:pPr>
              <w:jc w:val="right"/>
              <w:ind w:right="235"/>
              <w:spacing w:after="0" w:line="155" w:lineRule="exact"/>
              <w:rPr>
                <w:sz w:val="20"/>
                <w:szCs w:val="20"/>
                <w:color w:val="auto"/>
              </w:rPr>
            </w:pPr>
            <w:r>
              <w:rPr>
                <w:rFonts w:ascii="Arial" w:cs="Arial" w:eastAsia="Arial" w:hAnsi="Arial"/>
                <w:sz w:val="17"/>
                <w:szCs w:val="17"/>
                <w:b w:val="1"/>
                <w:bCs w:val="1"/>
                <w:color w:val="auto"/>
              </w:rPr>
              <w:t>Carrying</w:t>
            </w:r>
          </w:p>
        </w:tc>
        <w:tc>
          <w:tcPr>
            <w:tcW w:w="280" w:type="dxa"/>
            <w:vAlign w:val="bottom"/>
            <w:tcBorders>
              <w:top w:val="single" w:sz="8" w:color="auto"/>
            </w:tcBorders>
            <w:shd w:val="clear" w:color="auto" w:fill="D8D8D8"/>
          </w:tcPr>
          <w:p>
            <w:pPr>
              <w:spacing w:after="0"/>
              <w:rPr>
                <w:sz w:val="13"/>
                <w:szCs w:val="13"/>
                <w:color w:val="auto"/>
              </w:rPr>
            </w:pPr>
          </w:p>
        </w:tc>
        <w:tc>
          <w:tcPr>
            <w:tcW w:w="1140" w:type="dxa"/>
            <w:vAlign w:val="bottom"/>
            <w:tcBorders>
              <w:top w:val="single" w:sz="8" w:color="auto"/>
            </w:tcBorders>
            <w:shd w:val="clear" w:color="auto" w:fill="D8D8D8"/>
          </w:tcPr>
          <w:p>
            <w:pPr>
              <w:jc w:val="right"/>
              <w:ind w:right="175"/>
              <w:spacing w:after="0" w:line="155" w:lineRule="exact"/>
              <w:rPr>
                <w:sz w:val="20"/>
                <w:szCs w:val="20"/>
                <w:color w:val="auto"/>
              </w:rPr>
            </w:pPr>
            <w:r>
              <w:rPr>
                <w:rFonts w:ascii="Arial" w:cs="Arial" w:eastAsia="Arial" w:hAnsi="Arial"/>
                <w:sz w:val="17"/>
                <w:szCs w:val="17"/>
                <w:b w:val="1"/>
                <w:bCs w:val="1"/>
                <w:color w:val="auto"/>
              </w:rPr>
              <w:t>Estimated</w:t>
            </w:r>
          </w:p>
        </w:tc>
        <w:tc>
          <w:tcPr>
            <w:tcW w:w="100" w:type="dxa"/>
            <w:vAlign w:val="bottom"/>
            <w:tcBorders>
              <w:top w:val="single" w:sz="8" w:color="D8D8D8"/>
            </w:tcBorders>
            <w:shd w:val="clear" w:color="auto" w:fill="D8D8D8"/>
          </w:tcPr>
          <w:p>
            <w:pPr>
              <w:spacing w:after="0"/>
              <w:rPr>
                <w:sz w:val="13"/>
                <w:szCs w:val="13"/>
                <w:color w:val="auto"/>
              </w:rPr>
            </w:pPr>
          </w:p>
        </w:tc>
        <w:tc>
          <w:tcPr>
            <w:tcW w:w="1380" w:type="dxa"/>
            <w:vAlign w:val="bottom"/>
            <w:tcBorders>
              <w:top w:val="single" w:sz="8" w:color="auto"/>
            </w:tcBorders>
            <w:gridSpan w:val="2"/>
            <w:vMerge w:val="restart"/>
            <w:shd w:val="clear" w:color="auto" w:fill="D8D8D8"/>
          </w:tcPr>
          <w:p>
            <w:pPr>
              <w:ind w:left="20"/>
              <w:spacing w:after="0"/>
              <w:rPr>
                <w:sz w:val="20"/>
                <w:szCs w:val="20"/>
                <w:color w:val="auto"/>
              </w:rPr>
            </w:pPr>
            <w:r>
              <w:rPr>
                <w:rFonts w:ascii="Arial" w:cs="Arial" w:eastAsia="Arial" w:hAnsi="Arial"/>
                <w:sz w:val="17"/>
                <w:szCs w:val="17"/>
                <w:color w:val="auto"/>
              </w:rPr>
              <w:t>Carrying Amount</w:t>
            </w:r>
          </w:p>
        </w:tc>
        <w:tc>
          <w:tcPr>
            <w:tcW w:w="260" w:type="dxa"/>
            <w:vAlign w:val="bottom"/>
            <w:tcBorders>
              <w:top w:val="single" w:sz="8" w:color="auto"/>
            </w:tcBorders>
            <w:shd w:val="clear" w:color="auto" w:fill="D8D8D8"/>
          </w:tcPr>
          <w:p>
            <w:pPr>
              <w:spacing w:after="0"/>
              <w:rPr>
                <w:sz w:val="13"/>
                <w:szCs w:val="13"/>
                <w:color w:val="auto"/>
              </w:rPr>
            </w:pPr>
          </w:p>
        </w:tc>
        <w:tc>
          <w:tcPr>
            <w:tcW w:w="1140" w:type="dxa"/>
            <w:vAlign w:val="bottom"/>
            <w:tcBorders>
              <w:top w:val="single" w:sz="8" w:color="auto"/>
            </w:tcBorders>
            <w:shd w:val="clear" w:color="auto" w:fill="D8D8D8"/>
          </w:tcPr>
          <w:p>
            <w:pPr>
              <w:jc w:val="right"/>
              <w:ind w:right="195"/>
              <w:spacing w:after="0" w:line="155" w:lineRule="exact"/>
              <w:rPr>
                <w:sz w:val="20"/>
                <w:szCs w:val="20"/>
                <w:color w:val="auto"/>
              </w:rPr>
            </w:pPr>
            <w:r>
              <w:rPr>
                <w:rFonts w:ascii="Arial" w:cs="Arial" w:eastAsia="Arial" w:hAnsi="Arial"/>
                <w:sz w:val="17"/>
                <w:szCs w:val="17"/>
                <w:color w:val="auto"/>
              </w:rPr>
              <w:t>Estimated</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vMerge w:val="continue"/>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7"/>
                <w:szCs w:val="17"/>
                <w:b w:val="1"/>
                <w:bCs w:val="1"/>
                <w:color w:val="auto"/>
              </w:rPr>
              <w:t>Hierarchy</w:t>
            </w:r>
          </w:p>
        </w:tc>
        <w:tc>
          <w:tcPr>
            <w:tcW w:w="20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ind w:right="275"/>
              <w:spacing w:after="0"/>
              <w:rPr>
                <w:sz w:val="20"/>
                <w:szCs w:val="20"/>
                <w:color w:val="auto"/>
              </w:rPr>
            </w:pPr>
            <w:r>
              <w:rPr>
                <w:rFonts w:ascii="Arial" w:cs="Arial" w:eastAsia="Arial" w:hAnsi="Arial"/>
                <w:sz w:val="17"/>
                <w:szCs w:val="17"/>
                <w:b w:val="1"/>
                <w:bCs w:val="1"/>
                <w:color w:val="auto"/>
              </w:rPr>
              <w:t>Amount</w:t>
            </w:r>
          </w:p>
        </w:tc>
        <w:tc>
          <w:tcPr>
            <w:tcW w:w="28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gridSpan w:val="2"/>
            <w:shd w:val="clear" w:color="auto" w:fill="D8D8D8"/>
          </w:tcPr>
          <w:p>
            <w:pPr>
              <w:jc w:val="right"/>
              <w:ind w:right="360"/>
              <w:spacing w:after="0"/>
              <w:rPr>
                <w:sz w:val="20"/>
                <w:szCs w:val="20"/>
                <w:color w:val="auto"/>
              </w:rPr>
            </w:pPr>
            <w:r>
              <w:rPr>
                <w:rFonts w:ascii="Arial" w:cs="Arial" w:eastAsia="Arial" w:hAnsi="Arial"/>
                <w:sz w:val="17"/>
                <w:szCs w:val="17"/>
                <w:b w:val="1"/>
                <w:bCs w:val="1"/>
                <w:color w:val="auto"/>
              </w:rPr>
              <w:t>Fair Value</w:t>
            </w:r>
          </w:p>
        </w:tc>
        <w:tc>
          <w:tcPr>
            <w:tcW w:w="1380" w:type="dxa"/>
            <w:vAlign w:val="bottom"/>
            <w:tcBorders>
              <w:bottom w:val="single" w:sz="8" w:color="auto"/>
            </w:tcBorders>
            <w:gridSpan w:val="2"/>
            <w:vMerge w:val="continue"/>
            <w:shd w:val="clear" w:color="auto" w:fill="D8D8D8"/>
          </w:tcPr>
          <w:p>
            <w:pPr>
              <w:spacing w:after="0"/>
              <w:rPr>
                <w:sz w:val="19"/>
                <w:szCs w:val="19"/>
                <w:color w:val="auto"/>
              </w:rPr>
            </w:pPr>
          </w:p>
        </w:tc>
        <w:tc>
          <w:tcPr>
            <w:tcW w:w="26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ind w:right="195"/>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Arial" w:cs="Arial" w:eastAsia="Arial" w:hAnsi="Arial"/>
                <w:sz w:val="17"/>
                <w:szCs w:val="17"/>
                <w:color w:val="auto"/>
              </w:rPr>
              <w:t>Assets: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7"/>
                <w:szCs w:val="17"/>
                <w:color w:val="auto"/>
              </w:rPr>
              <w:t>Cash, cash equivalents, and restricted cash (a)</w:t>
            </w:r>
          </w:p>
        </w:tc>
        <w:tc>
          <w:tcPr>
            <w:tcW w:w="1120" w:type="dxa"/>
            <w:vAlign w:val="bottom"/>
          </w:tcPr>
          <w:p>
            <w:pPr>
              <w:jc w:val="center"/>
              <w:spacing w:after="0"/>
              <w:rPr>
                <w:sz w:val="20"/>
                <w:szCs w:val="20"/>
                <w:color w:val="auto"/>
              </w:rPr>
            </w:pPr>
            <w:r>
              <w:rPr>
                <w:rFonts w:ascii="Arial" w:cs="Arial" w:eastAsia="Arial" w:hAnsi="Arial"/>
                <w:sz w:val="17"/>
                <w:szCs w:val="17"/>
                <w:color w:val="auto"/>
              </w:rPr>
              <w:t>Level 1</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3,741,790</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3,741,790</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2,097,158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2,097,158</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7"/>
                <w:szCs w:val="17"/>
                <w:color w:val="auto"/>
              </w:rPr>
              <w:t>Accounts receivable, net (b)</w:t>
            </w:r>
          </w:p>
        </w:tc>
        <w:tc>
          <w:tcPr>
            <w:tcW w:w="1120" w:type="dxa"/>
            <w:vAlign w:val="bottom"/>
          </w:tcPr>
          <w:p>
            <w:pPr>
              <w:jc w:val="center"/>
              <w:spacing w:after="0"/>
              <w:rPr>
                <w:sz w:val="20"/>
                <w:szCs w:val="20"/>
                <w:color w:val="auto"/>
              </w:rPr>
            </w:pPr>
            <w:r>
              <w:rPr>
                <w:rFonts w:ascii="Arial" w:cs="Arial" w:eastAsia="Arial" w:hAnsi="Arial"/>
                <w:sz w:val="17"/>
                <w:szCs w:val="17"/>
                <w:color w:val="auto"/>
              </w:rPr>
              <w:t>Level 3</w:t>
            </w:r>
          </w:p>
        </w:tc>
        <w:tc>
          <w:tcPr>
            <w:tcW w:w="2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883,267</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883,267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134,122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134,122</w:t>
            </w:r>
          </w:p>
        </w:tc>
        <w:tc>
          <w:tcPr>
            <w:tcW w:w="0" w:type="dxa"/>
            <w:vAlign w:val="bottom"/>
          </w:tcPr>
          <w:p>
            <w:pPr>
              <w:spacing w:after="0"/>
              <w:rPr>
                <w:sz w:val="1"/>
                <w:szCs w:val="1"/>
                <w:color w:val="auto"/>
              </w:rPr>
            </w:pPr>
          </w:p>
        </w:tc>
      </w:tr>
      <w:tr>
        <w:trPr>
          <w:trHeight w:val="235"/>
        </w:trPr>
        <w:tc>
          <w:tcPr>
            <w:tcW w:w="4480" w:type="dxa"/>
            <w:vAlign w:val="bottom"/>
          </w:tcPr>
          <w:p>
            <w:pPr>
              <w:ind w:left="140"/>
              <w:spacing w:after="0"/>
              <w:rPr>
                <w:sz w:val="20"/>
                <w:szCs w:val="20"/>
                <w:color w:val="auto"/>
              </w:rPr>
            </w:pPr>
            <w:r>
              <w:rPr>
                <w:rFonts w:ascii="Arial" w:cs="Arial" w:eastAsia="Arial" w:hAnsi="Arial"/>
                <w:sz w:val="17"/>
                <w:szCs w:val="17"/>
                <w:color w:val="auto"/>
              </w:rPr>
              <w:t>Notes receivable, net (c)</w:t>
            </w:r>
          </w:p>
        </w:tc>
        <w:tc>
          <w:tcPr>
            <w:tcW w:w="1120" w:type="dxa"/>
            <w:vAlign w:val="bottom"/>
          </w:tcPr>
          <w:p>
            <w:pPr>
              <w:jc w:val="center"/>
              <w:spacing w:after="0"/>
              <w:rPr>
                <w:sz w:val="20"/>
                <w:szCs w:val="20"/>
                <w:color w:val="auto"/>
              </w:rPr>
            </w:pPr>
            <w:r>
              <w:rPr>
                <w:rFonts w:ascii="Arial" w:cs="Arial" w:eastAsia="Arial" w:hAnsi="Arial"/>
                <w:sz w:val="17"/>
                <w:szCs w:val="17"/>
                <w:color w:val="auto"/>
              </w:rPr>
              <w:t>Level 3</w:t>
            </w:r>
          </w:p>
        </w:tc>
        <w:tc>
          <w:tcPr>
            <w:tcW w:w="20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3,692</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3,692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2,932</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2,932</w:t>
            </w:r>
          </w:p>
        </w:tc>
        <w:tc>
          <w:tcPr>
            <w:tcW w:w="0" w:type="dxa"/>
            <w:vAlign w:val="bottom"/>
          </w:tcPr>
          <w:p>
            <w:pPr>
              <w:spacing w:after="0"/>
              <w:rPr>
                <w:sz w:val="1"/>
                <w:szCs w:val="1"/>
                <w:color w:val="auto"/>
              </w:rPr>
            </w:pPr>
          </w:p>
        </w:tc>
      </w:tr>
      <w:tr>
        <w:trPr>
          <w:trHeight w:val="368"/>
        </w:trPr>
        <w:tc>
          <w:tcPr>
            <w:tcW w:w="448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40"/>
              <w:spacing w:after="0"/>
              <w:rPr>
                <w:sz w:val="20"/>
                <w:szCs w:val="20"/>
                <w:color w:val="auto"/>
              </w:rPr>
            </w:pPr>
            <w:r>
              <w:rPr>
                <w:rFonts w:ascii="Arial" w:cs="Arial" w:eastAsia="Arial" w:hAnsi="Arial"/>
                <w:sz w:val="17"/>
                <w:szCs w:val="17"/>
                <w:color w:val="auto"/>
              </w:rPr>
              <w:t>Fixed-rate debt (d)</w:t>
            </w:r>
          </w:p>
        </w:tc>
        <w:tc>
          <w:tcPr>
            <w:tcW w:w="1120" w:type="dxa"/>
            <w:vAlign w:val="bottom"/>
          </w:tcPr>
          <w:p>
            <w:pPr>
              <w:jc w:val="center"/>
              <w:spacing w:after="0"/>
              <w:rPr>
                <w:sz w:val="20"/>
                <w:szCs w:val="20"/>
                <w:color w:val="auto"/>
              </w:rPr>
            </w:pPr>
            <w:r>
              <w:rPr>
                <w:rFonts w:ascii="Arial" w:cs="Arial" w:eastAsia="Arial" w:hAnsi="Arial"/>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4,093,705</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3,802,750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3,923,855</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3,794,729</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Variable-rate debt (d)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Level 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1,656,629</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1,656,629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1,220,359</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1,220,359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65"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Cash, cash equivalents, and restricted cash include demand deposits, money market mutual funds, and U.S. Treasury bills with original maturities of 90 days or less.</w:t>
      </w:r>
    </w:p>
    <w:p>
      <w:pPr>
        <w:spacing w:after="0" w:line="1" w:lineRule="exact"/>
        <w:rPr>
          <w:rFonts w:ascii="Arial" w:cs="Arial" w:eastAsia="Arial" w:hAnsi="Arial"/>
          <w:sz w:val="16"/>
          <w:szCs w:val="16"/>
          <w:color w:val="auto"/>
        </w:rPr>
      </w:pPr>
    </w:p>
    <w:p>
      <w:pPr>
        <w:ind w:left="340" w:right="20" w:hanging="332"/>
        <w:spacing w:after="0" w:line="255"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Accounts receivable, net is shown net of an allowance of $6.4 million at September 30, 2026, and $7.2 million at December 31, 2025. Refer to Note 1 - </w:t>
      </w:r>
      <w:r>
        <w:rPr>
          <w:rFonts w:ascii="Arial" w:cs="Arial" w:eastAsia="Arial" w:hAnsi="Arial"/>
          <w:sz w:val="16"/>
          <w:szCs w:val="16"/>
          <w:i w:val="1"/>
          <w:iCs w:val="1"/>
          <w:color w:val="auto"/>
        </w:rPr>
        <w:t xml:space="preserve">Presentation of Financial Statements and Significant Accounting Policies </w:t>
      </w:r>
      <w:r>
        <w:rPr>
          <w:rFonts w:ascii="Arial" w:cs="Arial" w:eastAsia="Arial" w:hAnsi="Arial"/>
          <w:sz w:val="16"/>
          <w:szCs w:val="16"/>
          <w:color w:val="auto"/>
        </w:rPr>
        <w:t>for additional information on the allowance.</w:t>
      </w: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Notes receivable, net is shown net of an immaterial allowance at September 30, 2026, and December 31, 2025.</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Excludes related unamortized financing costs.</w:t>
      </w:r>
    </w:p>
    <w:p>
      <w:pPr>
        <w:spacing w:after="0" w:line="237"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b w:val="1"/>
          <w:bCs w:val="1"/>
          <w:i w:val="1"/>
          <w:iCs w:val="1"/>
          <w:color w:val="auto"/>
        </w:rPr>
        <w:t xml:space="preserve">Cash and Receivables </w:t>
      </w:r>
      <w:r>
        <w:rPr>
          <w:rFonts w:ascii="Arial" w:cs="Arial" w:eastAsia="Arial" w:hAnsi="Arial"/>
          <w:sz w:val="17"/>
          <w:szCs w:val="17"/>
          <w:color w:val="auto"/>
        </w:rPr>
        <w:t>The carrying amounts of Cash, cash equivalents, and restricted cash; Accounts receivable, net; and Notes receivable,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 fair value because of the short</w:t>
      </w:r>
      <w:r>
        <w:rPr>
          <w:rFonts w:ascii="MS PGothic" w:cs="MS PGothic" w:eastAsia="MS PGothic" w:hAnsi="MS PGothic"/>
          <w:sz w:val="17"/>
          <w:szCs w:val="17"/>
          <w:color w:val="auto"/>
        </w:rPr>
        <w:t>‑</w:t>
      </w:r>
      <w:r>
        <w:rPr>
          <w:rFonts w:ascii="Arial" w:cs="Arial" w:eastAsia="Arial" w:hAnsi="Arial"/>
          <w:sz w:val="17"/>
          <w:szCs w:val="17"/>
          <w:color w:val="auto"/>
        </w:rPr>
        <w:t>term maturity of these instruments.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i w:val="1"/>
          <w:iCs w:val="1"/>
          <w:color w:val="auto"/>
        </w:rPr>
        <w:t xml:space="preserve">Debt </w:t>
      </w:r>
      <w:r>
        <w:rPr>
          <w:rFonts w:ascii="Arial" w:cs="Arial" w:eastAsia="Arial" w:hAnsi="Arial"/>
          <w:sz w:val="17"/>
          <w:szCs w:val="17"/>
          <w:color w:val="auto"/>
        </w:rPr>
        <w:t>The fair value of the Company’s senior unsecured notes, included in fixed-rate debt in the table above, is based upon the trade price closest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end of the period presented. The fair value of other fixed-rate debt in the table above was estimated based on a discounted future cash payment model, which includes risk premiums and risk-free rates derived from the Secured Overnight Financing Rate (SOFR) or U.S. Treasury obligation interest rates as of September 30, 2026. Refer to Note 6 - </w:t>
      </w:r>
      <w:r>
        <w:rPr>
          <w:rFonts w:ascii="Arial" w:cs="Arial" w:eastAsia="Arial" w:hAnsi="Arial"/>
          <w:sz w:val="17"/>
          <w:szCs w:val="17"/>
          <w:i w:val="1"/>
          <w:iCs w:val="1"/>
          <w:color w:val="auto"/>
        </w:rPr>
        <w:t>Mortgages, Notes, and Loans Payable, Net</w:t>
      </w:r>
      <w:r>
        <w:rPr>
          <w:rFonts w:ascii="Arial" w:cs="Arial" w:eastAsia="Arial" w:hAnsi="Arial"/>
          <w:sz w:val="17"/>
          <w:szCs w:val="17"/>
          <w:color w:val="auto"/>
        </w:rPr>
        <w:t xml:space="preserve"> for additional information. The discount rates reflect the Company’s judgment as to what the approximate current lending rates for loans or groups of loans with similar maturities and credit quality would be if credit markets were operating efficiently and assuming that the debt is outstanding through maturity.</w:t>
      </w:r>
    </w:p>
    <w:p>
      <w:pPr>
        <w:spacing w:after="0" w:line="20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carrying amounts for the Company’s variable-rate debt approximate fair value given that the interest rates are variable and adjust with current market rates for instruments with similar risks and maturities.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9. Reserves for Claims and Claim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Following the Vantage Acquisition in the second quarter of 2026, the Company recorded significant reserves for claims and claim expenses. See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Note 1 - </w:t>
      </w:r>
      <w:r>
        <w:rPr>
          <w:rFonts w:ascii="Arial" w:cs="Arial" w:eastAsia="Arial" w:hAnsi="Arial"/>
          <w:sz w:val="17"/>
          <w:szCs w:val="17"/>
          <w:i w:val="1"/>
          <w:iCs w:val="1"/>
          <w:color w:val="auto"/>
        </w:rPr>
        <w:t>Presentation of Financial Statements and Significant Accounting Policies</w:t>
      </w:r>
      <w:r>
        <w:rPr>
          <w:rFonts w:ascii="Arial" w:cs="Arial" w:eastAsia="Arial" w:hAnsi="Arial"/>
          <w:sz w:val="17"/>
          <w:szCs w:val="17"/>
          <w:color w:val="auto"/>
        </w:rPr>
        <w:t xml:space="preserve"> and Note 2 - </w:t>
      </w:r>
      <w:r>
        <w:rPr>
          <w:rFonts w:ascii="Arial" w:cs="Arial" w:eastAsia="Arial" w:hAnsi="Arial"/>
          <w:sz w:val="17"/>
          <w:szCs w:val="17"/>
          <w:i w:val="1"/>
          <w:iCs w:val="1"/>
          <w:color w:val="auto"/>
        </w:rPr>
        <w:t>Vantage Acquisition</w:t>
      </w:r>
      <w:r>
        <w:rPr>
          <w:rFonts w:ascii="Arial" w:cs="Arial" w:eastAsia="Arial" w:hAnsi="Arial"/>
          <w:sz w:val="17"/>
          <w:szCs w:val="17"/>
          <w:color w:val="auto"/>
        </w:rPr>
        <w:t xml:space="preserve"> for additional information. As the</w:t>
      </w:r>
    </w:p>
    <w:p>
      <w:pPr>
        <w:spacing w:after="0" w:line="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acquisition occurred in the second quarter of 2026, prior-year balances as of December 31, 2025, are not included below as the Company did not own Vantage at that time and did not have material insurance operations.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reserves for claims and claim expenses are a combination of case reserves related to reported claims that are expected to result in payment to an insured or ceding company and incurred but not reported losses (IBNR). The Company establishes reserves for claims and claim expenses using actuarial techniques and expert judgment to represent the anticipated cost of claims which have not been reported to the Company yet, or where the Company anticipates increased reporting. As these reserves are estimates, the Company’s actual losses incurred may be more or less than the Company’s previously developed estimates, which is referred to as either unfavorable or favorable development,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5"/>
        </w:trPr>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929292"/>
              </w:rPr>
              <w:t>Table of Contents</w:t>
            </w:r>
          </w:p>
        </w:tc>
      </w:tr>
      <w:tr>
        <w:trPr>
          <w:trHeight w:val="247"/>
        </w:trPr>
        <w:tc>
          <w:tcPr>
            <w:tcW w:w="9140" w:type="dxa"/>
            <w:vAlign w:val="bottom"/>
          </w:tcPr>
          <w:p>
            <w:pPr>
              <w:ind w:left="20"/>
              <w:spacing w:after="0"/>
              <w:rPr>
                <w:sz w:val="20"/>
                <w:szCs w:val="20"/>
                <w:color w:val="auto"/>
              </w:rPr>
            </w:pPr>
            <w:r>
              <w:rPr>
                <w:rFonts w:ascii="Arial" w:cs="Arial" w:eastAsia="Arial" w:hAnsi="Arial"/>
                <w:sz w:val="18"/>
                <w:szCs w:val="18"/>
                <w:b w:val="1"/>
                <w:bCs w:val="1"/>
                <w:color w:val="B6B6B6"/>
              </w:rPr>
              <w:t>FOOTNOTES</w:t>
            </w:r>
          </w:p>
        </w:tc>
        <w:tc>
          <w:tcPr>
            <w:tcW w:w="1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563"/>
        </w:trPr>
        <w:tc>
          <w:tcPr>
            <w:tcW w:w="9140" w:type="dxa"/>
            <w:vAlign w:val="bottom"/>
          </w:tcPr>
          <w:p>
            <w:pPr>
              <w:spacing w:after="0"/>
              <w:rPr>
                <w:sz w:val="20"/>
                <w:szCs w:val="20"/>
                <w:color w:val="auto"/>
              </w:rPr>
            </w:pPr>
            <w:r>
              <w:rPr>
                <w:rFonts w:ascii="Arial" w:cs="Arial" w:eastAsia="Arial" w:hAnsi="Arial"/>
                <w:sz w:val="17"/>
                <w:szCs w:val="17"/>
                <w:color w:val="auto"/>
              </w:rPr>
              <w:t>The following table presents a reconciliation of changes in the net reserves for claims and claim expenses:</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21"/>
        </w:trPr>
        <w:tc>
          <w:tcPr>
            <w:tcW w:w="9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r>
      <w:tr>
        <w:trPr>
          <w:trHeight w:val="223"/>
        </w:trPr>
        <w:tc>
          <w:tcPr>
            <w:tcW w:w="9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80" w:type="dxa"/>
            <w:vAlign w:val="bottom"/>
            <w:tcBorders>
              <w:bottom w:val="single" w:sz="8" w:color="auto"/>
            </w:tcBorders>
            <w:shd w:val="clear" w:color="auto" w:fill="D8D8D8"/>
          </w:tcPr>
          <w:p>
            <w:pPr>
              <w:spacing w:after="0"/>
              <w:rPr>
                <w:sz w:val="19"/>
                <w:szCs w:val="19"/>
                <w:color w:val="auto"/>
              </w:rPr>
            </w:pPr>
          </w:p>
        </w:tc>
        <w:tc>
          <w:tcPr>
            <w:tcW w:w="1920" w:type="dxa"/>
            <w:vAlign w:val="bottom"/>
            <w:tcBorders>
              <w:bottom w:val="single" w:sz="8" w:color="auto"/>
            </w:tcBorders>
            <w:shd w:val="clear" w:color="auto" w:fill="D8D8D8"/>
          </w:tcPr>
          <w:p>
            <w:pPr>
              <w:jc w:val="right"/>
              <w:ind w:right="174"/>
              <w:spacing w:after="0"/>
              <w:rPr>
                <w:sz w:val="20"/>
                <w:szCs w:val="20"/>
                <w:color w:val="auto"/>
              </w:rPr>
            </w:pPr>
            <w:r>
              <w:rPr>
                <w:rFonts w:ascii="Arial" w:cs="Arial" w:eastAsia="Arial" w:hAnsi="Arial"/>
                <w:sz w:val="17"/>
                <w:szCs w:val="17"/>
                <w:b w:val="1"/>
                <w:bCs w:val="1"/>
                <w:color w:val="auto"/>
              </w:rPr>
              <w:t>September 30, 2026</w:t>
            </w:r>
          </w:p>
        </w:tc>
      </w:tr>
      <w:tr>
        <w:trPr>
          <w:trHeight w:val="214"/>
        </w:trPr>
        <w:tc>
          <w:tcPr>
            <w:tcW w:w="9140" w:type="dxa"/>
            <w:vAlign w:val="bottom"/>
          </w:tcPr>
          <w:p>
            <w:pPr>
              <w:ind w:left="20"/>
              <w:spacing w:after="0"/>
              <w:rPr>
                <w:sz w:val="20"/>
                <w:szCs w:val="20"/>
                <w:color w:val="auto"/>
              </w:rPr>
            </w:pPr>
            <w:r>
              <w:rPr>
                <w:rFonts w:ascii="Arial" w:cs="Arial" w:eastAsia="Arial" w:hAnsi="Arial"/>
                <w:sz w:val="17"/>
                <w:szCs w:val="17"/>
                <w:color w:val="auto"/>
              </w:rPr>
              <w:t>Balance at beginning of the period:</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7"/>
                <w:szCs w:val="17"/>
                <w:color w:val="auto"/>
              </w:rPr>
              <w:t>Reserves for claims and claim expenses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36"/>
        </w:trPr>
        <w:tc>
          <w:tcPr>
            <w:tcW w:w="9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Reinsurance recoverable on unpaid losses</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0"/>
        </w:trPr>
        <w:tc>
          <w:tcPr>
            <w:tcW w:w="9140" w:type="dxa"/>
            <w:vAlign w:val="bottom"/>
          </w:tcPr>
          <w:p>
            <w:pPr>
              <w:ind w:left="20"/>
              <w:spacing w:after="0"/>
              <w:rPr>
                <w:sz w:val="20"/>
                <w:szCs w:val="20"/>
                <w:color w:val="auto"/>
              </w:rPr>
            </w:pPr>
            <w:r>
              <w:rPr>
                <w:rFonts w:ascii="Arial" w:cs="Arial" w:eastAsia="Arial" w:hAnsi="Arial"/>
                <w:sz w:val="17"/>
                <w:szCs w:val="17"/>
                <w:color w:val="auto"/>
              </w:rPr>
              <w:t>Net reserve for claims and claim expenses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315"/>
        </w:trPr>
        <w:tc>
          <w:tcPr>
            <w:tcW w:w="9140" w:type="dxa"/>
            <w:vAlign w:val="bottom"/>
          </w:tcPr>
          <w:p>
            <w:pPr>
              <w:ind w:left="140"/>
              <w:spacing w:after="0"/>
              <w:rPr>
                <w:sz w:val="20"/>
                <w:szCs w:val="20"/>
                <w:color w:val="auto"/>
              </w:rPr>
            </w:pPr>
            <w:r>
              <w:rPr>
                <w:rFonts w:ascii="Arial" w:cs="Arial" w:eastAsia="Arial" w:hAnsi="Arial"/>
                <w:sz w:val="17"/>
                <w:szCs w:val="17"/>
                <w:color w:val="auto"/>
              </w:rPr>
              <w:t>Acquired net reserve for claims and claim expenses (a)</w:t>
            </w:r>
          </w:p>
        </w:tc>
        <w:tc>
          <w:tcPr>
            <w:tcW w:w="1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1,535,414</w:t>
            </w:r>
          </w:p>
        </w:tc>
      </w:tr>
      <w:tr>
        <w:trPr>
          <w:trHeight w:val="314"/>
        </w:trPr>
        <w:tc>
          <w:tcPr>
            <w:tcW w:w="9140" w:type="dxa"/>
            <w:vAlign w:val="bottom"/>
          </w:tcPr>
          <w:p>
            <w:pPr>
              <w:ind w:left="140"/>
              <w:spacing w:after="0"/>
              <w:rPr>
                <w:sz w:val="20"/>
                <w:szCs w:val="20"/>
                <w:color w:val="auto"/>
              </w:rPr>
            </w:pPr>
            <w:r>
              <w:rPr>
                <w:rFonts w:ascii="Arial" w:cs="Arial" w:eastAsia="Arial" w:hAnsi="Arial"/>
                <w:sz w:val="17"/>
                <w:szCs w:val="17"/>
                <w:color w:val="auto"/>
              </w:rPr>
              <w:t>Net losses incurred during the period related to:</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9140" w:type="dxa"/>
            <w:vAlign w:val="bottom"/>
          </w:tcPr>
          <w:p>
            <w:pPr>
              <w:ind w:left="140"/>
              <w:spacing w:after="0"/>
              <w:rPr>
                <w:sz w:val="20"/>
                <w:szCs w:val="20"/>
                <w:color w:val="auto"/>
              </w:rPr>
            </w:pPr>
            <w:r>
              <w:rPr>
                <w:rFonts w:ascii="Arial" w:cs="Arial" w:eastAsia="Arial" w:hAnsi="Arial"/>
                <w:sz w:val="17"/>
                <w:szCs w:val="17"/>
                <w:color w:val="auto"/>
              </w:rPr>
              <w:t>Current period</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256,879</w:t>
            </w:r>
          </w:p>
        </w:tc>
      </w:tr>
      <w:tr>
        <w:trPr>
          <w:trHeight w:val="236"/>
        </w:trPr>
        <w:tc>
          <w:tcPr>
            <w:tcW w:w="9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Prior period (b)</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(1,118)</w:t>
            </w:r>
          </w:p>
        </w:tc>
      </w:tr>
      <w:tr>
        <w:trPr>
          <w:trHeight w:val="230"/>
        </w:trPr>
        <w:tc>
          <w:tcPr>
            <w:tcW w:w="9140" w:type="dxa"/>
            <w:vAlign w:val="bottom"/>
          </w:tcPr>
          <w:p>
            <w:pPr>
              <w:ind w:left="140"/>
              <w:spacing w:after="0"/>
              <w:rPr>
                <w:sz w:val="20"/>
                <w:szCs w:val="20"/>
                <w:color w:val="auto"/>
              </w:rPr>
            </w:pPr>
            <w:r>
              <w:rPr>
                <w:rFonts w:ascii="Arial" w:cs="Arial" w:eastAsia="Arial" w:hAnsi="Arial"/>
                <w:sz w:val="17"/>
                <w:szCs w:val="17"/>
                <w:color w:val="auto"/>
              </w:rPr>
              <w:t>Total net losses incurred</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255,761</w:t>
            </w:r>
          </w:p>
        </w:tc>
      </w:tr>
      <w:tr>
        <w:trPr>
          <w:trHeight w:val="305"/>
        </w:trPr>
        <w:tc>
          <w:tcPr>
            <w:tcW w:w="9140" w:type="dxa"/>
            <w:vAlign w:val="bottom"/>
          </w:tcPr>
          <w:p>
            <w:pPr>
              <w:ind w:left="140"/>
              <w:spacing w:after="0"/>
              <w:rPr>
                <w:sz w:val="20"/>
                <w:szCs w:val="20"/>
                <w:color w:val="auto"/>
              </w:rPr>
            </w:pPr>
            <w:r>
              <w:rPr>
                <w:rFonts w:ascii="Arial" w:cs="Arial" w:eastAsia="Arial" w:hAnsi="Arial"/>
                <w:sz w:val="17"/>
                <w:szCs w:val="17"/>
                <w:color w:val="auto"/>
              </w:rPr>
              <w:t>Net losses paid during the period related to:</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9140" w:type="dxa"/>
            <w:vAlign w:val="bottom"/>
          </w:tcPr>
          <w:p>
            <w:pPr>
              <w:ind w:left="140"/>
              <w:spacing w:after="0"/>
              <w:rPr>
                <w:sz w:val="20"/>
                <w:szCs w:val="20"/>
                <w:color w:val="auto"/>
              </w:rPr>
            </w:pPr>
            <w:r>
              <w:rPr>
                <w:rFonts w:ascii="Arial" w:cs="Arial" w:eastAsia="Arial" w:hAnsi="Arial"/>
                <w:sz w:val="17"/>
                <w:szCs w:val="17"/>
                <w:color w:val="auto"/>
              </w:rPr>
              <w:t>Current period</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(23,007)</w:t>
            </w:r>
          </w:p>
        </w:tc>
      </w:tr>
      <w:tr>
        <w:trPr>
          <w:trHeight w:val="236"/>
        </w:trPr>
        <w:tc>
          <w:tcPr>
            <w:tcW w:w="9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Prior period</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(101,421)</w:t>
            </w:r>
          </w:p>
        </w:tc>
      </w:tr>
      <w:tr>
        <w:trPr>
          <w:trHeight w:val="230"/>
        </w:trPr>
        <w:tc>
          <w:tcPr>
            <w:tcW w:w="9140" w:type="dxa"/>
            <w:vAlign w:val="bottom"/>
          </w:tcPr>
          <w:p>
            <w:pPr>
              <w:ind w:left="140"/>
              <w:spacing w:after="0"/>
              <w:rPr>
                <w:sz w:val="20"/>
                <w:szCs w:val="20"/>
                <w:color w:val="auto"/>
              </w:rPr>
            </w:pPr>
            <w:r>
              <w:rPr>
                <w:rFonts w:ascii="Arial" w:cs="Arial" w:eastAsia="Arial" w:hAnsi="Arial"/>
                <w:sz w:val="17"/>
                <w:szCs w:val="17"/>
                <w:color w:val="auto"/>
              </w:rPr>
              <w:t>Total net losses paid</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(124,428)</w:t>
            </w:r>
          </w:p>
        </w:tc>
      </w:tr>
      <w:tr>
        <w:trPr>
          <w:trHeight w:val="315"/>
        </w:trPr>
        <w:tc>
          <w:tcPr>
            <w:tcW w:w="9140" w:type="dxa"/>
            <w:vAlign w:val="bottom"/>
          </w:tcPr>
          <w:p>
            <w:pPr>
              <w:ind w:left="140"/>
              <w:spacing w:after="0"/>
              <w:rPr>
                <w:sz w:val="20"/>
                <w:szCs w:val="20"/>
                <w:color w:val="auto"/>
              </w:rPr>
            </w:pPr>
            <w:r>
              <w:rPr>
                <w:rFonts w:ascii="Arial" w:cs="Arial" w:eastAsia="Arial" w:hAnsi="Arial"/>
                <w:sz w:val="17"/>
                <w:szCs w:val="17"/>
                <w:color w:val="auto"/>
              </w:rPr>
              <w:t>Foreign exchange (gains) losses</w:t>
            </w:r>
          </w:p>
        </w:tc>
        <w:tc>
          <w:tcPr>
            <w:tcW w:w="1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(212)</w:t>
            </w:r>
          </w:p>
        </w:tc>
      </w:tr>
      <w:tr>
        <w:trPr>
          <w:trHeight w:val="314"/>
        </w:trPr>
        <w:tc>
          <w:tcPr>
            <w:tcW w:w="9140" w:type="dxa"/>
            <w:vAlign w:val="bottom"/>
          </w:tcPr>
          <w:p>
            <w:pPr>
              <w:ind w:left="20"/>
              <w:spacing w:after="0"/>
              <w:rPr>
                <w:sz w:val="20"/>
                <w:szCs w:val="20"/>
                <w:color w:val="auto"/>
              </w:rPr>
            </w:pPr>
            <w:r>
              <w:rPr>
                <w:rFonts w:ascii="Arial" w:cs="Arial" w:eastAsia="Arial" w:hAnsi="Arial"/>
                <w:sz w:val="17"/>
                <w:szCs w:val="17"/>
                <w:color w:val="auto"/>
              </w:rPr>
              <w:t>Balance at end of the period:</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9140" w:type="dxa"/>
            <w:vAlign w:val="bottom"/>
          </w:tcPr>
          <w:p>
            <w:pPr>
              <w:ind w:left="20"/>
              <w:spacing w:after="0"/>
              <w:rPr>
                <w:sz w:val="20"/>
                <w:szCs w:val="20"/>
                <w:color w:val="auto"/>
              </w:rPr>
            </w:pPr>
            <w:r>
              <w:rPr>
                <w:rFonts w:ascii="Arial" w:cs="Arial" w:eastAsia="Arial" w:hAnsi="Arial"/>
                <w:sz w:val="17"/>
                <w:szCs w:val="17"/>
                <w:color w:val="auto"/>
              </w:rPr>
              <w:t>Net reserves for claims and claim expenses</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1,666,535</w:t>
            </w:r>
          </w:p>
        </w:tc>
      </w:tr>
      <w:tr>
        <w:trPr>
          <w:trHeight w:val="236"/>
        </w:trPr>
        <w:tc>
          <w:tcPr>
            <w:tcW w:w="9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Reinsurance recoverable on unpaid losses (c)</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595,771</w:t>
            </w:r>
          </w:p>
        </w:tc>
      </w:tr>
      <w:tr>
        <w:trPr>
          <w:trHeight w:val="225"/>
        </w:trPr>
        <w:tc>
          <w:tcPr>
            <w:tcW w:w="9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Reserves for claims and claim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2,262,306</w:t>
            </w:r>
          </w:p>
        </w:tc>
      </w:tr>
    </w:tbl>
    <w:p>
      <w:pPr>
        <w:spacing w:after="0" w:line="121" w:lineRule="exact"/>
        <w:rPr>
          <w:sz w:val="20"/>
          <w:szCs w:val="20"/>
          <w:color w:val="auto"/>
        </w:rPr>
      </w:pPr>
    </w:p>
    <w:p>
      <w:pPr>
        <w:ind w:left="340" w:hanging="332"/>
        <w:spacing w:after="0" w:line="265"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reserves for claims and claim expenses of $2.1 billion, net of reinsurance recoverable on unpaid losses of $554.8 million related to the Vantage Acquisition. This amount excludes reinsurance recoverable on paid losses of $44.3 million.</w:t>
      </w:r>
    </w:p>
    <w:p>
      <w:pPr>
        <w:spacing w:after="0" w:line="1" w:lineRule="exact"/>
        <w:rPr>
          <w:rFonts w:ascii="Arial" w:cs="Arial" w:eastAsia="Arial" w:hAnsi="Arial"/>
          <w:sz w:val="16"/>
          <w:szCs w:val="16"/>
          <w:color w:val="auto"/>
        </w:rPr>
      </w:pPr>
    </w:p>
    <w:p>
      <w:pPr>
        <w:ind w:left="340" w:right="20" w:hanging="332"/>
        <w:spacing w:after="0" w:line="252"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Net prior period reserve development includes $4.0 million of favorable reserve development and $2.9 million of amortization expense related to the acquisition-date fair value adjustment to the reserve for claims and claim expenses.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reinsurance recoverable on paid losses of $34.3 million as of September 30, 2026.</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4520"/>
        <w:spacing w:after="0"/>
        <w:rPr>
          <w:rFonts w:ascii="Arial" w:cs="Arial" w:eastAsia="Arial" w:hAnsi="Arial"/>
          <w:sz w:val="16"/>
          <w:szCs w:val="16"/>
          <w:color w:val="auto"/>
        </w:rPr>
      </w:pPr>
      <w:r>
        <w:rPr>
          <w:rFonts w:ascii="Arial" w:cs="Arial" w:eastAsia="Arial" w:hAnsi="Arial"/>
          <w:sz w:val="18"/>
          <w:szCs w:val="18"/>
          <w:b w:val="1"/>
          <w:bCs w:val="1"/>
          <w:color w:val="auto"/>
        </w:rPr>
        <w:t xml:space="preserve">HHH </w:t>
      </w:r>
      <w:r>
        <w:rPr>
          <w:rFonts w:ascii="Arial" w:cs="Arial" w:eastAsia="Arial" w:hAnsi="Arial"/>
          <w:sz w:val="18"/>
          <w:szCs w:val="18"/>
          <w:b w:val="1"/>
          <w:bCs w:val="1"/>
          <w:color w:val="828282"/>
        </w:rPr>
        <w:t>2026 FORM 10-Q</w:t>
      </w:r>
      <w:r>
        <w:rPr>
          <w:rFonts w:ascii="Arial" w:cs="Arial" w:eastAsia="Arial" w:hAnsi="Arial"/>
          <w:sz w:val="18"/>
          <w:szCs w:val="18"/>
          <w:b w:val="1"/>
          <w:bCs w:val="1"/>
          <w:color w:val="auto"/>
        </w:rPr>
        <w:t xml:space="preserve">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10. Acquisitions and Dispositions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Acquisitions</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MPC </w:t>
      </w:r>
      <w:r>
        <w:rPr>
          <w:rFonts w:ascii="Arial" w:cs="Arial" w:eastAsia="Arial" w:hAnsi="Arial"/>
          <w:sz w:val="17"/>
          <w:szCs w:val="17"/>
          <w:color w:val="auto"/>
        </w:rPr>
        <w:t>On July 26, 2026, a reconsideration event occurred related to Floreo, an MPC joint venture currently developing land in the greater Phoenix,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Arizona area. Floreo is a VIE that was previously accounted for under the equity method. In July 2026, the other Floreo members were deemed to be in default under the LLC Agreement, which resulted in a significant curtailment of their governance rights and constituted a reconsideration event. As a result, it was determined that, as of July 2026, the Company became the primary beneficiary of Floreo as it has the power to direct the activities that most significantly impact Floreo’s economic performance and has the obligation to absorb losses or the right to receive benefits that could potentially be significant. Accordingly, beginning in July 2026, the Company consolidated Floreo with the other members’ combined interest reflected as a noncontrolling interest.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transaction was accounted for as a business combination using the acquisition method of accounting. The Company’s previously held equity method investment in Floreo was remeasured to its fair value of $51.1 million based upon a valuation of the acquired business as of the acquisition date, resulting in the recognition of a $19.4 million loss on initial consolidation in Equity in earnings (losses) from unconsolidated ventures in the Condensed Consolidated Statements of Operations. The fair value of the noncontrolling interest in Floreo as of the acquisition date was $40.1 million. The consolidation of Floreo was a noncash investing activity, except for $26.2 million of cash and cash equivalents held by Floreo at the acquisition date, which is presented as Cash from consolidation of joint venture in the Condensed Consolidated Statements of Cash Flows.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recorded the assets acquired and liabilities assumed at their estimated acquisition-date fair values, as summarized in the table below. Certain data necessary to complete the allocation of fair value is not yet available, and includes, but is not limited to, the final appraisals of certain acquired assets and assumed liabilities. The Company will finalize the fair value allocation during the 12-month period following the acquisition date, during which time the value of the assets and liabilities may be revised as appropriate.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3000" w:type="dxa"/>
            <w:vAlign w:val="bottom"/>
            <w:tcBorders>
              <w:top w:val="single" w:sz="8" w:color="auto"/>
              <w:bottom w:val="single" w:sz="8" w:color="auto"/>
            </w:tcBorders>
            <w:shd w:val="clear" w:color="auto" w:fill="D8D8D8"/>
          </w:tcPr>
          <w:p>
            <w:pPr>
              <w:spacing w:after="0"/>
              <w:rPr>
                <w:sz w:val="21"/>
                <w:szCs w:val="21"/>
                <w:color w:val="auto"/>
              </w:rPr>
            </w:pPr>
          </w:p>
        </w:tc>
        <w:tc>
          <w:tcPr>
            <w:tcW w:w="1800" w:type="dxa"/>
            <w:vAlign w:val="bottom"/>
            <w:tcBorders>
              <w:top w:val="single" w:sz="8" w:color="auto"/>
              <w:bottom w:val="single" w:sz="8" w:color="auto"/>
            </w:tcBorders>
            <w:shd w:val="clear" w:color="auto" w:fill="D8D8D8"/>
          </w:tcPr>
          <w:p>
            <w:pPr>
              <w:jc w:val="right"/>
              <w:ind w:right="455"/>
              <w:spacing w:after="0"/>
              <w:rPr>
                <w:sz w:val="20"/>
                <w:szCs w:val="20"/>
                <w:color w:val="auto"/>
              </w:rPr>
            </w:pPr>
            <w:r>
              <w:rPr>
                <w:rFonts w:ascii="Arial" w:cs="Arial" w:eastAsia="Arial" w:hAnsi="Arial"/>
                <w:sz w:val="17"/>
                <w:szCs w:val="17"/>
                <w:b w:val="1"/>
                <w:bCs w:val="1"/>
                <w:color w:val="auto"/>
              </w:rPr>
              <w:t>July 26, 2026</w:t>
            </w:r>
          </w:p>
        </w:tc>
      </w:tr>
      <w:tr>
        <w:trPr>
          <w:trHeight w:val="214"/>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Fair value of assets acquired:</w:t>
            </w:r>
          </w:p>
        </w:tc>
        <w:tc>
          <w:tcPr>
            <w:tcW w:w="30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5"/>
        </w:trPr>
        <w:tc>
          <w:tcPr>
            <w:tcW w:w="6440" w:type="dxa"/>
            <w:vAlign w:val="bottom"/>
          </w:tcPr>
          <w:p>
            <w:pPr>
              <w:ind w:left="140"/>
              <w:spacing w:after="0"/>
              <w:rPr>
                <w:sz w:val="20"/>
                <w:szCs w:val="20"/>
                <w:color w:val="auto"/>
              </w:rPr>
            </w:pPr>
            <w:r>
              <w:rPr>
                <w:rFonts w:ascii="Arial" w:cs="Arial" w:eastAsia="Arial" w:hAnsi="Arial"/>
                <w:sz w:val="17"/>
                <w:szCs w:val="17"/>
                <w:color w:val="auto"/>
              </w:rPr>
              <w:t>Master Planned Communities assets</w:t>
            </w:r>
          </w:p>
        </w:tc>
        <w:tc>
          <w:tcPr>
            <w:tcW w:w="30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266,700</w:t>
            </w:r>
          </w:p>
        </w:tc>
      </w:tr>
      <w:tr>
        <w:trPr>
          <w:trHeight w:val="229"/>
        </w:trPr>
        <w:tc>
          <w:tcPr>
            <w:tcW w:w="6440" w:type="dxa"/>
            <w:vAlign w:val="bottom"/>
          </w:tcPr>
          <w:p>
            <w:pPr>
              <w:ind w:left="140"/>
              <w:spacing w:after="0"/>
              <w:rPr>
                <w:sz w:val="20"/>
                <w:szCs w:val="20"/>
                <w:color w:val="auto"/>
              </w:rPr>
            </w:pPr>
            <w:r>
              <w:rPr>
                <w:rFonts w:ascii="Arial" w:cs="Arial" w:eastAsia="Arial" w:hAnsi="Arial"/>
                <w:sz w:val="17"/>
                <w:szCs w:val="17"/>
                <w:color w:val="auto"/>
              </w:rPr>
              <w:t>Buildings and equipment</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994</w:t>
            </w:r>
          </w:p>
        </w:tc>
      </w:tr>
      <w:tr>
        <w:trPr>
          <w:trHeight w:val="230"/>
        </w:trPr>
        <w:tc>
          <w:tcPr>
            <w:tcW w:w="6440" w:type="dxa"/>
            <w:vAlign w:val="bottom"/>
          </w:tcPr>
          <w:p>
            <w:pPr>
              <w:ind w:left="140"/>
              <w:spacing w:after="0"/>
              <w:rPr>
                <w:sz w:val="20"/>
                <w:szCs w:val="20"/>
                <w:color w:val="auto"/>
              </w:rPr>
            </w:pPr>
            <w:r>
              <w:rPr>
                <w:rFonts w:ascii="Arial" w:cs="Arial" w:eastAsia="Arial" w:hAnsi="Arial"/>
                <w:sz w:val="17"/>
                <w:szCs w:val="17"/>
                <w:color w:val="auto"/>
              </w:rPr>
              <w:t>Investment in unconsolidated ventures</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1,032</w:t>
            </w:r>
          </w:p>
        </w:tc>
      </w:tr>
      <w:tr>
        <w:trPr>
          <w:trHeight w:val="230"/>
        </w:trPr>
        <w:tc>
          <w:tcPr>
            <w:tcW w:w="644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26,226</w:t>
            </w:r>
          </w:p>
        </w:tc>
      </w:tr>
      <w:tr>
        <w:trPr>
          <w:trHeight w:val="230"/>
        </w:trPr>
        <w:tc>
          <w:tcPr>
            <w:tcW w:w="6440" w:type="dxa"/>
            <w:vAlign w:val="bottom"/>
          </w:tcPr>
          <w:p>
            <w:pPr>
              <w:ind w:left="140"/>
              <w:spacing w:after="0"/>
              <w:rPr>
                <w:sz w:val="20"/>
                <w:szCs w:val="20"/>
                <w:color w:val="auto"/>
              </w:rPr>
            </w:pPr>
            <w:r>
              <w:rPr>
                <w:rFonts w:ascii="Arial" w:cs="Arial" w:eastAsia="Arial" w:hAnsi="Arial"/>
                <w:sz w:val="17"/>
                <w:szCs w:val="17"/>
                <w:color w:val="auto"/>
              </w:rPr>
              <w:t>Accounts receivable, net</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592</w:t>
            </w:r>
          </w:p>
        </w:tc>
      </w:tr>
      <w:tr>
        <w:trPr>
          <w:trHeight w:val="229"/>
        </w:trPr>
        <w:tc>
          <w:tcPr>
            <w:tcW w:w="6440" w:type="dxa"/>
            <w:vAlign w:val="bottom"/>
          </w:tcPr>
          <w:p>
            <w:pPr>
              <w:ind w:left="140"/>
              <w:spacing w:after="0"/>
              <w:rPr>
                <w:sz w:val="20"/>
                <w:szCs w:val="20"/>
                <w:color w:val="auto"/>
              </w:rPr>
            </w:pPr>
            <w:r>
              <w:rPr>
                <w:rFonts w:ascii="Arial" w:cs="Arial" w:eastAsia="Arial" w:hAnsi="Arial"/>
                <w:sz w:val="17"/>
                <w:szCs w:val="17"/>
                <w:color w:val="auto"/>
              </w:rPr>
              <w:t>Municipal district receivables, net</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75,100</w:t>
            </w:r>
          </w:p>
        </w:tc>
      </w:tr>
      <w:tr>
        <w:trPr>
          <w:trHeight w:val="237"/>
        </w:trPr>
        <w:tc>
          <w:tcPr>
            <w:tcW w:w="6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assets, net</w:t>
            </w:r>
          </w:p>
        </w:tc>
        <w:tc>
          <w:tcPr>
            <w:tcW w:w="30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27,604</w:t>
            </w:r>
          </w:p>
        </w:tc>
      </w:tr>
      <w:tr>
        <w:trPr>
          <w:trHeight w:val="225"/>
        </w:trPr>
        <w:tc>
          <w:tcPr>
            <w:tcW w:w="6440" w:type="dxa"/>
            <w:vAlign w:val="bottom"/>
          </w:tcPr>
          <w:p>
            <w:pPr>
              <w:ind w:left="240"/>
              <w:spacing w:after="0"/>
              <w:rPr>
                <w:sz w:val="20"/>
                <w:szCs w:val="20"/>
                <w:color w:val="auto"/>
              </w:rPr>
            </w:pPr>
            <w:r>
              <w:rPr>
                <w:rFonts w:ascii="Arial" w:cs="Arial" w:eastAsia="Arial" w:hAnsi="Arial"/>
                <w:sz w:val="17"/>
                <w:szCs w:val="17"/>
                <w:color w:val="auto"/>
              </w:rPr>
              <w:t>Total estimated fair value of assets acquired</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398,248</w:t>
            </w:r>
          </w:p>
        </w:tc>
      </w:tr>
      <w:tr>
        <w:trPr>
          <w:trHeight w:val="374"/>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Fair value of liabilities assumed:</w:t>
            </w:r>
          </w:p>
        </w:tc>
        <w:tc>
          <w:tcPr>
            <w:tcW w:w="3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5"/>
        </w:trPr>
        <w:tc>
          <w:tcPr>
            <w:tcW w:w="6440" w:type="dxa"/>
            <w:vAlign w:val="bottom"/>
          </w:tcPr>
          <w:p>
            <w:pPr>
              <w:ind w:left="140"/>
              <w:spacing w:after="0"/>
              <w:rPr>
                <w:sz w:val="20"/>
                <w:szCs w:val="20"/>
                <w:color w:val="auto"/>
              </w:rPr>
            </w:pPr>
            <w:r>
              <w:rPr>
                <w:rFonts w:ascii="Arial" w:cs="Arial" w:eastAsia="Arial" w:hAnsi="Arial"/>
                <w:sz w:val="17"/>
                <w:szCs w:val="17"/>
                <w:color w:val="auto"/>
              </w:rPr>
              <w:t>Mortgages, notes, and loans payable, net</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270,016</w:t>
            </w:r>
          </w:p>
        </w:tc>
      </w:tr>
      <w:tr>
        <w:trPr>
          <w:trHeight w:val="236"/>
        </w:trPr>
        <w:tc>
          <w:tcPr>
            <w:tcW w:w="6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liabilities, net</w:t>
            </w:r>
          </w:p>
        </w:tc>
        <w:tc>
          <w:tcPr>
            <w:tcW w:w="30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37,003</w:t>
            </w:r>
          </w:p>
        </w:tc>
      </w:tr>
      <w:tr>
        <w:trPr>
          <w:trHeight w:val="225"/>
        </w:trPr>
        <w:tc>
          <w:tcPr>
            <w:tcW w:w="6440" w:type="dxa"/>
            <w:vAlign w:val="bottom"/>
          </w:tcPr>
          <w:p>
            <w:pPr>
              <w:ind w:left="240"/>
              <w:spacing w:after="0"/>
              <w:rPr>
                <w:sz w:val="20"/>
                <w:szCs w:val="20"/>
                <w:color w:val="auto"/>
              </w:rPr>
            </w:pPr>
            <w:r>
              <w:rPr>
                <w:rFonts w:ascii="Arial" w:cs="Arial" w:eastAsia="Arial" w:hAnsi="Arial"/>
                <w:sz w:val="17"/>
                <w:szCs w:val="17"/>
                <w:color w:val="auto"/>
              </w:rPr>
              <w:t>Total estimated fair value of liabilities assumed</w:t>
            </w:r>
          </w:p>
        </w:tc>
        <w:tc>
          <w:tcPr>
            <w:tcW w:w="30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307,019</w:t>
            </w:r>
          </w:p>
        </w:tc>
      </w:tr>
      <w:tr>
        <w:trPr>
          <w:trHeight w:val="99"/>
        </w:trPr>
        <w:tc>
          <w:tcPr>
            <w:tcW w:w="644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r>
      <w:tr>
        <w:trPr>
          <w:trHeight w:val="22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 of net assets acquired</w:t>
            </w:r>
          </w:p>
        </w:tc>
        <w:tc>
          <w:tcPr>
            <w:tcW w:w="30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91,229</w:t>
            </w:r>
          </w:p>
        </w:tc>
      </w:tr>
    </w:tbl>
    <w:p>
      <w:pPr>
        <w:spacing w:after="0" w:line="35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engaged independent valuation specialists to assist management in determining the fair values of certain acquired assets and assumed liabilities. The determination of fair value required significant judgment and estimates and was based on information available as of the acquisition date. No material separately identifiable intangible assets were identified.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960" w:hanging="446"/>
        <w:spacing w:after="0"/>
        <w:tabs>
          <w:tab w:leader="none" w:pos="4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valuation used an income approach based on discounted cash flows over a finite projection period. No terminal value was applied because the projections represent a finite-life MPC development. The Company’s land model forecasts the expected cash flows associated with the development of the MPC, including projected land sales, development costs, and related reimbursement cash flows. As such, the discounted cash flow analysis captures the economics of the underlying MPC asset value in total and the fair value of the MPC assets equals the residual value after separately recognizing the fair values of the other identifiable assets and liabilities.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Municipal district receivables, which are CFD receivables, were valued using a discounted cash flow method. These receivables represent development costs incurred that were eligible for reimbursement through future CFD bond issuances. The valuation reflected the Company’s expectation that the existing receivables would be reimbursed on a first-in, first-out basis as future CFD proceeds were received. The forecasted proceeds attributable to the existing receivables were discounted based on their expected timing of collection.</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measurements for the MPC assets and municipal district receivables were based on significant unobservable inputs and are classified as Level 3 fair value measurements. Significant unobservable inputs included projected land sales, development costs, the timing and amount of CFD proceeds and impact fee reimbursements, and discount rates. All other acquired assets and assumed liabilities were recorded at their carrying amounts which were determined to approximate fair value.</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Pro forma financial information assuming the consolidation has occurred as of the beginning of the calendar year prior to consolidation, as well as the Floreo revenues and earnings generated during the period since the acquisition date, are not material for disclosure purposes.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i w:val="1"/>
          <w:iCs w:val="1"/>
          <w:color w:val="auto"/>
        </w:rPr>
        <w:t xml:space="preserve">Strategic Developments </w:t>
      </w:r>
      <w:r>
        <w:rPr>
          <w:rFonts w:ascii="Arial" w:cs="Arial" w:eastAsia="Arial" w:hAnsi="Arial"/>
          <w:sz w:val="17"/>
          <w:szCs w:val="17"/>
          <w:color w:val="auto"/>
        </w:rPr>
        <w:t>In May 2025, the Company acquired the 7 Waterway office property and the adjacent parking garage for $16.3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asset acquisition. The 186,369-square-foot office property is located in The Woodlands.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Dispositions </w:t>
      </w:r>
      <w:r>
        <w:rPr>
          <w:rFonts w:ascii="Arial" w:cs="Arial" w:eastAsia="Arial" w:hAnsi="Arial"/>
          <w:sz w:val="17"/>
          <w:szCs w:val="17"/>
          <w:color w:val="000000"/>
        </w:rPr>
        <w:t>Gains and losses on asset dispositions are recorded to Gain (loss) on sale or disposal of real estate and other assets, net in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Condensed Consolidated Statements of Operations, unless otherwise noted.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Strategic Developments </w:t>
      </w:r>
      <w:r>
        <w:rPr>
          <w:rFonts w:ascii="Arial" w:cs="Arial" w:eastAsia="Arial" w:hAnsi="Arial"/>
          <w:sz w:val="17"/>
          <w:szCs w:val="17"/>
          <w:color w:val="auto"/>
        </w:rPr>
        <w:t>The Grogan’s Mill Library and Community Center was developed in connection with a land swap agreement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Montgomery County, Texas. In July 2025, upon completion of construction, the Company transferred the Grogan’s Mill Library and Community Center to Montgomery County in exchange for a land parcel on the Waterway in The Woodlands (Town Green), resulting in a gain of $10.1 million. Town Green was measured at fair value and is held in the Strategic Developments segment for future development.</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Operating Assets </w:t>
      </w:r>
      <w:r>
        <w:rPr>
          <w:rFonts w:ascii="Arial" w:cs="Arial" w:eastAsia="Arial" w:hAnsi="Arial"/>
          <w:sz w:val="17"/>
          <w:szCs w:val="17"/>
          <w:color w:val="auto"/>
        </w:rPr>
        <w:t>In June 2026, the Company completed the sale of Creekside Park, a 292-unit multifamily property, in The Woodlands for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proceeds of $55.5 million, resulting in a gain of $25.4 million.</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June 2026, the Company completed the sale of Creekside Park The Grove, a 360-unit multifamily property, in The Woodlands for total proceeds of $71.8 million, resulting in a gain of $26.8 million.</w:t>
      </w:r>
    </w:p>
    <w:p>
      <w:pPr>
        <w:spacing w:after="0" w:line="200"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In September 2025, the Company completed the sale of two land parcels, which included a 6,890-square-foot retail space, in Ward Village for total proceeds of $6.0 million, resulting in a gain of $4.4 million.</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January 2025, the Company completed the sale of two land parcels, which included a 13,870-square-foot retail space, in Ward Village for total consideration of $12.2 million, resulting in a gain of $10.0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60" w:hanging="446"/>
        <w:spacing w:after="0"/>
        <w:tabs>
          <w:tab w:leader="none" w:pos="4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11.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Other Assets, Net </w:t>
      </w:r>
      <w:r>
        <w:rPr>
          <w:rFonts w:ascii="Arial" w:cs="Arial" w:eastAsia="Arial" w:hAnsi="Arial"/>
          <w:sz w:val="17"/>
          <w:szCs w:val="17"/>
          <w:color w:val="000000"/>
        </w:rPr>
        <w:t>The following table summarizes the significant components of Other assets,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920" w:type="dxa"/>
            <w:vAlign w:val="bottom"/>
            <w:tcBorders>
              <w:top w:val="single" w:sz="8" w:color="auto"/>
              <w:bottom w:val="single" w:sz="8" w:color="auto"/>
            </w:tcBorders>
            <w:shd w:val="clear" w:color="auto" w:fill="DBDBDB"/>
          </w:tcPr>
          <w:p>
            <w:pPr>
              <w:spacing w:after="0"/>
              <w:rPr>
                <w:sz w:val="21"/>
                <w:szCs w:val="21"/>
                <w:color w:val="auto"/>
              </w:rPr>
            </w:pPr>
          </w:p>
        </w:tc>
        <w:tc>
          <w:tcPr>
            <w:tcW w:w="1960" w:type="dxa"/>
            <w:vAlign w:val="bottom"/>
            <w:tcBorders>
              <w:top w:val="single" w:sz="8" w:color="auto"/>
              <w:bottom w:val="single" w:sz="8" w:color="auto"/>
            </w:tcBorders>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September 30, 2026</w:t>
            </w:r>
          </w:p>
        </w:tc>
        <w:tc>
          <w:tcPr>
            <w:tcW w:w="300" w:type="dxa"/>
            <w:vAlign w:val="bottom"/>
            <w:tcBorders>
              <w:top w:val="single" w:sz="8" w:color="auto"/>
              <w:bottom w:val="single" w:sz="8" w:color="auto"/>
            </w:tcBorders>
            <w:shd w:val="clear" w:color="auto" w:fill="DBDBDB"/>
          </w:tcPr>
          <w:p>
            <w:pPr>
              <w:spacing w:after="0"/>
              <w:rPr>
                <w:sz w:val="21"/>
                <w:szCs w:val="21"/>
                <w:color w:val="auto"/>
              </w:rPr>
            </w:pPr>
          </w:p>
        </w:tc>
        <w:tc>
          <w:tcPr>
            <w:tcW w:w="1960" w:type="dxa"/>
            <w:vAlign w:val="bottom"/>
            <w:tcBorders>
              <w:top w:val="single" w:sz="8" w:color="auto"/>
              <w:bottom w:val="single" w:sz="8" w:color="auto"/>
            </w:tcBorders>
            <w:shd w:val="clear" w:color="auto" w:fill="DBDBDB"/>
          </w:tcPr>
          <w:p>
            <w:pPr>
              <w:jc w:val="right"/>
              <w:ind w:right="255"/>
              <w:spacing w:after="0"/>
              <w:rPr>
                <w:sz w:val="20"/>
                <w:szCs w:val="20"/>
                <w:color w:val="auto"/>
              </w:rPr>
            </w:pPr>
            <w:r>
              <w:rPr>
                <w:rFonts w:ascii="Arial" w:cs="Arial" w:eastAsia="Arial" w:hAnsi="Arial"/>
                <w:sz w:val="17"/>
                <w:szCs w:val="17"/>
                <w:color w:val="auto"/>
              </w:rPr>
              <w:t>December 31, 2025</w:t>
            </w:r>
          </w:p>
        </w:tc>
      </w:tr>
      <w:tr>
        <w:trPr>
          <w:trHeight w:val="214"/>
        </w:trPr>
        <w:tc>
          <w:tcPr>
            <w:tcW w:w="5100" w:type="dxa"/>
            <w:vAlign w:val="bottom"/>
          </w:tcPr>
          <w:p>
            <w:pPr>
              <w:ind w:left="20"/>
              <w:spacing w:after="0"/>
              <w:rPr>
                <w:sz w:val="20"/>
                <w:szCs w:val="20"/>
                <w:color w:val="auto"/>
              </w:rPr>
            </w:pPr>
            <w:r>
              <w:rPr>
                <w:rFonts w:ascii="Arial" w:cs="Arial" w:eastAsia="Arial" w:hAnsi="Arial"/>
                <w:sz w:val="17"/>
                <w:szCs w:val="17"/>
                <w:color w:val="auto"/>
              </w:rPr>
              <w:t>Prepaid reinsurance premiums</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430,178</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Security, escrow, and other deposits</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111,212</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54,608</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Special Improvement District receivable, net</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66,404</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90,417</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Reinsured funds held by third parties</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56,415</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46,780</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19,669</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Fee income receivable</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30,816</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Other</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30,222</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11,356</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Derivative assets</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18,948</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3,113</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Condominium inventory</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10,255</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3,937</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7,379</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5,231</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Other investments</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5,196</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Tenant incentives and other receivables, net</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5,084</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15,259</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TIF receivable, net</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4,080</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4,012</w:t>
            </w:r>
          </w:p>
        </w:tc>
      </w:tr>
      <w:tr>
        <w:trPr>
          <w:trHeight w:val="229"/>
        </w:trPr>
        <w:tc>
          <w:tcPr>
            <w:tcW w:w="5100" w:type="dxa"/>
            <w:vAlign w:val="bottom"/>
          </w:tcPr>
          <w:p>
            <w:pPr>
              <w:ind w:left="20"/>
              <w:spacing w:after="0"/>
              <w:rPr>
                <w:sz w:val="20"/>
                <w:szCs w:val="20"/>
                <w:color w:val="auto"/>
              </w:rPr>
            </w:pPr>
            <w:r>
              <w:rPr>
                <w:rFonts w:ascii="Arial" w:cs="Arial" w:eastAsia="Arial" w:hAnsi="Arial"/>
                <w:sz w:val="17"/>
                <w:szCs w:val="17"/>
                <w:color w:val="auto"/>
              </w:rPr>
              <w:t>Notes receivable, net</w:t>
            </w:r>
          </w:p>
        </w:tc>
        <w:tc>
          <w:tcPr>
            <w:tcW w:w="19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3,692</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2,932</w:t>
            </w:r>
          </w:p>
        </w:tc>
      </w:tr>
      <w:tr>
        <w:trPr>
          <w:trHeight w:val="23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investment in lease receivable</w:t>
            </w:r>
          </w:p>
        </w:tc>
        <w:tc>
          <w:tcPr>
            <w:tcW w:w="19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2,853</w:t>
            </w: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2,781</w:t>
            </w:r>
          </w:p>
        </w:tc>
      </w:tr>
      <w:tr>
        <w:trPr>
          <w:trHeight w:val="22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Other assets, net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829,514</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213,315</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Other Liabilities, Net </w:t>
      </w:r>
      <w:r>
        <w:rPr>
          <w:rFonts w:ascii="Arial" w:cs="Arial" w:eastAsia="Arial" w:hAnsi="Arial"/>
          <w:sz w:val="17"/>
          <w:szCs w:val="17"/>
          <w:color w:val="000000"/>
        </w:rPr>
        <w:t>The following table summarizes the significant components of Other liabilities,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860" w:type="dxa"/>
            <w:vAlign w:val="bottom"/>
            <w:tcBorders>
              <w:top w:val="single" w:sz="8" w:color="auto"/>
              <w:bottom w:val="single" w:sz="8" w:color="auto"/>
            </w:tcBorders>
            <w:shd w:val="clear" w:color="auto" w:fill="D8D8D8"/>
          </w:tcPr>
          <w:p>
            <w:pPr>
              <w:spacing w:after="0"/>
              <w:rPr>
                <w:sz w:val="21"/>
                <w:szCs w:val="21"/>
                <w:color w:val="auto"/>
              </w:rPr>
            </w:pPr>
          </w:p>
        </w:tc>
        <w:tc>
          <w:tcPr>
            <w:tcW w:w="1960" w:type="dxa"/>
            <w:vAlign w:val="bottom"/>
            <w:tcBorders>
              <w:top w:val="single" w:sz="8" w:color="auto"/>
              <w:bottom w:val="single" w:sz="8" w:color="auto"/>
            </w:tcBorders>
            <w:shd w:val="clear" w:color="auto" w:fill="D8D8D8"/>
          </w:tcPr>
          <w:p>
            <w:pPr>
              <w:jc w:val="right"/>
              <w:ind w:right="215"/>
              <w:spacing w:after="0"/>
              <w:rPr>
                <w:sz w:val="20"/>
                <w:szCs w:val="20"/>
                <w:color w:val="auto"/>
              </w:rPr>
            </w:pPr>
            <w:r>
              <w:rPr>
                <w:rFonts w:ascii="Arial" w:cs="Arial" w:eastAsia="Arial" w:hAnsi="Arial"/>
                <w:sz w:val="17"/>
                <w:szCs w:val="17"/>
                <w:b w:val="1"/>
                <w:bCs w:val="1"/>
                <w:color w:val="auto"/>
              </w:rPr>
              <w:t>September 30, 2026</w:t>
            </w:r>
          </w:p>
        </w:tc>
        <w:tc>
          <w:tcPr>
            <w:tcW w:w="300" w:type="dxa"/>
            <w:vAlign w:val="bottom"/>
            <w:tcBorders>
              <w:top w:val="single" w:sz="8" w:color="auto"/>
              <w:bottom w:val="single" w:sz="8" w:color="auto"/>
            </w:tcBorders>
            <w:shd w:val="clear" w:color="auto" w:fill="D8D8D8"/>
          </w:tcPr>
          <w:p>
            <w:pPr>
              <w:spacing w:after="0"/>
              <w:rPr>
                <w:sz w:val="21"/>
                <w:szCs w:val="21"/>
                <w:color w:val="auto"/>
              </w:rPr>
            </w:pPr>
          </w:p>
        </w:tc>
        <w:tc>
          <w:tcPr>
            <w:tcW w:w="1960" w:type="dxa"/>
            <w:vAlign w:val="bottom"/>
            <w:tcBorders>
              <w:top w:val="single" w:sz="8" w:color="auto"/>
              <w:bottom w:val="single" w:sz="8" w:color="auto"/>
            </w:tcBorders>
            <w:shd w:val="clear" w:color="auto" w:fill="D8D8D8"/>
          </w:tcPr>
          <w:p>
            <w:pPr>
              <w:jc w:val="right"/>
              <w:ind w:right="255"/>
              <w:spacing w:after="0"/>
              <w:rPr>
                <w:sz w:val="20"/>
                <w:szCs w:val="20"/>
                <w:color w:val="auto"/>
              </w:rPr>
            </w:pPr>
            <w:r>
              <w:rPr>
                <w:rFonts w:ascii="Arial" w:cs="Arial" w:eastAsia="Arial" w:hAnsi="Arial"/>
                <w:sz w:val="17"/>
                <w:szCs w:val="17"/>
                <w:color w:val="auto"/>
              </w:rPr>
              <w:t>December 31, 2025</w:t>
            </w:r>
          </w:p>
        </w:tc>
      </w:tr>
      <w:tr>
        <w:trPr>
          <w:trHeight w:val="214"/>
        </w:trPr>
        <w:tc>
          <w:tcPr>
            <w:tcW w:w="5160" w:type="dxa"/>
            <w:vAlign w:val="bottom"/>
          </w:tcPr>
          <w:p>
            <w:pPr>
              <w:ind w:left="20"/>
              <w:spacing w:after="0"/>
              <w:rPr>
                <w:sz w:val="20"/>
                <w:szCs w:val="20"/>
                <w:color w:val="auto"/>
              </w:rPr>
            </w:pPr>
            <w:r>
              <w:rPr>
                <w:rFonts w:ascii="Arial" w:cs="Arial" w:eastAsia="Arial" w:hAnsi="Arial"/>
                <w:sz w:val="17"/>
                <w:szCs w:val="17"/>
                <w:color w:val="auto"/>
              </w:rPr>
              <w:t>Condominium deposit liabilities</w:t>
            </w: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672,369</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748,795</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Reinsurance balances payable</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252,417</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7"/>
                <w:szCs w:val="17"/>
                <w:color w:val="auto"/>
              </w:rPr>
              <w:t>Construction payables</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221,707</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263,845</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Deferred income</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166,447</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166,121</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MUD sale liability</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92,268</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64,364</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Tenant and other deposits</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73,711</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59,736</w:t>
            </w:r>
          </w:p>
        </w:tc>
      </w:tr>
      <w:tr>
        <w:trPr>
          <w:trHeight w:val="229"/>
        </w:trPr>
        <w:tc>
          <w:tcPr>
            <w:tcW w:w="5160" w:type="dxa"/>
            <w:vAlign w:val="bottom"/>
          </w:tcPr>
          <w:p>
            <w:pPr>
              <w:ind w:left="20"/>
              <w:spacing w:after="0"/>
              <w:rPr>
                <w:sz w:val="20"/>
                <w:szCs w:val="20"/>
                <w:color w:val="auto"/>
              </w:rPr>
            </w:pPr>
            <w:r>
              <w:rPr>
                <w:rFonts w:ascii="Arial" w:cs="Arial" w:eastAsia="Arial" w:hAnsi="Arial"/>
                <w:sz w:val="17"/>
                <w:szCs w:val="17"/>
                <w:color w:val="auto"/>
              </w:rPr>
              <w:t>Accrued payroll and other employee liabilities</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62,034</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31,452</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53,754</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69,023</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Accrued real estate taxes</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41,106</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35,311</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Accrued interest</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26,928</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50,800</w:t>
            </w:r>
          </w:p>
        </w:tc>
      </w:tr>
      <w:tr>
        <w:trPr>
          <w:trHeight w:val="229"/>
        </w:trPr>
        <w:tc>
          <w:tcPr>
            <w:tcW w:w="5160" w:type="dxa"/>
            <w:vAlign w:val="bottom"/>
          </w:tcPr>
          <w:p>
            <w:pPr>
              <w:ind w:left="20"/>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24,260</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27,911</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186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7"/>
                <w:szCs w:val="17"/>
                <w:b w:val="1"/>
                <w:bCs w:val="1"/>
                <w:color w:val="auto"/>
              </w:rPr>
              <w:t>7,217</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4,868</w:t>
            </w:r>
          </w:p>
        </w:tc>
      </w:tr>
      <w:tr>
        <w:trPr>
          <w:trHeight w:val="23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Derivative liabilities</w:t>
            </w:r>
          </w:p>
        </w:tc>
        <w:tc>
          <w:tcPr>
            <w:tcW w:w="18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w:t>
            </w:r>
          </w:p>
        </w:tc>
      </w:tr>
      <w:tr>
        <w:trPr>
          <w:trHeight w:val="22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Other liabilities, net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1,694,218</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1,522,915</w:t>
            </w:r>
          </w:p>
        </w:tc>
      </w:tr>
    </w:tbl>
    <w:p>
      <w:pPr>
        <w:spacing w:after="0" w:line="3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12.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Litigation </w:t>
      </w:r>
      <w:r>
        <w:rPr>
          <w:rFonts w:ascii="Arial" w:cs="Arial" w:eastAsia="Arial" w:hAnsi="Arial"/>
          <w:sz w:val="17"/>
          <w:szCs w:val="17"/>
          <w:color w:val="000000"/>
        </w:rPr>
        <w:t>In the normal course of business, from time to time, the Company is involved in legal proceedings relating to the ownership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operations of its properties. In management’s opinion, the liabilities, if any, that may ultimately result from normal course of business legal actions are not expected to have a material effect on the Company’s consolidated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60" w:hanging="446"/>
        <w:spacing w:after="0"/>
        <w:tabs>
          <w:tab w:leader="none" w:pos="49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212529"/>
        </w:rPr>
        <w:t xml:space="preserve">Kō'ula </w:t>
      </w:r>
      <w:r>
        <w:rPr>
          <w:rFonts w:ascii="Arial" w:cs="Arial" w:eastAsia="Arial" w:hAnsi="Arial"/>
          <w:sz w:val="17"/>
          <w:szCs w:val="17"/>
          <w:color w:val="000000"/>
        </w:rPr>
        <w:t>In January 2025, the Association of Unit Owners of Kō'ula filed two complaints in the Circuit Court of the First Circuit, State of Hawai‘i,</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000000"/>
        </w:rPr>
        <w:t>against the Company and the general contractor, with one complaint alleging multiple code violations and construction defects (Defect Action) and the other complaint claiming that the Company understated operating costs and disproportionately allocated common expenses to the detriment of unit owners (Budget Action). The Company’s insurance carrier has agreed to defend the Defect Action, while coverage for the Budget Action was denied. The Company filed a motion to consolidate both complaints, which was granted in June 2025, and the Court’s order regarding the same was entered in September 2025. The Company filed motions to dismiss both actions in October 2025, which the Court denied in January 2026. The Company then filed answers to each complaint as well as a counterclaim in the Budget Action, seeking reimbursement of its start-up costs. In March 2026, the Association filed a motion to dismiss the counterclaim, which the Court subsequently denied in June 2026. The trial is presently scheduled for September 2027. The Company has not accrued any amounts related to these claims as the damages are undetermined.</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Letters of Credit and Surety Bonds </w:t>
      </w:r>
      <w:r>
        <w:rPr>
          <w:rFonts w:ascii="Arial" w:cs="Arial" w:eastAsia="Arial" w:hAnsi="Arial"/>
          <w:sz w:val="17"/>
          <w:szCs w:val="17"/>
          <w:color w:val="000000"/>
        </w:rPr>
        <w:t>As of September 30, 2026, the Company had outstanding letters of credit totaling $128.7 million and surety</w:t>
      </w:r>
      <w:r>
        <w:rPr>
          <w:rFonts w:ascii="Arial" w:cs="Arial" w:eastAsia="Arial" w:hAnsi="Arial"/>
          <w:sz w:val="17"/>
          <w:szCs w:val="17"/>
          <w:b w:val="1"/>
          <w:bCs w:val="1"/>
          <w:color w:val="00497F"/>
        </w:rPr>
        <w:t xml:space="preserve"> </w:t>
      </w:r>
      <w:r>
        <w:rPr>
          <w:rFonts w:ascii="Arial" w:cs="Arial" w:eastAsia="Arial" w:hAnsi="Arial"/>
          <w:sz w:val="17"/>
          <w:szCs w:val="17"/>
          <w:color w:val="000000"/>
        </w:rPr>
        <w:t>bonds totaling $257.2 million. As of December 31, 2025, the Company had outstanding letters of credit totaling $5.2 million and surety bonds totaling $383.1 million. The letters of credit were primarily entered into by Vantage subsidiaries as required under the terms of its credit facilities and certain insurance and reinsurance agreements. The surety bonds were issued primarily in connection with HHC insurance requirements, special real estate assessments, and construction obligations.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Operating Leases </w:t>
      </w:r>
      <w:r>
        <w:rPr>
          <w:rFonts w:ascii="Arial" w:cs="Arial" w:eastAsia="Arial" w:hAnsi="Arial"/>
          <w:sz w:val="17"/>
          <w:szCs w:val="17"/>
          <w:color w:val="000000"/>
        </w:rPr>
        <w:t>The Company leases land or buildings at certain properties from third parties, which are recorded in Other assets, net and Other</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liabilities, net on the Condensed Consolidated Balance Sheets. See Note 18 - </w:t>
      </w:r>
      <w:r>
        <w:rPr>
          <w:rFonts w:ascii="Arial" w:cs="Arial" w:eastAsia="Arial" w:hAnsi="Arial"/>
          <w:sz w:val="17"/>
          <w:szCs w:val="17"/>
          <w:i w:val="1"/>
          <w:iCs w:val="1"/>
          <w:color w:val="000000"/>
        </w:rPr>
        <w:t>Leases</w:t>
      </w:r>
      <w:r>
        <w:rPr>
          <w:rFonts w:ascii="Arial" w:cs="Arial" w:eastAsia="Arial" w:hAnsi="Arial"/>
          <w:sz w:val="17"/>
          <w:szCs w:val="17"/>
          <w:color w:val="000000"/>
        </w:rPr>
        <w:t xml:space="preserve"> for further discussion.</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Guaranty Agreements </w:t>
      </w:r>
      <w:r>
        <w:rPr>
          <w:rFonts w:ascii="Arial" w:cs="Arial" w:eastAsia="Arial" w:hAnsi="Arial"/>
          <w:sz w:val="17"/>
          <w:szCs w:val="17"/>
          <w:color w:val="000000"/>
        </w:rPr>
        <w:t>The Company evaluates the likelihood of future performance under the below guaranty and, as of September 30, 2026,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December 31, 2025, there were no events requiring financial performance under the following guaranty.</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Merriweather District </w:t>
      </w:r>
      <w:r>
        <w:rPr>
          <w:rFonts w:ascii="Arial" w:cs="Arial" w:eastAsia="Arial" w:hAnsi="Arial"/>
          <w:sz w:val="17"/>
          <w:szCs w:val="17"/>
          <w:color w:val="auto"/>
        </w:rPr>
        <w:t>To the extent that increases in taxes do not cover debt service payments on the Redevelopment District TIF bonds issued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Howard County, Maryland, the Company’s wholly owned subsidiary is obligated to pay special taxes. Management has concluded that, as of September 30, 2026, any obligations to pay special taxes are not probable.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13.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8D8D8"/>
          </w:tcPr>
          <w:p>
            <w:pPr>
              <w:spacing w:after="0"/>
              <w:rPr>
                <w:sz w:val="19"/>
                <w:szCs w:val="19"/>
                <w:color w:val="auto"/>
              </w:rPr>
            </w:pPr>
          </w:p>
        </w:tc>
        <w:tc>
          <w:tcPr>
            <w:tcW w:w="3360" w:type="dxa"/>
            <w:vAlign w:val="bottom"/>
            <w:tcBorders>
              <w:top w:val="single" w:sz="8" w:color="auto"/>
            </w:tcBorders>
            <w:gridSpan w:val="4"/>
            <w:shd w:val="clear" w:color="auto" w:fill="D8D8D8"/>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Borders>
              <w:top w:val="single" w:sz="8" w:color="auto"/>
            </w:tcBorders>
            <w:shd w:val="clear" w:color="auto" w:fill="D8D8D8"/>
          </w:tcPr>
          <w:p>
            <w:pPr>
              <w:spacing w:after="0"/>
              <w:rPr>
                <w:sz w:val="19"/>
                <w:szCs w:val="19"/>
                <w:color w:val="auto"/>
              </w:rPr>
            </w:pPr>
          </w:p>
        </w:tc>
        <w:tc>
          <w:tcPr>
            <w:tcW w:w="3300" w:type="dxa"/>
            <w:vAlign w:val="bottom"/>
            <w:tcBorders>
              <w:top w:val="single" w:sz="8" w:color="auto"/>
            </w:tcBorders>
            <w:gridSpan w:val="3"/>
            <w:shd w:val="clear" w:color="auto" w:fill="D8D8D8"/>
          </w:tcPr>
          <w:p>
            <w:pPr>
              <w:jc w:val="right"/>
              <w:ind w:right="358"/>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296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340" w:type="dxa"/>
            <w:vAlign w:val="bottom"/>
            <w:tcBorders>
              <w:top w:val="single" w:sz="8" w:color="auto"/>
              <w:bottom w:val="single" w:sz="8" w:color="auto"/>
            </w:tcBorders>
            <w:shd w:val="clear" w:color="auto" w:fill="D8D8D8"/>
          </w:tcPr>
          <w:p>
            <w:pPr>
              <w:spacing w:after="0"/>
              <w:rPr>
                <w:sz w:val="18"/>
                <w:szCs w:val="18"/>
                <w:color w:val="auto"/>
              </w:rPr>
            </w:pPr>
          </w:p>
        </w:tc>
        <w:tc>
          <w:tcPr>
            <w:tcW w:w="1300" w:type="dxa"/>
            <w:vAlign w:val="bottom"/>
            <w:tcBorders>
              <w:top w:val="single" w:sz="8" w:color="auto"/>
              <w:bottom w:val="single" w:sz="8" w:color="auto"/>
            </w:tcBorders>
            <w:shd w:val="clear" w:color="auto" w:fill="D8D8D8"/>
          </w:tcPr>
          <w:p>
            <w:pPr>
              <w:ind w:left="360"/>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shd w:val="clear" w:color="auto" w:fill="D8D8D8"/>
          </w:tcPr>
          <w:p>
            <w:pPr>
              <w:spacing w:after="0"/>
              <w:rPr>
                <w:sz w:val="18"/>
                <w:szCs w:val="18"/>
                <w:color w:val="auto"/>
              </w:rPr>
            </w:pPr>
          </w:p>
        </w:tc>
        <w:tc>
          <w:tcPr>
            <w:tcW w:w="1380" w:type="dxa"/>
            <w:vAlign w:val="bottom"/>
            <w:tcBorders>
              <w:top w:val="single" w:sz="8" w:color="auto"/>
              <w:bottom w:val="single" w:sz="8" w:color="auto"/>
            </w:tcBorders>
            <w:shd w:val="clear" w:color="auto" w:fill="D8D8D8"/>
          </w:tcPr>
          <w:p>
            <w:pPr>
              <w:jc w:val="right"/>
              <w:ind w:right="598"/>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D8D8D8"/>
              <w:bottom w:val="single" w:sz="8" w:color="auto"/>
            </w:tcBorders>
            <w:shd w:val="clear" w:color="auto" w:fill="D8D8D8"/>
          </w:tcPr>
          <w:p>
            <w:pPr>
              <w:spacing w:after="0"/>
              <w:rPr>
                <w:sz w:val="18"/>
                <w:szCs w:val="18"/>
                <w:color w:val="auto"/>
              </w:rPr>
            </w:pPr>
          </w:p>
        </w:tc>
        <w:tc>
          <w:tcPr>
            <w:tcW w:w="260" w:type="dxa"/>
            <w:vAlign w:val="bottom"/>
            <w:tcBorders>
              <w:top w:val="single" w:sz="8" w:color="auto"/>
              <w:bottom w:val="single" w:sz="8" w:color="auto"/>
            </w:tcBorders>
            <w:shd w:val="clear" w:color="auto" w:fill="D8D8D8"/>
          </w:tcPr>
          <w:p>
            <w:pPr>
              <w:spacing w:after="0"/>
              <w:rPr>
                <w:sz w:val="18"/>
                <w:szCs w:val="18"/>
                <w:color w:val="auto"/>
              </w:rPr>
            </w:pPr>
          </w:p>
        </w:tc>
        <w:tc>
          <w:tcPr>
            <w:tcW w:w="1360" w:type="dxa"/>
            <w:vAlign w:val="bottom"/>
            <w:tcBorders>
              <w:top w:val="single" w:sz="8" w:color="auto"/>
              <w:bottom w:val="single" w:sz="8" w:color="auto"/>
            </w:tcBorders>
            <w:shd w:val="clear" w:color="auto" w:fill="D8D8D8"/>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top w:val="single" w:sz="8" w:color="auto"/>
              <w:bottom w:val="single" w:sz="8" w:color="auto"/>
            </w:tcBorders>
            <w:shd w:val="clear" w:color="auto" w:fill="D8D8D8"/>
          </w:tcPr>
          <w:p>
            <w:pPr>
              <w:spacing w:after="0"/>
              <w:rPr>
                <w:sz w:val="18"/>
                <w:szCs w:val="18"/>
                <w:color w:val="auto"/>
              </w:rPr>
            </w:pPr>
          </w:p>
        </w:tc>
        <w:tc>
          <w:tcPr>
            <w:tcW w:w="1500" w:type="dxa"/>
            <w:vAlign w:val="bottom"/>
            <w:tcBorders>
              <w:top w:val="single" w:sz="8" w:color="auto"/>
              <w:bottom w:val="single" w:sz="8" w:color="auto"/>
            </w:tcBorders>
            <w:shd w:val="clear" w:color="auto" w:fill="D8D8D8"/>
          </w:tcPr>
          <w:p>
            <w:pPr>
              <w:jc w:val="right"/>
              <w:ind w:right="598"/>
              <w:spacing w:after="0"/>
              <w:rPr>
                <w:sz w:val="20"/>
                <w:szCs w:val="20"/>
                <w:color w:val="auto"/>
              </w:rPr>
            </w:pPr>
            <w:r>
              <w:rPr>
                <w:rFonts w:ascii="Arial" w:cs="Arial" w:eastAsia="Arial" w:hAnsi="Arial"/>
                <w:sz w:val="16"/>
                <w:szCs w:val="16"/>
                <w:color w:val="auto"/>
              </w:rPr>
              <w:t>2025</w:t>
            </w: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ind w:left="800"/>
              <w:spacing w:after="0"/>
              <w:rPr>
                <w:sz w:val="20"/>
                <w:szCs w:val="20"/>
                <w:color w:val="auto"/>
              </w:rPr>
            </w:pPr>
            <w:r>
              <w:rPr>
                <w:rFonts w:ascii="Arial" w:cs="Arial" w:eastAsia="Arial" w:hAnsi="Arial"/>
                <w:sz w:val="16"/>
                <w:szCs w:val="16"/>
                <w:b w:val="1"/>
                <w:bCs w:val="1"/>
                <w:color w:val="auto"/>
              </w:rPr>
              <w:t>1,503</w:t>
            </w:r>
          </w:p>
        </w:tc>
        <w:tc>
          <w:tcPr>
            <w:tcW w:w="560" w:type="dxa"/>
            <w:vAlign w:val="bottom"/>
          </w:tcPr>
          <w:p>
            <w:pPr>
              <w:jc w:val="right"/>
              <w:ind w:right="157"/>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8"/>
              <w:spacing w:after="0"/>
              <w:rPr>
                <w:sz w:val="20"/>
                <w:szCs w:val="20"/>
                <w:color w:val="auto"/>
              </w:rPr>
            </w:pPr>
            <w:r>
              <w:rPr>
                <w:rFonts w:ascii="Arial" w:cs="Arial" w:eastAsia="Arial" w:hAnsi="Arial"/>
                <w:sz w:val="16"/>
                <w:szCs w:val="16"/>
                <w:color w:val="auto"/>
              </w:rPr>
              <w:t>38,898</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8"/>
              <w:spacing w:after="0"/>
              <w:rPr>
                <w:sz w:val="20"/>
                <w:szCs w:val="20"/>
                <w:color w:val="auto"/>
              </w:rPr>
            </w:pPr>
            <w:r>
              <w:rPr>
                <w:rFonts w:ascii="Arial" w:cs="Arial" w:eastAsia="Arial" w:hAnsi="Arial"/>
                <w:sz w:val="16"/>
                <w:szCs w:val="16"/>
                <w:b w:val="1"/>
                <w:bCs w:val="1"/>
                <w:color w:val="auto"/>
              </w:rPr>
              <w:t>54,078</w:t>
            </w:r>
          </w:p>
        </w:tc>
        <w:tc>
          <w:tcPr>
            <w:tcW w:w="44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38,513</w:t>
            </w: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ind w:left="800"/>
              <w:spacing w:after="0"/>
              <w:rPr>
                <w:sz w:val="20"/>
                <w:szCs w:val="20"/>
                <w:color w:val="auto"/>
              </w:rPr>
            </w:pPr>
            <w:r>
              <w:rPr>
                <w:rFonts w:ascii="Arial" w:cs="Arial" w:eastAsia="Arial" w:hAnsi="Arial"/>
                <w:sz w:val="16"/>
                <w:szCs w:val="16"/>
                <w:b w:val="1"/>
                <w:bCs w:val="1"/>
                <w:color w:val="auto"/>
              </w:rPr>
              <w:t>1,132</w:t>
            </w:r>
          </w:p>
        </w:tc>
        <w:tc>
          <w:tcPr>
            <w:tcW w:w="5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Arial" w:cs="Arial" w:eastAsia="Arial" w:hAnsi="Arial"/>
                <w:sz w:val="16"/>
                <w:szCs w:val="16"/>
                <w:color w:val="auto"/>
              </w:rPr>
              <w:t>158,300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b w:val="1"/>
                <w:bCs w:val="1"/>
                <w:color w:val="auto"/>
              </w:rPr>
              <w:t>218,729</w:t>
            </w:r>
          </w:p>
        </w:tc>
        <w:tc>
          <w:tcPr>
            <w:tcW w:w="44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156,677</w:t>
            </w:r>
          </w:p>
        </w:tc>
      </w:tr>
      <w:tr>
        <w:trPr>
          <w:trHeight w:val="21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132.8 %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24.6 %</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6"/>
                <w:szCs w:val="16"/>
                <w:b w:val="1"/>
                <w:bCs w:val="1"/>
                <w:color w:val="auto"/>
              </w:rPr>
              <w:t>24.7 %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24.6 %</w:t>
            </w:r>
          </w:p>
        </w:tc>
      </w:tr>
      <w:tr>
        <w:trPr>
          <w:trHeight w:val="527"/>
        </w:trPr>
        <w:tc>
          <w:tcPr>
            <w:tcW w:w="2960" w:type="dxa"/>
            <w:vAlign w:val="bottom"/>
          </w:tcPr>
          <w:p>
            <w:pPr>
              <w:spacing w:after="0"/>
              <w:rPr>
                <w:sz w:val="20"/>
                <w:szCs w:val="20"/>
                <w:color w:val="auto"/>
              </w:rPr>
            </w:pPr>
            <w:r>
              <w:rPr>
                <w:rFonts w:ascii="Arial" w:cs="Arial" w:eastAsia="Arial" w:hAnsi="Arial"/>
                <w:sz w:val="17"/>
                <w:szCs w:val="17"/>
                <w:color w:val="auto"/>
              </w:rPr>
              <w:t>The  Company’s  tax  provision  for</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interim  periods</w:t>
            </w:r>
          </w:p>
        </w:tc>
        <w:tc>
          <w:tcPr>
            <w:tcW w:w="1300" w:type="dxa"/>
            <w:vAlign w:val="bottom"/>
          </w:tcPr>
          <w:p>
            <w:pPr>
              <w:ind w:left="100"/>
              <w:spacing w:after="0"/>
              <w:rPr>
                <w:sz w:val="20"/>
                <w:szCs w:val="20"/>
                <w:color w:val="auto"/>
              </w:rPr>
            </w:pPr>
            <w:r>
              <w:rPr>
                <w:rFonts w:ascii="Arial" w:cs="Arial" w:eastAsia="Arial" w:hAnsi="Arial"/>
                <w:sz w:val="17"/>
                <w:szCs w:val="17"/>
                <w:color w:val="auto"/>
              </w:rPr>
              <w:t>is  determined</w:t>
            </w:r>
          </w:p>
        </w:tc>
        <w:tc>
          <w:tcPr>
            <w:tcW w:w="560" w:type="dxa"/>
            <w:vAlign w:val="bottom"/>
          </w:tcPr>
          <w:p>
            <w:pPr>
              <w:jc w:val="center"/>
              <w:spacing w:after="0"/>
              <w:rPr>
                <w:sz w:val="20"/>
                <w:szCs w:val="20"/>
                <w:color w:val="auto"/>
              </w:rPr>
            </w:pPr>
            <w:r>
              <w:rPr>
                <w:rFonts w:ascii="Arial" w:cs="Arial" w:eastAsia="Arial" w:hAnsi="Arial"/>
                <w:sz w:val="17"/>
                <w:szCs w:val="17"/>
                <w:color w:val="auto"/>
                <w:w w:val="98"/>
              </w:rPr>
              <w:t>using</w:t>
            </w:r>
          </w:p>
        </w:tc>
        <w:tc>
          <w:tcPr>
            <w:tcW w:w="1500" w:type="dxa"/>
            <w:vAlign w:val="bottom"/>
            <w:gridSpan w:val="2"/>
          </w:tcPr>
          <w:p>
            <w:pPr>
              <w:ind w:left="80"/>
              <w:spacing w:after="0"/>
              <w:rPr>
                <w:sz w:val="20"/>
                <w:szCs w:val="20"/>
                <w:color w:val="auto"/>
              </w:rPr>
            </w:pPr>
            <w:r>
              <w:rPr>
                <w:rFonts w:ascii="Arial" w:cs="Arial" w:eastAsia="Arial" w:hAnsi="Arial"/>
                <w:sz w:val="17"/>
                <w:szCs w:val="17"/>
                <w:color w:val="auto"/>
              </w:rPr>
              <w:t>an  estimate  of</w:t>
            </w:r>
          </w:p>
        </w:tc>
        <w:tc>
          <w:tcPr>
            <w:tcW w:w="260" w:type="dxa"/>
            <w:vAlign w:val="bottom"/>
          </w:tcPr>
          <w:p>
            <w:pPr>
              <w:ind w:left="20"/>
              <w:spacing w:after="0"/>
              <w:rPr>
                <w:sz w:val="20"/>
                <w:szCs w:val="20"/>
                <w:color w:val="auto"/>
              </w:rPr>
            </w:pPr>
            <w:r>
              <w:rPr>
                <w:rFonts w:ascii="Arial" w:cs="Arial" w:eastAsia="Arial" w:hAnsi="Arial"/>
                <w:sz w:val="17"/>
                <w:szCs w:val="17"/>
                <w:color w:val="auto"/>
              </w:rPr>
              <w:t>its</w:t>
            </w:r>
          </w:p>
        </w:tc>
        <w:tc>
          <w:tcPr>
            <w:tcW w:w="1360" w:type="dxa"/>
            <w:vAlign w:val="bottom"/>
          </w:tcPr>
          <w:p>
            <w:pPr>
              <w:jc w:val="right"/>
              <w:spacing w:after="0"/>
              <w:rPr>
                <w:sz w:val="20"/>
                <w:szCs w:val="20"/>
                <w:color w:val="auto"/>
              </w:rPr>
            </w:pPr>
            <w:r>
              <w:rPr>
                <w:rFonts w:ascii="Arial" w:cs="Arial" w:eastAsia="Arial" w:hAnsi="Arial"/>
                <w:sz w:val="17"/>
                <w:szCs w:val="17"/>
                <w:color w:val="auto"/>
              </w:rPr>
              <w:t>annual  current</w:t>
            </w:r>
          </w:p>
        </w:tc>
        <w:tc>
          <w:tcPr>
            <w:tcW w:w="440" w:type="dxa"/>
            <w:vAlign w:val="bottom"/>
          </w:tcPr>
          <w:p>
            <w:pPr>
              <w:jc w:val="right"/>
              <w:spacing w:after="0"/>
              <w:rPr>
                <w:sz w:val="20"/>
                <w:szCs w:val="20"/>
                <w:color w:val="auto"/>
              </w:rPr>
            </w:pPr>
            <w:r>
              <w:rPr>
                <w:rFonts w:ascii="Arial" w:cs="Arial" w:eastAsia="Arial" w:hAnsi="Arial"/>
                <w:sz w:val="17"/>
                <w:szCs w:val="17"/>
                <w:color w:val="auto"/>
              </w:rPr>
              <w:t>and</w:t>
            </w:r>
          </w:p>
        </w:tc>
        <w:tc>
          <w:tcPr>
            <w:tcW w:w="1500" w:type="dxa"/>
            <w:vAlign w:val="bottom"/>
          </w:tcPr>
          <w:p>
            <w:pPr>
              <w:jc w:val="right"/>
              <w:spacing w:after="0"/>
              <w:rPr>
                <w:sz w:val="20"/>
                <w:szCs w:val="20"/>
                <w:color w:val="auto"/>
              </w:rPr>
            </w:pPr>
            <w:r>
              <w:rPr>
                <w:rFonts w:ascii="Arial" w:cs="Arial" w:eastAsia="Arial" w:hAnsi="Arial"/>
                <w:sz w:val="17"/>
                <w:szCs w:val="17"/>
                <w:color w:val="auto"/>
              </w:rPr>
              <w:t>deferred  effective</w:t>
            </w:r>
          </w:p>
        </w:tc>
      </w:tr>
    </w:tbl>
    <w:p>
      <w:pPr>
        <w:jc w:val="both"/>
        <w:spacing w:after="0" w:line="264" w:lineRule="auto"/>
        <w:rPr>
          <w:sz w:val="20"/>
          <w:szCs w:val="20"/>
          <w:color w:val="auto"/>
        </w:rPr>
      </w:pPr>
      <w:r>
        <w:rPr>
          <w:rFonts w:ascii="Arial" w:cs="Arial" w:eastAsia="Arial" w:hAnsi="Arial"/>
          <w:sz w:val="17"/>
          <w:szCs w:val="17"/>
          <w:color w:val="auto"/>
        </w:rPr>
        <w:t>tax rates, adjusted for discrete items. The Company’s effective tax rate is typically impacted by non-deductible executive compensation and other permanent differences as well as state income taxes, which cause the Company’s effective tax rate to deviate from the federal statutory rate.</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14.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April 2026, the Company entered into a warrant agreement with Marc Grandisson, a member of the Company’s Board of Directors, pursuant to which Mr. Grandisson agreed to purchase warrants to acquire 1,131,273 shares of the Company’s common stock, par value $0.01 per share, at an exercise price equal to $100 per share. Mr. Grandisson paid a purchase price of $10.0 million for the warrants, which become exercisable in April 2030 and expire in April 2031. The warrants are subject to certain transfer restrictions until they become exercisable in 2030. The purchase price paid for the warrants, which qualify as equity instruments, is included in Additional paid-in capital on the Condensed Consolidated Balance Sheets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15.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changes in AOCI:</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400" w:type="dxa"/>
            <w:vAlign w:val="bottom"/>
            <w:tcBorders>
              <w:top w:val="single" w:sz="8" w:color="auto"/>
            </w:tcBorders>
            <w:gridSpan w:val="2"/>
            <w:vMerge w:val="restart"/>
            <w:shd w:val="clear" w:color="auto" w:fill="D8D8D8"/>
          </w:tcPr>
          <w:p>
            <w:pPr>
              <w:jc w:val="right"/>
              <w:spacing w:after="0"/>
              <w:rPr>
                <w:sz w:val="20"/>
                <w:szCs w:val="20"/>
                <w:color w:val="auto"/>
              </w:rPr>
            </w:pPr>
            <w:r>
              <w:rPr>
                <w:rFonts w:ascii="Arial" w:cs="Arial" w:eastAsia="Arial" w:hAnsi="Arial"/>
                <w:sz w:val="17"/>
                <w:szCs w:val="17"/>
                <w:b w:val="1"/>
                <w:bCs w:val="1"/>
                <w:color w:val="auto"/>
              </w:rPr>
              <w:t>AFS Securities</w:t>
            </w:r>
          </w:p>
        </w:tc>
        <w:tc>
          <w:tcPr>
            <w:tcW w:w="180" w:type="dxa"/>
            <w:vAlign w:val="bottom"/>
            <w:tcBorders>
              <w:top w:val="single" w:sz="8" w:color="auto"/>
            </w:tcBorders>
            <w:shd w:val="clear" w:color="auto" w:fill="D8D8D8"/>
          </w:tcPr>
          <w:p>
            <w:pPr>
              <w:spacing w:after="0"/>
              <w:rPr>
                <w:sz w:val="15"/>
                <w:szCs w:val="15"/>
                <w:color w:val="auto"/>
              </w:rPr>
            </w:pPr>
          </w:p>
        </w:tc>
        <w:tc>
          <w:tcPr>
            <w:tcW w:w="1240" w:type="dxa"/>
            <w:vAlign w:val="bottom"/>
            <w:tcBorders>
              <w:top w:val="single" w:sz="8" w:color="auto"/>
            </w:tcBorders>
            <w:shd w:val="clear" w:color="auto" w:fill="D8D8D8"/>
          </w:tcPr>
          <w:p>
            <w:pPr>
              <w:jc w:val="right"/>
              <w:ind w:right="215"/>
              <w:spacing w:after="0" w:line="180" w:lineRule="exact"/>
              <w:rPr>
                <w:sz w:val="20"/>
                <w:szCs w:val="20"/>
                <w:color w:val="auto"/>
              </w:rPr>
            </w:pPr>
            <w:r>
              <w:rPr>
                <w:rFonts w:ascii="Arial" w:cs="Arial" w:eastAsia="Arial" w:hAnsi="Arial"/>
                <w:sz w:val="17"/>
                <w:szCs w:val="17"/>
                <w:b w:val="1"/>
                <w:bCs w:val="1"/>
                <w:color w:val="auto"/>
              </w:rPr>
              <w:t>Derivative</w:t>
            </w:r>
          </w:p>
        </w:tc>
        <w:tc>
          <w:tcPr>
            <w:tcW w:w="240" w:type="dxa"/>
            <w:vAlign w:val="bottom"/>
            <w:tcBorders>
              <w:top w:val="single" w:sz="8" w:color="auto"/>
            </w:tcBorders>
            <w:shd w:val="clear" w:color="auto" w:fill="D8D8D8"/>
          </w:tcPr>
          <w:p>
            <w:pPr>
              <w:spacing w:after="0"/>
              <w:rPr>
                <w:sz w:val="15"/>
                <w:szCs w:val="15"/>
                <w:color w:val="auto"/>
              </w:rPr>
            </w:pPr>
          </w:p>
        </w:tc>
        <w:tc>
          <w:tcPr>
            <w:tcW w:w="1160" w:type="dxa"/>
            <w:vAlign w:val="bottom"/>
            <w:tcBorders>
              <w:top w:val="single" w:sz="8" w:color="auto"/>
            </w:tcBorders>
            <w:vMerge w:val="restart"/>
            <w:shd w:val="clear" w:color="auto" w:fill="D8D8D8"/>
          </w:tcPr>
          <w:p>
            <w:pPr>
              <w:jc w:val="right"/>
              <w:ind w:right="275"/>
              <w:spacing w:after="0"/>
              <w:rPr>
                <w:sz w:val="20"/>
                <w:szCs w:val="20"/>
                <w:color w:val="auto"/>
              </w:rPr>
            </w:pPr>
            <w:r>
              <w:rPr>
                <w:rFonts w:ascii="Arial" w:cs="Arial" w:eastAsia="Arial" w:hAnsi="Arial"/>
                <w:sz w:val="17"/>
                <w:szCs w:val="17"/>
                <w:b w:val="1"/>
                <w:bCs w:val="1"/>
                <w:color w:val="auto"/>
              </w:rPr>
              <w:t>Pension</w:t>
            </w:r>
          </w:p>
        </w:tc>
        <w:tc>
          <w:tcPr>
            <w:tcW w:w="300" w:type="dxa"/>
            <w:vAlign w:val="bottom"/>
            <w:tcBorders>
              <w:top w:val="single" w:sz="8" w:color="auto"/>
            </w:tcBorders>
            <w:shd w:val="clear" w:color="auto" w:fill="D8D8D8"/>
          </w:tcPr>
          <w:p>
            <w:pPr>
              <w:spacing w:after="0"/>
              <w:rPr>
                <w:sz w:val="15"/>
                <w:szCs w:val="15"/>
                <w:color w:val="auto"/>
              </w:rPr>
            </w:pPr>
          </w:p>
        </w:tc>
        <w:tc>
          <w:tcPr>
            <w:tcW w:w="1100" w:type="dxa"/>
            <w:vAlign w:val="bottom"/>
            <w:tcBorders>
              <w:top w:val="single" w:sz="8" w:color="auto"/>
            </w:tcBorders>
            <w:vMerge w:val="restart"/>
            <w:shd w:val="clear" w:color="auto" w:fill="D8D8D8"/>
          </w:tcPr>
          <w:p>
            <w:pPr>
              <w:jc w:val="right"/>
              <w:ind w:right="4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vMerge w:val="continue"/>
            <w:shd w:val="clear" w:color="auto" w:fill="D8D8D8"/>
          </w:tcPr>
          <w:p>
            <w:pPr>
              <w:spacing w:after="0"/>
              <w:rPr>
                <w:sz w:val="19"/>
                <w:szCs w:val="19"/>
                <w:color w:val="auto"/>
              </w:rPr>
            </w:pPr>
          </w:p>
        </w:tc>
        <w:tc>
          <w:tcPr>
            <w:tcW w:w="1400" w:type="dxa"/>
            <w:vAlign w:val="bottom"/>
            <w:tcBorders>
              <w:bottom w:val="single" w:sz="8" w:color="auto"/>
            </w:tcBorders>
            <w:gridSpan w:val="2"/>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shd w:val="clear" w:color="auto" w:fill="D8D8D8"/>
          </w:tcPr>
          <w:p>
            <w:pPr>
              <w:jc w:val="right"/>
              <w:ind w:right="135"/>
              <w:spacing w:after="0"/>
              <w:rPr>
                <w:sz w:val="20"/>
                <w:szCs w:val="20"/>
                <w:color w:val="auto"/>
              </w:rPr>
            </w:pPr>
            <w:r>
              <w:rPr>
                <w:rFonts w:ascii="Arial" w:cs="Arial" w:eastAsia="Arial" w:hAnsi="Arial"/>
                <w:sz w:val="17"/>
                <w:szCs w:val="17"/>
                <w:b w:val="1"/>
                <w:bCs w:val="1"/>
                <w:color w:val="auto"/>
              </w:rPr>
              <w:t>Instruments</w:t>
            </w:r>
          </w:p>
        </w:tc>
        <w:tc>
          <w:tcPr>
            <w:tcW w:w="240" w:type="dxa"/>
            <w:vAlign w:val="bottom"/>
            <w:tcBorders>
              <w:bottom w:val="single" w:sz="8" w:color="auto"/>
            </w:tcBorders>
            <w:shd w:val="clear" w:color="auto" w:fill="D8D8D8"/>
          </w:tcPr>
          <w:p>
            <w:pPr>
              <w:spacing w:after="0"/>
              <w:rPr>
                <w:sz w:val="19"/>
                <w:szCs w:val="19"/>
                <w:color w:val="auto"/>
              </w:rPr>
            </w:pPr>
          </w:p>
        </w:tc>
        <w:tc>
          <w:tcPr>
            <w:tcW w:w="1160" w:type="dxa"/>
            <w:vAlign w:val="bottom"/>
            <w:tcBorders>
              <w:bottom w:val="single" w:sz="8" w:color="auto"/>
            </w:tcBorders>
            <w:vMerge w:val="continue"/>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Balance at June 30, 2026</w:t>
            </w: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1,499</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95"/>
              <w:spacing w:after="0"/>
              <w:rPr>
                <w:sz w:val="20"/>
                <w:szCs w:val="20"/>
                <w:color w:val="auto"/>
              </w:rPr>
            </w:pPr>
            <w:r>
              <w:rPr>
                <w:rFonts w:ascii="Arial" w:cs="Arial" w:eastAsia="Arial" w:hAnsi="Arial"/>
                <w:sz w:val="17"/>
                <w:szCs w:val="17"/>
                <w:color w:val="auto"/>
              </w:rPr>
              <w:t>— $</w:t>
            </w:r>
          </w:p>
        </w:tc>
        <w:tc>
          <w:tcPr>
            <w:tcW w:w="1100" w:type="dxa"/>
            <w:vAlign w:val="bottom"/>
          </w:tcPr>
          <w:p>
            <w:pPr>
              <w:jc w:val="right"/>
              <w:spacing w:after="0"/>
              <w:rPr>
                <w:sz w:val="20"/>
                <w:szCs w:val="20"/>
                <w:color w:val="auto"/>
              </w:rPr>
            </w:pPr>
            <w:r>
              <w:rPr>
                <w:rFonts w:ascii="Arial" w:cs="Arial" w:eastAsia="Arial" w:hAnsi="Arial"/>
                <w:sz w:val="17"/>
                <w:szCs w:val="17"/>
                <w:color w:val="auto"/>
              </w:rPr>
              <w:t>1,544</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(1,932)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11,988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10,056</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7"/>
                <w:szCs w:val="17"/>
                <w:color w:val="auto"/>
              </w:rPr>
              <w:t>(Gain) loss reclassified to net income</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1,698</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(2,710)</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(2,710)</w:t>
            </w:r>
          </w:p>
        </w:tc>
        <w:tc>
          <w:tcPr>
            <w:tcW w:w="0" w:type="dxa"/>
            <w:vAlign w:val="bottom"/>
          </w:tcPr>
          <w:p>
            <w:pPr>
              <w:spacing w:after="0"/>
              <w:rPr>
                <w:sz w:val="1"/>
                <w:szCs w:val="1"/>
                <w:color w:val="auto"/>
              </w:rPr>
            </w:pPr>
          </w:p>
        </w:tc>
      </w:tr>
      <w:tr>
        <w:trPr>
          <w:trHeight w:val="22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8,747</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8,513</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September 30, 2026</w:t>
            </w: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10,246</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10,057</w:t>
            </w:r>
          </w:p>
        </w:tc>
        <w:tc>
          <w:tcPr>
            <w:tcW w:w="0" w:type="dxa"/>
            <w:vAlign w:val="bottom"/>
          </w:tcPr>
          <w:p>
            <w:pPr>
              <w:spacing w:after="0"/>
              <w:rPr>
                <w:sz w:val="1"/>
                <w:szCs w:val="1"/>
                <w:color w:val="auto"/>
              </w:rPr>
            </w:pPr>
          </w:p>
        </w:tc>
      </w:tr>
      <w:tr>
        <w:trPr>
          <w:trHeight w:val="457"/>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Balance at June 30, 2025</w:t>
            </w: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680"/>
              <w:spacing w:after="0"/>
              <w:rPr>
                <w:sz w:val="20"/>
                <w:szCs w:val="20"/>
                <w:color w:val="auto"/>
              </w:rPr>
            </w:pPr>
            <w:r>
              <w:rPr>
                <w:rFonts w:ascii="Arial" w:cs="Arial" w:eastAsia="Arial" w:hAnsi="Arial"/>
                <w:sz w:val="17"/>
                <w:szCs w:val="17"/>
                <w:color w:val="auto"/>
              </w:rPr>
              <w:t>— $</w:t>
            </w:r>
          </w:p>
        </w:tc>
        <w:tc>
          <w:tcPr>
            <w:tcW w:w="1240" w:type="dxa"/>
            <w:vAlign w:val="bottom"/>
          </w:tcPr>
          <w:p>
            <w:pPr>
              <w:jc w:val="right"/>
              <w:spacing w:after="0"/>
              <w:rPr>
                <w:sz w:val="20"/>
                <w:szCs w:val="20"/>
                <w:color w:val="auto"/>
              </w:rPr>
            </w:pPr>
            <w:r>
              <w:rPr>
                <w:rFonts w:ascii="Arial" w:cs="Arial" w:eastAsia="Arial" w:hAnsi="Arial"/>
                <w:sz w:val="17"/>
                <w:szCs w:val="17"/>
                <w:color w:val="auto"/>
              </w:rPr>
              <w:t>204</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(928)</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4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7"/>
                <w:szCs w:val="17"/>
                <w:color w:val="auto"/>
              </w:rPr>
              <w:t>(Gain) loss reclassified to net income</w:t>
            </w:r>
          </w:p>
        </w:tc>
        <w:tc>
          <w:tcPr>
            <w:tcW w:w="4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2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September 30, 2025</w:t>
            </w: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2"/>
          </w:tcPr>
          <w:p>
            <w:pPr>
              <w:ind w:left="680"/>
              <w:spacing w:after="0"/>
              <w:rPr>
                <w:sz w:val="20"/>
                <w:szCs w:val="20"/>
                <w:color w:val="auto"/>
              </w:rPr>
            </w:pPr>
            <w:r>
              <w:rPr>
                <w:rFonts w:ascii="Arial" w:cs="Arial" w:eastAsia="Arial" w:hAnsi="Arial"/>
                <w:sz w:val="17"/>
                <w:szCs w:val="17"/>
                <w:color w:val="auto"/>
              </w:rPr>
              <w:t>—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4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2025</w:t>
            </w: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680"/>
              <w:spacing w:after="0"/>
              <w:rPr>
                <w:sz w:val="20"/>
                <w:szCs w:val="20"/>
                <w:color w:val="auto"/>
              </w:rPr>
            </w:pPr>
            <w:r>
              <w:rPr>
                <w:rFonts w:ascii="Arial" w:cs="Arial" w:eastAsia="Arial" w:hAnsi="Arial"/>
                <w:sz w:val="17"/>
                <w:szCs w:val="17"/>
                <w:color w:val="auto"/>
              </w:rPr>
              <w:t>— $</w:t>
            </w:r>
          </w:p>
        </w:tc>
        <w:tc>
          <w:tcPr>
            <w:tcW w:w="1240" w:type="dxa"/>
            <w:vAlign w:val="bottom"/>
          </w:tcPr>
          <w:p>
            <w:pPr>
              <w:jc w:val="right"/>
              <w:spacing w:after="0"/>
              <w:rPr>
                <w:sz w:val="20"/>
                <w:szCs w:val="20"/>
                <w:color w:val="auto"/>
              </w:rPr>
            </w:pPr>
            <w:r>
              <w:rPr>
                <w:rFonts w:ascii="Arial" w:cs="Arial" w:eastAsia="Arial" w:hAnsi="Arial"/>
                <w:sz w:val="17"/>
                <w:szCs w:val="17"/>
                <w:color w:val="auto"/>
              </w:rPr>
              <w:t>(989)</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(838)</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(1,827)</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(4,211)</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16,148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11,937</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7"/>
                <w:szCs w:val="17"/>
                <w:color w:val="auto"/>
              </w:rPr>
              <w:t>(Gain) loss reclassified to net income</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4,022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(1,439)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838</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3,421</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(3,474)</w:t>
            </w:r>
          </w:p>
        </w:tc>
        <w:tc>
          <w:tcPr>
            <w:tcW w:w="0" w:type="dxa"/>
            <w:vAlign w:val="bottom"/>
          </w:tcPr>
          <w:p>
            <w:pPr>
              <w:spacing w:after="0"/>
              <w:rPr>
                <w:sz w:val="1"/>
                <w:szCs w:val="1"/>
                <w:color w:val="auto"/>
              </w:rPr>
            </w:pPr>
          </w:p>
        </w:tc>
      </w:tr>
      <w:tr>
        <w:trPr>
          <w:trHeight w:val="22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11,235</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11,884</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September 30, 2026</w:t>
            </w: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10,246</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10,057</w:t>
            </w:r>
          </w:p>
        </w:tc>
        <w:tc>
          <w:tcPr>
            <w:tcW w:w="0" w:type="dxa"/>
            <w:vAlign w:val="bottom"/>
          </w:tcPr>
          <w:p>
            <w:pPr>
              <w:spacing w:after="0"/>
              <w:rPr>
                <w:sz w:val="1"/>
                <w:szCs w:val="1"/>
                <w:color w:val="auto"/>
              </w:rPr>
            </w:pPr>
          </w:p>
        </w:tc>
      </w:tr>
      <w:tr>
        <w:trPr>
          <w:trHeight w:val="457"/>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2024</w:t>
            </w: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680"/>
              <w:spacing w:after="0"/>
              <w:rPr>
                <w:sz w:val="20"/>
                <w:szCs w:val="20"/>
                <w:color w:val="auto"/>
              </w:rPr>
            </w:pPr>
            <w:r>
              <w:rPr>
                <w:rFonts w:ascii="Arial" w:cs="Arial" w:eastAsia="Arial" w:hAnsi="Arial"/>
                <w:sz w:val="17"/>
                <w:szCs w:val="17"/>
                <w:color w:val="auto"/>
              </w:rPr>
              <w:t>— $</w:t>
            </w:r>
          </w:p>
        </w:tc>
        <w:tc>
          <w:tcPr>
            <w:tcW w:w="1240" w:type="dxa"/>
            <w:vAlign w:val="bottom"/>
          </w:tcPr>
          <w:p>
            <w:pPr>
              <w:jc w:val="right"/>
              <w:spacing w:after="0"/>
              <w:rPr>
                <w:sz w:val="20"/>
                <w:szCs w:val="20"/>
                <w:color w:val="auto"/>
              </w:rPr>
            </w:pPr>
            <w:r>
              <w:rPr>
                <w:rFonts w:ascii="Arial" w:cs="Arial" w:eastAsia="Arial" w:hAnsi="Arial"/>
                <w:sz w:val="17"/>
                <w:szCs w:val="17"/>
                <w:color w:val="auto"/>
              </w:rPr>
              <w:t>2,896</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(928)</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1,968</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4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(1,415)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7"/>
                <w:szCs w:val="17"/>
                <w:color w:val="auto"/>
              </w:rPr>
              <w:t>(Gain) loss reclassified to net income</w:t>
            </w:r>
          </w:p>
        </w:tc>
        <w:tc>
          <w:tcPr>
            <w:tcW w:w="4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(3,053)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(3,053)</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w:t>
            </w:r>
          </w:p>
        </w:tc>
        <w:tc>
          <w:tcPr>
            <w:tcW w:w="0" w:type="dxa"/>
            <w:vAlign w:val="bottom"/>
          </w:tcPr>
          <w:p>
            <w:pPr>
              <w:spacing w:after="0"/>
              <w:rPr>
                <w:sz w:val="1"/>
                <w:szCs w:val="1"/>
                <w:color w:val="auto"/>
              </w:rPr>
            </w:pPr>
          </w:p>
        </w:tc>
      </w:tr>
      <w:tr>
        <w:trPr>
          <w:trHeight w:val="22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(3,384)</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(3,384)</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September 30, 2025</w:t>
            </w: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2"/>
          </w:tcPr>
          <w:p>
            <w:pPr>
              <w:ind w:left="680"/>
              <w:spacing w:after="0"/>
              <w:rPr>
                <w:sz w:val="20"/>
                <w:szCs w:val="20"/>
                <w:color w:val="auto"/>
              </w:rPr>
            </w:pPr>
            <w:r>
              <w:rPr>
                <w:rFonts w:ascii="Arial" w:cs="Arial" w:eastAsia="Arial" w:hAnsi="Arial"/>
                <w:sz w:val="17"/>
                <w:szCs w:val="17"/>
                <w:color w:val="auto"/>
              </w:rPr>
              <w:t>—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amounts reclassified out of AOCI:</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Borders>
              <w:top w:val="single" w:sz="8" w:color="auto"/>
            </w:tcBorders>
            <w:shd w:val="clear" w:color="auto" w:fill="D8D8D8"/>
          </w:tcPr>
          <w:p>
            <w:pPr>
              <w:spacing w:after="0"/>
              <w:rPr>
                <w:sz w:val="16"/>
                <w:szCs w:val="16"/>
                <w:color w:val="auto"/>
              </w:rPr>
            </w:pPr>
          </w:p>
        </w:tc>
        <w:tc>
          <w:tcPr>
            <w:tcW w:w="200" w:type="dxa"/>
            <w:vAlign w:val="bottom"/>
            <w:tcBorders>
              <w:top w:val="single" w:sz="8" w:color="auto"/>
            </w:tcBorders>
            <w:shd w:val="clear" w:color="auto" w:fill="D8D8D8"/>
          </w:tcPr>
          <w:p>
            <w:pPr>
              <w:spacing w:after="0"/>
              <w:rPr>
                <w:sz w:val="16"/>
                <w:szCs w:val="16"/>
                <w:color w:val="auto"/>
              </w:rPr>
            </w:pPr>
          </w:p>
        </w:tc>
        <w:tc>
          <w:tcPr>
            <w:tcW w:w="2220" w:type="dxa"/>
            <w:vAlign w:val="bottom"/>
            <w:tcBorders>
              <w:top w:val="single" w:sz="8" w:color="auto"/>
            </w:tcBorders>
            <w:gridSpan w:val="4"/>
            <w:shd w:val="clear" w:color="auto" w:fill="D8D8D8"/>
          </w:tcPr>
          <w:p>
            <w:pPr>
              <w:jc w:val="center"/>
              <w:ind w:right="320"/>
              <w:spacing w:after="0" w:line="189" w:lineRule="exact"/>
              <w:rPr>
                <w:sz w:val="20"/>
                <w:szCs w:val="20"/>
                <w:color w:val="auto"/>
              </w:rPr>
            </w:pPr>
            <w:r>
              <w:rPr>
                <w:rFonts w:ascii="Arial" w:cs="Arial" w:eastAsia="Arial" w:hAnsi="Arial"/>
                <w:sz w:val="17"/>
                <w:szCs w:val="17"/>
                <w:b w:val="1"/>
                <w:bCs w:val="1"/>
                <w:color w:val="auto"/>
              </w:rPr>
              <w:t>Three Months Ended</w:t>
            </w:r>
          </w:p>
        </w:tc>
        <w:tc>
          <w:tcPr>
            <w:tcW w:w="220" w:type="dxa"/>
            <w:vAlign w:val="bottom"/>
            <w:tcBorders>
              <w:top w:val="single" w:sz="8" w:color="auto"/>
            </w:tcBorders>
            <w:shd w:val="clear" w:color="auto" w:fill="D8D8D8"/>
          </w:tcPr>
          <w:p>
            <w:pPr>
              <w:spacing w:after="0"/>
              <w:rPr>
                <w:sz w:val="16"/>
                <w:szCs w:val="16"/>
                <w:color w:val="auto"/>
              </w:rPr>
            </w:pPr>
          </w:p>
        </w:tc>
        <w:tc>
          <w:tcPr>
            <w:tcW w:w="2100" w:type="dxa"/>
            <w:vAlign w:val="bottom"/>
            <w:tcBorders>
              <w:top w:val="single" w:sz="8" w:color="auto"/>
            </w:tcBorders>
            <w:gridSpan w:val="3"/>
            <w:shd w:val="clear" w:color="auto" w:fill="D8D8D8"/>
          </w:tcPr>
          <w:p>
            <w:pPr>
              <w:jc w:val="right"/>
              <w:ind w:right="295"/>
              <w:spacing w:after="0" w:line="189" w:lineRule="exact"/>
              <w:rPr>
                <w:sz w:val="20"/>
                <w:szCs w:val="20"/>
                <w:color w:val="auto"/>
              </w:rPr>
            </w:pPr>
            <w:r>
              <w:rPr>
                <w:rFonts w:ascii="Arial" w:cs="Arial" w:eastAsia="Arial" w:hAnsi="Arial"/>
                <w:sz w:val="17"/>
                <w:szCs w:val="17"/>
                <w:b w:val="1"/>
                <w:bCs w:val="1"/>
                <w:color w:val="auto"/>
              </w:rPr>
              <w:t>Nine Months Ended</w:t>
            </w:r>
          </w:p>
        </w:tc>
        <w:tc>
          <w:tcPr>
            <w:tcW w:w="2760" w:type="dxa"/>
            <w:vAlign w:val="bottom"/>
            <w:tcBorders>
              <w:top w:val="single" w:sz="8" w:color="auto"/>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2220" w:type="dxa"/>
            <w:vAlign w:val="bottom"/>
            <w:gridSpan w:val="4"/>
            <w:shd w:val="clear" w:color="auto" w:fill="D8D8D8"/>
          </w:tcPr>
          <w:p>
            <w:pPr>
              <w:jc w:val="center"/>
              <w:ind w:right="32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shd w:val="clear" w:color="auto" w:fill="D8D8D8"/>
          </w:tcPr>
          <w:p>
            <w:pPr>
              <w:spacing w:after="0"/>
              <w:rPr>
                <w:sz w:val="19"/>
                <w:szCs w:val="19"/>
                <w:color w:val="auto"/>
              </w:rPr>
            </w:pPr>
          </w:p>
        </w:tc>
        <w:tc>
          <w:tcPr>
            <w:tcW w:w="2100" w:type="dxa"/>
            <w:vAlign w:val="bottom"/>
            <w:gridSpan w:val="3"/>
            <w:shd w:val="clear" w:color="auto" w:fill="D8D8D8"/>
          </w:tcPr>
          <w:p>
            <w:pPr>
              <w:jc w:val="right"/>
              <w:ind w:right="495"/>
              <w:spacing w:after="0"/>
              <w:rPr>
                <w:sz w:val="20"/>
                <w:szCs w:val="20"/>
                <w:color w:val="auto"/>
              </w:rPr>
            </w:pPr>
            <w:r>
              <w:rPr>
                <w:rFonts w:ascii="Arial" w:cs="Arial" w:eastAsia="Arial" w:hAnsi="Arial"/>
                <w:sz w:val="17"/>
                <w:szCs w:val="17"/>
                <w:b w:val="1"/>
                <w:bCs w:val="1"/>
                <w:color w:val="auto"/>
              </w:rPr>
              <w:t>September 30,</w:t>
            </w:r>
          </w:p>
        </w:tc>
        <w:tc>
          <w:tcPr>
            <w:tcW w:w="2760" w:type="dxa"/>
            <w:vAlign w:val="bottom"/>
            <w:shd w:val="clear" w:color="auto" w:fill="D8D8D8"/>
          </w:tcPr>
          <w:p>
            <w:pPr>
              <w:ind w:left="340"/>
              <w:spacing w:after="0"/>
              <w:rPr>
                <w:sz w:val="20"/>
                <w:szCs w:val="20"/>
                <w:color w:val="auto"/>
              </w:rPr>
            </w:pPr>
            <w:r>
              <w:rPr>
                <w:rFonts w:ascii="Arial" w:cs="Arial" w:eastAsia="Arial" w:hAnsi="Arial"/>
                <w:sz w:val="17"/>
                <w:szCs w:val="17"/>
                <w:b w:val="1"/>
                <w:bCs w:val="1"/>
                <w:color w:val="auto"/>
              </w:rPr>
              <w:t>Affected line items in the</w:t>
            </w:r>
          </w:p>
        </w:tc>
        <w:tc>
          <w:tcPr>
            <w:tcW w:w="0" w:type="dxa"/>
            <w:vAlign w:val="bottom"/>
          </w:tcPr>
          <w:p>
            <w:pPr>
              <w:spacing w:after="0"/>
              <w:rPr>
                <w:sz w:val="1"/>
                <w:szCs w:val="1"/>
                <w:color w:val="auto"/>
              </w:rPr>
            </w:pPr>
          </w:p>
        </w:tc>
      </w:tr>
      <w:tr>
        <w:trPr>
          <w:trHeight w:val="223"/>
        </w:trPr>
        <w:tc>
          <w:tcPr>
            <w:tcW w:w="374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00" w:type="dxa"/>
            <w:vAlign w:val="bottom"/>
            <w:tcBorders>
              <w:top w:val="single" w:sz="8" w:color="auto"/>
              <w:bottom w:val="single" w:sz="8" w:color="auto"/>
            </w:tcBorders>
            <w:shd w:val="clear" w:color="auto" w:fill="D8D8D8"/>
          </w:tcPr>
          <w:p>
            <w:pPr>
              <w:spacing w:after="0"/>
              <w:rPr>
                <w:sz w:val="19"/>
                <w:szCs w:val="19"/>
                <w:color w:val="auto"/>
              </w:rPr>
            </w:pPr>
          </w:p>
        </w:tc>
        <w:tc>
          <w:tcPr>
            <w:tcW w:w="960" w:type="dxa"/>
            <w:vAlign w:val="bottom"/>
            <w:tcBorders>
              <w:top w:val="single" w:sz="8" w:color="auto"/>
              <w:bottom w:val="single" w:sz="8" w:color="auto"/>
            </w:tcBorders>
            <w:shd w:val="clear" w:color="auto" w:fill="D8D8D8"/>
          </w:tcPr>
          <w:p>
            <w:pPr>
              <w:jc w:val="right"/>
              <w:ind w:right="335"/>
              <w:spacing w:after="0"/>
              <w:rPr>
                <w:sz w:val="20"/>
                <w:szCs w:val="20"/>
                <w:color w:val="auto"/>
              </w:rPr>
            </w:pPr>
            <w:r>
              <w:rPr>
                <w:rFonts w:ascii="Arial" w:cs="Arial" w:eastAsia="Arial" w:hAnsi="Arial"/>
                <w:sz w:val="17"/>
                <w:szCs w:val="17"/>
                <w:b w:val="1"/>
                <w:bCs w:val="1"/>
                <w:color w:val="auto"/>
              </w:rPr>
              <w:t>2026</w:t>
            </w:r>
          </w:p>
        </w:tc>
        <w:tc>
          <w:tcPr>
            <w:tcW w:w="280" w:type="dxa"/>
            <w:vAlign w:val="bottom"/>
            <w:tcBorders>
              <w:top w:val="single" w:sz="8" w:color="auto"/>
              <w:bottom w:val="single" w:sz="8" w:color="auto"/>
            </w:tcBorders>
            <w:shd w:val="clear" w:color="auto" w:fill="D8D8D8"/>
          </w:tcPr>
          <w:p>
            <w:pPr>
              <w:spacing w:after="0"/>
              <w:rPr>
                <w:sz w:val="19"/>
                <w:szCs w:val="19"/>
                <w:color w:val="auto"/>
              </w:rPr>
            </w:pPr>
          </w:p>
        </w:tc>
        <w:tc>
          <w:tcPr>
            <w:tcW w:w="860" w:type="dxa"/>
            <w:vAlign w:val="bottom"/>
            <w:tcBorders>
              <w:top w:val="single" w:sz="8" w:color="auto"/>
              <w:bottom w:val="single" w:sz="8" w:color="auto"/>
            </w:tcBorders>
            <w:shd w:val="clear" w:color="auto" w:fill="D8D8D8"/>
          </w:tcPr>
          <w:p>
            <w:pPr>
              <w:jc w:val="right"/>
              <w:ind w:right="275"/>
              <w:spacing w:after="0"/>
              <w:rPr>
                <w:sz w:val="20"/>
                <w:szCs w:val="20"/>
                <w:color w:val="auto"/>
              </w:rPr>
            </w:pPr>
            <w:r>
              <w:rPr>
                <w:rFonts w:ascii="Arial" w:cs="Arial" w:eastAsia="Arial" w:hAnsi="Arial"/>
                <w:sz w:val="17"/>
                <w:szCs w:val="17"/>
                <w:color w:val="auto"/>
              </w:rPr>
              <w:t>2025</w:t>
            </w:r>
          </w:p>
        </w:tc>
        <w:tc>
          <w:tcPr>
            <w:tcW w:w="120" w:type="dxa"/>
            <w:vAlign w:val="bottom"/>
            <w:tcBorders>
              <w:top w:val="single" w:sz="8" w:color="D8D8D8"/>
              <w:bottom w:val="single" w:sz="8" w:color="auto"/>
            </w:tcBorders>
            <w:shd w:val="clear" w:color="auto" w:fill="D8D8D8"/>
          </w:tcPr>
          <w:p>
            <w:pPr>
              <w:spacing w:after="0"/>
              <w:rPr>
                <w:sz w:val="19"/>
                <w:szCs w:val="19"/>
                <w:color w:val="auto"/>
              </w:rPr>
            </w:pPr>
          </w:p>
        </w:tc>
        <w:tc>
          <w:tcPr>
            <w:tcW w:w="220" w:type="dxa"/>
            <w:vAlign w:val="bottom"/>
            <w:tcBorders>
              <w:top w:val="single" w:sz="8" w:color="auto"/>
              <w:bottom w:val="single" w:sz="8" w:color="auto"/>
            </w:tcBorders>
            <w:shd w:val="clear" w:color="auto" w:fill="D8D8D8"/>
          </w:tcPr>
          <w:p>
            <w:pPr>
              <w:spacing w:after="0"/>
              <w:rPr>
                <w:sz w:val="19"/>
                <w:szCs w:val="19"/>
                <w:color w:val="auto"/>
              </w:rPr>
            </w:pPr>
          </w:p>
        </w:tc>
        <w:tc>
          <w:tcPr>
            <w:tcW w:w="920" w:type="dxa"/>
            <w:vAlign w:val="bottom"/>
            <w:tcBorders>
              <w:top w:val="single" w:sz="8" w:color="auto"/>
              <w:bottom w:val="single" w:sz="8" w:color="auto"/>
            </w:tcBorders>
            <w:shd w:val="clear" w:color="auto" w:fill="D8D8D8"/>
          </w:tcPr>
          <w:p>
            <w:pPr>
              <w:jc w:val="right"/>
              <w:ind w:right="315"/>
              <w:spacing w:after="0"/>
              <w:rPr>
                <w:sz w:val="20"/>
                <w:szCs w:val="20"/>
                <w:color w:val="auto"/>
              </w:rPr>
            </w:pPr>
            <w:r>
              <w:rPr>
                <w:rFonts w:ascii="Arial" w:cs="Arial" w:eastAsia="Arial" w:hAnsi="Arial"/>
                <w:sz w:val="17"/>
                <w:szCs w:val="17"/>
                <w:b w:val="1"/>
                <w:bCs w:val="1"/>
                <w:color w:val="auto"/>
              </w:rPr>
              <w:t>2026</w:t>
            </w:r>
          </w:p>
        </w:tc>
        <w:tc>
          <w:tcPr>
            <w:tcW w:w="300" w:type="dxa"/>
            <w:vAlign w:val="bottom"/>
            <w:tcBorders>
              <w:top w:val="single" w:sz="8" w:color="auto"/>
              <w:bottom w:val="single" w:sz="8" w:color="auto"/>
            </w:tcBorders>
            <w:shd w:val="clear" w:color="auto" w:fill="D8D8D8"/>
          </w:tcPr>
          <w:p>
            <w:pPr>
              <w:spacing w:after="0"/>
              <w:rPr>
                <w:sz w:val="19"/>
                <w:szCs w:val="19"/>
                <w:color w:val="auto"/>
              </w:rPr>
            </w:pPr>
          </w:p>
        </w:tc>
        <w:tc>
          <w:tcPr>
            <w:tcW w:w="880" w:type="dxa"/>
            <w:vAlign w:val="bottom"/>
            <w:tcBorders>
              <w:top w:val="single" w:sz="8" w:color="auto"/>
              <w:bottom w:val="single" w:sz="8" w:color="auto"/>
            </w:tcBorders>
            <w:shd w:val="clear" w:color="auto" w:fill="D8D8D8"/>
          </w:tcPr>
          <w:p>
            <w:pPr>
              <w:jc w:val="right"/>
              <w:ind w:right="295"/>
              <w:spacing w:after="0"/>
              <w:rPr>
                <w:sz w:val="20"/>
                <w:szCs w:val="20"/>
                <w:color w:val="auto"/>
              </w:rPr>
            </w:pPr>
            <w:r>
              <w:rPr>
                <w:rFonts w:ascii="Arial" w:cs="Arial" w:eastAsia="Arial" w:hAnsi="Arial"/>
                <w:sz w:val="17"/>
                <w:szCs w:val="17"/>
                <w:color w:val="auto"/>
              </w:rPr>
              <w:t>2025</w:t>
            </w:r>
          </w:p>
        </w:tc>
        <w:tc>
          <w:tcPr>
            <w:tcW w:w="2760" w:type="dxa"/>
            <w:vAlign w:val="bottom"/>
            <w:tcBorders>
              <w:top w:val="single" w:sz="8" w:color="D8D8D8"/>
              <w:bottom w:val="single" w:sz="8" w:color="auto"/>
            </w:tcBorders>
            <w:shd w:val="clear" w:color="auto" w:fill="D8D8D8"/>
          </w:tcPr>
          <w:p>
            <w:pPr>
              <w:jc w:val="center"/>
              <w:spacing w:after="0"/>
              <w:rPr>
                <w:sz w:val="20"/>
                <w:szCs w:val="20"/>
                <w:color w:val="auto"/>
              </w:rPr>
            </w:pPr>
            <w:r>
              <w:rPr>
                <w:rFonts w:ascii="Arial" w:cs="Arial" w:eastAsia="Arial" w:hAnsi="Arial"/>
                <w:sz w:val="17"/>
                <w:szCs w:val="17"/>
                <w:b w:val="1"/>
                <w:bCs w:val="1"/>
                <w:color w:val="auto"/>
              </w:rPr>
              <w:t>Statements of Operations</w:t>
            </w: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7"/>
                <w:szCs w:val="17"/>
                <w:color w:val="auto"/>
              </w:rPr>
              <w:t>AFS securities: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7"/>
                <w:szCs w:val="17"/>
                <w:color w:val="auto"/>
              </w:rPr>
              <w:t xml:space="preserve">(Gains) losses on AFS fixed maturity securities </w:t>
            </w:r>
            <w:r>
              <w:rPr>
                <w:rFonts w:ascii="Arial" w:cs="Arial" w:eastAsia="Arial" w:hAnsi="Arial"/>
                <w:sz w:val="17"/>
                <w:szCs w:val="17"/>
                <w:b w:val="1"/>
                <w:bCs w:val="1"/>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b w:val="1"/>
                <w:bCs w:val="1"/>
                <w:color w:val="auto"/>
              </w:rPr>
              <w:t>1,165</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ind w:right="35"/>
              <w:spacing w:after="0"/>
              <w:rPr>
                <w:sz w:val="20"/>
                <w:szCs w:val="20"/>
                <w:color w:val="auto"/>
              </w:rPr>
            </w:pPr>
            <w:r>
              <w:rPr>
                <w:rFonts w:ascii="Arial" w:cs="Arial" w:eastAsia="Arial" w:hAnsi="Arial"/>
                <w:sz w:val="17"/>
                <w:szCs w:val="17"/>
                <w:b w:val="1"/>
                <w:bCs w:val="1"/>
                <w:color w:val="auto"/>
              </w:rPr>
              <w:t>3,489</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760" w:type="dxa"/>
            <w:vAlign w:val="bottom"/>
          </w:tcPr>
          <w:p>
            <w:pPr>
              <w:jc w:val="center"/>
              <w:spacing w:after="0"/>
              <w:rPr>
                <w:sz w:val="20"/>
                <w:szCs w:val="20"/>
                <w:color w:val="auto"/>
              </w:rPr>
            </w:pPr>
            <w:r>
              <w:rPr>
                <w:rFonts w:ascii="Arial" w:cs="Arial" w:eastAsia="Arial" w:hAnsi="Arial"/>
                <w:sz w:val="17"/>
                <w:szCs w:val="17"/>
                <w:color w:val="auto"/>
              </w:rPr>
              <w:t>Investment gain (loss), net</w:t>
            </w:r>
          </w:p>
        </w:tc>
        <w:tc>
          <w:tcPr>
            <w:tcW w:w="0" w:type="dxa"/>
            <w:vAlign w:val="bottom"/>
          </w:tcPr>
          <w:p>
            <w:pPr>
              <w:spacing w:after="0"/>
              <w:rPr>
                <w:sz w:val="1"/>
                <w:szCs w:val="1"/>
                <w:color w:val="auto"/>
              </w:rPr>
            </w:pPr>
          </w:p>
        </w:tc>
      </w:tr>
      <w:tr>
        <w:trPr>
          <w:trHeight w:val="171"/>
        </w:trPr>
        <w:tc>
          <w:tcPr>
            <w:tcW w:w="3740" w:type="dxa"/>
            <w:vAlign w:val="bottom"/>
          </w:tcPr>
          <w:p>
            <w:pPr>
              <w:ind w:left="140"/>
              <w:spacing w:after="0" w:line="171" w:lineRule="exact"/>
              <w:rPr>
                <w:sz w:val="20"/>
                <w:szCs w:val="20"/>
                <w:color w:val="auto"/>
              </w:rPr>
            </w:pPr>
            <w:r>
              <w:rPr>
                <w:rFonts w:ascii="Arial" w:cs="Arial" w:eastAsia="Arial" w:hAnsi="Arial"/>
                <w:sz w:val="17"/>
                <w:szCs w:val="17"/>
                <w:color w:val="auto"/>
              </w:rPr>
              <w:t>(Gains) losses on short term investments and</w:t>
            </w:r>
          </w:p>
        </w:tc>
        <w:tc>
          <w:tcPr>
            <w:tcW w:w="200" w:type="dxa"/>
            <w:vAlign w:val="bottom"/>
          </w:tcPr>
          <w:p>
            <w:pPr>
              <w:spacing w:after="0"/>
              <w:rPr>
                <w:sz w:val="14"/>
                <w:szCs w:val="14"/>
                <w:color w:val="auto"/>
              </w:rPr>
            </w:pPr>
          </w:p>
        </w:tc>
        <w:tc>
          <w:tcPr>
            <w:tcW w:w="9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533</w:t>
            </w:r>
          </w:p>
        </w:tc>
        <w:tc>
          <w:tcPr>
            <w:tcW w:w="28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533</w:t>
            </w:r>
          </w:p>
        </w:tc>
        <w:tc>
          <w:tcPr>
            <w:tcW w:w="3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760" w:type="dxa"/>
            <w:vAlign w:val="bottom"/>
            <w:vMerge w:val="restart"/>
          </w:tcPr>
          <w:p>
            <w:pPr>
              <w:jc w:val="center"/>
              <w:spacing w:after="0"/>
              <w:rPr>
                <w:sz w:val="20"/>
                <w:szCs w:val="20"/>
                <w:color w:val="auto"/>
              </w:rPr>
            </w:pPr>
            <w:r>
              <w:rPr>
                <w:rFonts w:ascii="Arial" w:cs="Arial" w:eastAsia="Arial" w:hAnsi="Arial"/>
                <w:sz w:val="17"/>
                <w:szCs w:val="17"/>
                <w:color w:val="auto"/>
              </w:rPr>
              <w:t>Net insurance investment income</w:t>
            </w:r>
          </w:p>
        </w:tc>
        <w:tc>
          <w:tcPr>
            <w:tcW w:w="0" w:type="dxa"/>
            <w:vAlign w:val="bottom"/>
          </w:tcPr>
          <w:p>
            <w:pPr>
              <w:spacing w:after="0"/>
              <w:rPr>
                <w:sz w:val="1"/>
                <w:szCs w:val="1"/>
                <w:color w:val="auto"/>
              </w:rPr>
            </w:pPr>
          </w:p>
        </w:tc>
      </w:tr>
      <w:tr>
        <w:trPr>
          <w:trHeight w:val="221"/>
        </w:trPr>
        <w:tc>
          <w:tcPr>
            <w:tcW w:w="3740" w:type="dxa"/>
            <w:vAlign w:val="bottom"/>
          </w:tcPr>
          <w:p>
            <w:pPr>
              <w:ind w:left="140"/>
              <w:spacing w:after="0"/>
              <w:rPr>
                <w:sz w:val="20"/>
                <w:szCs w:val="20"/>
                <w:color w:val="auto"/>
              </w:rPr>
            </w:pPr>
            <w:r>
              <w:rPr>
                <w:rFonts w:ascii="Arial" w:cs="Arial" w:eastAsia="Arial" w:hAnsi="Arial"/>
                <w:sz w:val="17"/>
                <w:szCs w:val="17"/>
                <w:color w:val="auto"/>
              </w:rPr>
              <w:t>cash equivalents</w:t>
            </w: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7"/>
                <w:szCs w:val="17"/>
                <w:color w:val="auto"/>
              </w:rPr>
              <w:t>Income tax expense (benefit)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(430)</w:t>
            </w: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(997)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760" w:type="dxa"/>
            <w:vAlign w:val="bottom"/>
          </w:tcPr>
          <w:p>
            <w:pPr>
              <w:jc w:val="center"/>
              <w:spacing w:after="0"/>
              <w:rPr>
                <w:sz w:val="20"/>
                <w:szCs w:val="20"/>
                <w:color w:val="auto"/>
              </w:rPr>
            </w:pPr>
            <w:r>
              <w:rPr>
                <w:rFonts w:ascii="Arial" w:cs="Arial" w:eastAsia="Arial" w:hAnsi="Arial"/>
                <w:sz w:val="17"/>
                <w:szCs w:val="17"/>
                <w:color w:val="auto"/>
              </w:rPr>
              <w:t>Income tax expense (benefit)</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40"/>
              <w:spacing w:after="0"/>
              <w:rPr>
                <w:sz w:val="20"/>
                <w:szCs w:val="20"/>
                <w:color w:val="auto"/>
              </w:rPr>
            </w:pPr>
            <w:r>
              <w:rPr>
                <w:rFonts w:ascii="Arial" w:cs="Arial" w:eastAsia="Arial" w:hAnsi="Arial"/>
                <w:sz w:val="17"/>
                <w:szCs w:val="17"/>
                <w:color w:val="auto"/>
              </w:rPr>
              <w:t>(Gains) losses on cash flow hedges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(531)</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(1,439)</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(3,053)</w:t>
            </w:r>
          </w:p>
        </w:tc>
        <w:tc>
          <w:tcPr>
            <w:tcW w:w="2760" w:type="dxa"/>
            <w:vAlign w:val="bottom"/>
          </w:tcPr>
          <w:p>
            <w:pPr>
              <w:jc w:val="center"/>
              <w:spacing w:after="0"/>
              <w:rPr>
                <w:sz w:val="20"/>
                <w:szCs w:val="20"/>
                <w:color w:val="auto"/>
              </w:rPr>
            </w:pPr>
            <w:r>
              <w:rPr>
                <w:rFonts w:ascii="Arial" w:cs="Arial" w:eastAsia="Arial" w:hAnsi="Arial"/>
                <w:sz w:val="17"/>
                <w:szCs w:val="17"/>
                <w:color w:val="auto"/>
              </w:rPr>
              <w:t>Interest expense</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7"/>
                <w:szCs w:val="17"/>
                <w:color w:val="auto"/>
              </w:rPr>
              <w:t>Income tax expense (benefit)</w:t>
            </w: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b w:val="1"/>
                <w:bCs w:val="1"/>
                <w:color w:val="auto"/>
              </w:rPr>
              <w:t>123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b w:val="1"/>
                <w:bCs w:val="1"/>
                <w:color w:val="auto"/>
              </w:rPr>
              <w:t>339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734</w:t>
            </w:r>
          </w:p>
        </w:tc>
        <w:tc>
          <w:tcPr>
            <w:tcW w:w="2760" w:type="dxa"/>
            <w:vAlign w:val="bottom"/>
          </w:tcPr>
          <w:p>
            <w:pPr>
              <w:jc w:val="center"/>
              <w:spacing w:after="0"/>
              <w:rPr>
                <w:sz w:val="20"/>
                <w:szCs w:val="20"/>
                <w:color w:val="auto"/>
              </w:rPr>
            </w:pPr>
            <w:r>
              <w:rPr>
                <w:rFonts w:ascii="Arial" w:cs="Arial" w:eastAsia="Arial" w:hAnsi="Arial"/>
                <w:sz w:val="17"/>
                <w:szCs w:val="17"/>
                <w:color w:val="auto"/>
              </w:rPr>
              <w:t>Income tax expense (benefit)</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Arial" w:cs="Arial" w:eastAsia="Arial" w:hAnsi="Arial"/>
                <w:sz w:val="17"/>
                <w:szCs w:val="17"/>
                <w:color w:val="auto"/>
              </w:rPr>
              <w:t>Pension: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(Gains) losses on pension</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838</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Other income (loss), net</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reclassifications of (income) loss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860</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2,763</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(2,319)</w:t>
            </w:r>
          </w:p>
        </w:tc>
        <w:tc>
          <w:tcPr>
            <w:tcW w:w="2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60" w:hanging="446"/>
        <w:spacing w:after="0"/>
        <w:tabs>
          <w:tab w:leader="none" w:pos="49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40" w:name="page41"/>
    <w:bookmarkEnd w:id="40"/>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16.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Basic earnings (loss) per share (EPS) is computed by dividing net income (loss) available to common stockholders by the weighted-average number of common shares outstanding. Diluted EPS is computed after adjusting the numerator for the effects of securities issued by the Company that are convertible into common equity interests of a subsidiary and adjusting the denominator of the basic EPS computation for the effects of all potentially dilutive common shares. The dilutive effect of options and non-vested stock issued under stock-based compensation plans is computed using the treasury stock method. The dilutive effect of the redeemable preferred stock for common equity interests of Vantage is computed using the if-converted method.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the Company’s EPS calculations is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Borders>
              <w:top w:val="single" w:sz="8" w:color="auto"/>
            </w:tcBorders>
            <w:shd w:val="clear" w:color="auto" w:fill="D8D8D8"/>
          </w:tcPr>
          <w:p>
            <w:pPr>
              <w:spacing w:after="0"/>
              <w:rPr>
                <w:sz w:val="15"/>
                <w:szCs w:val="15"/>
                <w:color w:val="auto"/>
              </w:rPr>
            </w:pPr>
          </w:p>
        </w:tc>
        <w:tc>
          <w:tcPr>
            <w:tcW w:w="260" w:type="dxa"/>
            <w:vAlign w:val="bottom"/>
            <w:tcBorders>
              <w:top w:val="single" w:sz="8" w:color="auto"/>
            </w:tcBorders>
            <w:shd w:val="clear" w:color="auto" w:fill="D8D8D8"/>
          </w:tcPr>
          <w:p>
            <w:pPr>
              <w:spacing w:after="0"/>
              <w:rPr>
                <w:sz w:val="15"/>
                <w:szCs w:val="15"/>
                <w:color w:val="auto"/>
              </w:rPr>
            </w:pPr>
          </w:p>
        </w:tc>
        <w:tc>
          <w:tcPr>
            <w:tcW w:w="2380" w:type="dxa"/>
            <w:vAlign w:val="bottom"/>
            <w:tcBorders>
              <w:top w:val="single" w:sz="8" w:color="auto"/>
            </w:tcBorders>
            <w:gridSpan w:val="4"/>
            <w:shd w:val="clear" w:color="auto" w:fill="D8D8D8"/>
          </w:tcPr>
          <w:p>
            <w:pPr>
              <w:ind w:left="160"/>
              <w:spacing w:after="0" w:line="180" w:lineRule="exact"/>
              <w:rPr>
                <w:sz w:val="20"/>
                <w:szCs w:val="20"/>
                <w:color w:val="auto"/>
              </w:rPr>
            </w:pPr>
            <w:r>
              <w:rPr>
                <w:rFonts w:ascii="Arial" w:cs="Arial" w:eastAsia="Arial" w:hAnsi="Arial"/>
                <w:sz w:val="17"/>
                <w:szCs w:val="17"/>
                <w:b w:val="1"/>
                <w:bCs w:val="1"/>
                <w:color w:val="auto"/>
              </w:rPr>
              <w:t>Three Months Ended</w:t>
            </w:r>
          </w:p>
        </w:tc>
        <w:tc>
          <w:tcPr>
            <w:tcW w:w="280" w:type="dxa"/>
            <w:vAlign w:val="bottom"/>
            <w:tcBorders>
              <w:top w:val="single" w:sz="8" w:color="auto"/>
            </w:tcBorders>
            <w:shd w:val="clear" w:color="auto" w:fill="D8D8D8"/>
          </w:tcPr>
          <w:p>
            <w:pPr>
              <w:spacing w:after="0"/>
              <w:rPr>
                <w:sz w:val="15"/>
                <w:szCs w:val="15"/>
                <w:color w:val="auto"/>
              </w:rPr>
            </w:pPr>
          </w:p>
        </w:tc>
        <w:tc>
          <w:tcPr>
            <w:tcW w:w="2240" w:type="dxa"/>
            <w:vAlign w:val="bottom"/>
            <w:tcBorders>
              <w:top w:val="single" w:sz="8" w:color="auto"/>
            </w:tcBorders>
            <w:gridSpan w:val="3"/>
            <w:shd w:val="clear" w:color="auto" w:fill="D8D8D8"/>
          </w:tcPr>
          <w:p>
            <w:pPr>
              <w:jc w:val="right"/>
              <w:ind w:right="375"/>
              <w:spacing w:after="0" w:line="180"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5"/>
        </w:trPr>
        <w:tc>
          <w:tcPr>
            <w:tcW w:w="6080" w:type="dxa"/>
            <w:vAlign w:val="bottom"/>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 except per share amounts</w:t>
            </w:r>
          </w:p>
        </w:tc>
        <w:tc>
          <w:tcPr>
            <w:tcW w:w="260" w:type="dxa"/>
            <w:vAlign w:val="bottom"/>
            <w:shd w:val="clear" w:color="auto" w:fill="D8D8D8"/>
          </w:tcPr>
          <w:p>
            <w:pPr>
              <w:spacing w:after="0"/>
              <w:rPr>
                <w:sz w:val="19"/>
                <w:szCs w:val="19"/>
                <w:color w:val="auto"/>
              </w:rPr>
            </w:pPr>
          </w:p>
        </w:tc>
        <w:tc>
          <w:tcPr>
            <w:tcW w:w="2380" w:type="dxa"/>
            <w:vAlign w:val="bottom"/>
            <w:gridSpan w:val="4"/>
            <w:shd w:val="clear" w:color="auto" w:fill="D8D8D8"/>
          </w:tcPr>
          <w:p>
            <w:pPr>
              <w:ind w:left="420"/>
              <w:spacing w:after="0"/>
              <w:rPr>
                <w:sz w:val="20"/>
                <w:szCs w:val="20"/>
                <w:color w:val="auto"/>
              </w:rPr>
            </w:pPr>
            <w:r>
              <w:rPr>
                <w:rFonts w:ascii="Arial" w:cs="Arial" w:eastAsia="Arial" w:hAnsi="Arial"/>
                <w:sz w:val="17"/>
                <w:szCs w:val="17"/>
                <w:b w:val="1"/>
                <w:bCs w:val="1"/>
                <w:color w:val="auto"/>
              </w:rPr>
              <w:t>September 30,</w:t>
            </w:r>
          </w:p>
        </w:tc>
        <w:tc>
          <w:tcPr>
            <w:tcW w:w="280" w:type="dxa"/>
            <w:vAlign w:val="bottom"/>
            <w:shd w:val="clear" w:color="auto" w:fill="D8D8D8"/>
          </w:tcPr>
          <w:p>
            <w:pPr>
              <w:spacing w:after="0"/>
              <w:rPr>
                <w:sz w:val="19"/>
                <w:szCs w:val="19"/>
                <w:color w:val="auto"/>
              </w:rPr>
            </w:pPr>
          </w:p>
        </w:tc>
        <w:tc>
          <w:tcPr>
            <w:tcW w:w="2240" w:type="dxa"/>
            <w:vAlign w:val="bottom"/>
            <w:gridSpan w:val="3"/>
            <w:shd w:val="clear" w:color="auto" w:fill="D8D8D8"/>
          </w:tcPr>
          <w:p>
            <w:pPr>
              <w:jc w:val="right"/>
              <w:ind w:right="59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3"/>
        </w:trPr>
        <w:tc>
          <w:tcPr>
            <w:tcW w:w="6080" w:type="dxa"/>
            <w:vAlign w:val="bottom"/>
            <w:tcBorders>
              <w:top w:val="single" w:sz="8" w:color="D8D8D8"/>
              <w:bottom w:val="single" w:sz="8" w:color="auto"/>
            </w:tcBorders>
            <w:vMerge w:val="continue"/>
            <w:shd w:val="clear" w:color="auto" w:fill="D8D8D8"/>
          </w:tcPr>
          <w:p>
            <w:pPr>
              <w:spacing w:after="0"/>
              <w:rPr>
                <w:sz w:val="19"/>
                <w:szCs w:val="19"/>
                <w:color w:val="auto"/>
              </w:rPr>
            </w:pPr>
          </w:p>
        </w:tc>
        <w:tc>
          <w:tcPr>
            <w:tcW w:w="260" w:type="dxa"/>
            <w:vAlign w:val="bottom"/>
            <w:tcBorders>
              <w:top w:val="single" w:sz="8" w:color="auto"/>
              <w:bottom w:val="single" w:sz="8" w:color="auto"/>
            </w:tcBorders>
            <w:shd w:val="clear" w:color="auto" w:fill="D8D8D8"/>
          </w:tcPr>
          <w:p>
            <w:pPr>
              <w:spacing w:after="0"/>
              <w:rPr>
                <w:sz w:val="19"/>
                <w:szCs w:val="19"/>
                <w:color w:val="auto"/>
              </w:rPr>
            </w:pPr>
          </w:p>
        </w:tc>
        <w:tc>
          <w:tcPr>
            <w:tcW w:w="1000" w:type="dxa"/>
            <w:vAlign w:val="bottom"/>
            <w:tcBorders>
              <w:top w:val="single" w:sz="8" w:color="auto"/>
              <w:bottom w:val="single" w:sz="8" w:color="auto"/>
            </w:tcBorders>
            <w:shd w:val="clear" w:color="auto" w:fill="D8D8D8"/>
          </w:tcPr>
          <w:p>
            <w:pPr>
              <w:ind w:left="160"/>
              <w:spacing w:after="0"/>
              <w:rPr>
                <w:sz w:val="20"/>
                <w:szCs w:val="20"/>
                <w:color w:val="auto"/>
              </w:rPr>
            </w:pPr>
            <w:r>
              <w:rPr>
                <w:rFonts w:ascii="Arial" w:cs="Arial" w:eastAsia="Arial" w:hAnsi="Arial"/>
                <w:sz w:val="17"/>
                <w:szCs w:val="17"/>
                <w:b w:val="1"/>
                <w:bCs w:val="1"/>
                <w:color w:val="auto"/>
              </w:rPr>
              <w:t>2026</w:t>
            </w:r>
          </w:p>
        </w:tc>
        <w:tc>
          <w:tcPr>
            <w:tcW w:w="340" w:type="dxa"/>
            <w:vAlign w:val="bottom"/>
            <w:tcBorders>
              <w:top w:val="single" w:sz="8" w:color="auto"/>
              <w:bottom w:val="single" w:sz="8" w:color="auto"/>
            </w:tcBorders>
            <w:shd w:val="clear" w:color="auto" w:fill="D8D8D8"/>
          </w:tcPr>
          <w:p>
            <w:pPr>
              <w:spacing w:after="0"/>
              <w:rPr>
                <w:sz w:val="19"/>
                <w:szCs w:val="19"/>
                <w:color w:val="auto"/>
              </w:rPr>
            </w:pPr>
          </w:p>
        </w:tc>
        <w:tc>
          <w:tcPr>
            <w:tcW w:w="940" w:type="dxa"/>
            <w:vAlign w:val="bottom"/>
            <w:tcBorders>
              <w:top w:val="single" w:sz="8" w:color="auto"/>
              <w:bottom w:val="single" w:sz="8" w:color="auto"/>
            </w:tcBorders>
            <w:shd w:val="clear" w:color="auto" w:fill="D8D8D8"/>
          </w:tcPr>
          <w:p>
            <w:pPr>
              <w:jc w:val="right"/>
              <w:ind w:right="335"/>
              <w:spacing w:after="0"/>
              <w:rPr>
                <w:sz w:val="20"/>
                <w:szCs w:val="20"/>
                <w:color w:val="auto"/>
              </w:rPr>
            </w:pPr>
            <w:r>
              <w:rPr>
                <w:rFonts w:ascii="Arial" w:cs="Arial" w:eastAsia="Arial" w:hAnsi="Arial"/>
                <w:sz w:val="17"/>
                <w:szCs w:val="17"/>
                <w:color w:val="auto"/>
              </w:rPr>
              <w:t>2025</w:t>
            </w:r>
          </w:p>
        </w:tc>
        <w:tc>
          <w:tcPr>
            <w:tcW w:w="100" w:type="dxa"/>
            <w:vAlign w:val="bottom"/>
            <w:tcBorders>
              <w:top w:val="single" w:sz="8" w:color="D8D8D8"/>
              <w:bottom w:val="single" w:sz="8" w:color="auto"/>
            </w:tcBorders>
            <w:shd w:val="clear" w:color="auto" w:fill="D8D8D8"/>
          </w:tcPr>
          <w:p>
            <w:pPr>
              <w:spacing w:after="0"/>
              <w:rPr>
                <w:sz w:val="19"/>
                <w:szCs w:val="19"/>
                <w:color w:val="auto"/>
              </w:rPr>
            </w:pPr>
          </w:p>
        </w:tc>
        <w:tc>
          <w:tcPr>
            <w:tcW w:w="280" w:type="dxa"/>
            <w:vAlign w:val="bottom"/>
            <w:tcBorders>
              <w:top w:val="single" w:sz="8" w:color="auto"/>
              <w:bottom w:val="single" w:sz="8" w:color="auto"/>
            </w:tcBorders>
            <w:shd w:val="clear" w:color="auto" w:fill="D8D8D8"/>
          </w:tcPr>
          <w:p>
            <w:pPr>
              <w:spacing w:after="0"/>
              <w:rPr>
                <w:sz w:val="19"/>
                <w:szCs w:val="19"/>
                <w:color w:val="auto"/>
              </w:rPr>
            </w:pPr>
          </w:p>
        </w:tc>
        <w:tc>
          <w:tcPr>
            <w:tcW w:w="1000" w:type="dxa"/>
            <w:vAlign w:val="bottom"/>
            <w:tcBorders>
              <w:top w:val="single" w:sz="8" w:color="auto"/>
              <w:bottom w:val="single" w:sz="8" w:color="auto"/>
            </w:tcBorders>
            <w:shd w:val="clear" w:color="auto" w:fill="D8D8D8"/>
          </w:tcPr>
          <w:p>
            <w:pPr>
              <w:jc w:val="right"/>
              <w:ind w:right="395"/>
              <w:spacing w:after="0"/>
              <w:rPr>
                <w:sz w:val="20"/>
                <w:szCs w:val="20"/>
                <w:color w:val="auto"/>
              </w:rPr>
            </w:pPr>
            <w:r>
              <w:rPr>
                <w:rFonts w:ascii="Arial" w:cs="Arial" w:eastAsia="Arial" w:hAnsi="Arial"/>
                <w:sz w:val="17"/>
                <w:szCs w:val="17"/>
                <w:b w:val="1"/>
                <w:bCs w:val="1"/>
                <w:color w:val="auto"/>
              </w:rPr>
              <w:t>2026</w:t>
            </w:r>
          </w:p>
        </w:tc>
        <w:tc>
          <w:tcPr>
            <w:tcW w:w="320" w:type="dxa"/>
            <w:vAlign w:val="bottom"/>
            <w:tcBorders>
              <w:top w:val="single" w:sz="8" w:color="auto"/>
              <w:bottom w:val="single" w:sz="8" w:color="auto"/>
            </w:tcBorders>
            <w:shd w:val="clear" w:color="auto" w:fill="D8D8D8"/>
          </w:tcPr>
          <w:p>
            <w:pPr>
              <w:spacing w:after="0"/>
              <w:rPr>
                <w:sz w:val="19"/>
                <w:szCs w:val="19"/>
                <w:color w:val="auto"/>
              </w:rPr>
            </w:pPr>
          </w:p>
        </w:tc>
        <w:tc>
          <w:tcPr>
            <w:tcW w:w="920" w:type="dxa"/>
            <w:vAlign w:val="bottom"/>
            <w:tcBorders>
              <w:top w:val="single" w:sz="8" w:color="auto"/>
              <w:bottom w:val="single" w:sz="8" w:color="auto"/>
            </w:tcBorders>
            <w:shd w:val="clear" w:color="auto" w:fill="D8D8D8"/>
          </w:tcPr>
          <w:p>
            <w:pPr>
              <w:jc w:val="right"/>
              <w:ind w:right="31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7"/>
                <w:szCs w:val="17"/>
                <w:color w:val="auto"/>
              </w:rPr>
              <w:t>Net income (loss) attributable to common stockholders — basic</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(1,087)</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119,508</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165,504</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117,897</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Assumed exchange of Series A Preferred Stock</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(22,010)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(15,820)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7"/>
                <w:szCs w:val="17"/>
                <w:color w:val="auto"/>
              </w:rPr>
              <w:t>Net income (loss) attributable to common stockholders — diluted</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(23,097)</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119,508</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149,684</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117,897</w:t>
            </w:r>
          </w:p>
        </w:tc>
        <w:tc>
          <w:tcPr>
            <w:tcW w:w="0" w:type="dxa"/>
            <w:vAlign w:val="bottom"/>
          </w:tcPr>
          <w:p>
            <w:pPr>
              <w:spacing w:after="0"/>
              <w:rPr>
                <w:sz w:val="1"/>
                <w:szCs w:val="1"/>
                <w:color w:val="auto"/>
              </w:rPr>
            </w:pPr>
          </w:p>
        </w:tc>
      </w:tr>
      <w:tr>
        <w:trPr>
          <w:trHeight w:val="364"/>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Shares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7"/>
                <w:szCs w:val="17"/>
                <w:color w:val="auto"/>
              </w:rPr>
              <w:t>Weighted-average common shares outstanding — basic</w:t>
            </w:r>
          </w:p>
        </w:tc>
        <w:tc>
          <w:tcPr>
            <w:tcW w:w="2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59,019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58,996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54,674</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Restricted stock and stock options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190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7"/>
                <w:szCs w:val="17"/>
                <w:color w:val="auto"/>
              </w:rPr>
              <w:t>Weighted-average common shares outstanding — diluted</w:t>
            </w:r>
          </w:p>
        </w:tc>
        <w:tc>
          <w:tcPr>
            <w:tcW w:w="2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59,019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59,186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54,953</w:t>
            </w:r>
          </w:p>
        </w:tc>
        <w:tc>
          <w:tcPr>
            <w:tcW w:w="0" w:type="dxa"/>
            <w:vAlign w:val="bottom"/>
          </w:tcPr>
          <w:p>
            <w:pPr>
              <w:spacing w:after="0"/>
              <w:rPr>
                <w:sz w:val="1"/>
                <w:szCs w:val="1"/>
                <w:color w:val="auto"/>
              </w:rPr>
            </w:pPr>
          </w:p>
        </w:tc>
      </w:tr>
      <w:tr>
        <w:trPr>
          <w:trHeight w:val="364"/>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Net income (loss) per common share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7"/>
                <w:szCs w:val="17"/>
                <w:color w:val="auto"/>
              </w:rPr>
              <w:t>Basic income (loss) per share</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(0.02)</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2.81</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35"/>
        </w:trPr>
        <w:tc>
          <w:tcPr>
            <w:tcW w:w="6080" w:type="dxa"/>
            <w:vAlign w:val="bottom"/>
          </w:tcPr>
          <w:p>
            <w:pPr>
              <w:ind w:left="140"/>
              <w:spacing w:after="0"/>
              <w:rPr>
                <w:sz w:val="20"/>
                <w:szCs w:val="20"/>
                <w:color w:val="auto"/>
              </w:rPr>
            </w:pPr>
            <w:r>
              <w:rPr>
                <w:rFonts w:ascii="Arial" w:cs="Arial" w:eastAsia="Arial" w:hAnsi="Arial"/>
                <w:sz w:val="17"/>
                <w:szCs w:val="17"/>
                <w:color w:val="auto"/>
              </w:rPr>
              <w:t>Diluted income (loss) per share</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(0.39)</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2.53</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373"/>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Anti-dilutive shares excluded from diluted EPS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7"/>
                <w:szCs w:val="17"/>
                <w:color w:val="auto"/>
              </w:rPr>
              <w:t>Restricted stock and stock options</w:t>
            </w:r>
          </w:p>
        </w:tc>
        <w:tc>
          <w:tcPr>
            <w:tcW w:w="2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747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384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Warrants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1,131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1,131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Series A Preferred Stock Issuance </w:t>
      </w:r>
      <w:r>
        <w:rPr>
          <w:rFonts w:ascii="Arial" w:cs="Arial" w:eastAsia="Arial" w:hAnsi="Arial"/>
          <w:sz w:val="17"/>
          <w:szCs w:val="17"/>
          <w:color w:val="000000"/>
        </w:rPr>
        <w:t>On June 4, 2026, in connection with the Vantage Acquisition, the Company issued and sold 140,000 shares of</w:t>
      </w:r>
      <w:r>
        <w:rPr>
          <w:rFonts w:ascii="Arial" w:cs="Arial" w:eastAsia="Arial" w:hAnsi="Arial"/>
          <w:sz w:val="17"/>
          <w:szCs w:val="17"/>
          <w:b w:val="1"/>
          <w:bCs w:val="1"/>
          <w:color w:val="00497F"/>
        </w:rPr>
        <w:t xml:space="preserve"> </w:t>
      </w:r>
      <w:r>
        <w:rPr>
          <w:rFonts w:ascii="Arial" w:cs="Arial" w:eastAsia="Arial" w:hAnsi="Arial"/>
          <w:sz w:val="17"/>
          <w:szCs w:val="17"/>
          <w:color w:val="000000"/>
        </w:rPr>
        <w:t>Series A Preferred Stock. The Series A Preferred Stock does not meet the definition of a participating security as it does not participate in undistributed earnings with the Company’s common stock. Therefore, the Company is not required to apply the two-class method to its calculation of EPS. Additionally, as the dividends related to the Series A Preferred Stock are discretionary and noncumulative, only dividends actually declared in a period would impact EPS. As no dividends have been declared, there is no impact on basic EPS in the current period.</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Following the end of the seventh fiscal year following the original issue date, the holder of the Series A Preferred Stock may exchange a number of shares of Series A Preferred Stock into a number of common equity interests of Vantage. Because the exchange is into equity interests of a consolidated subsidiary rather than the Company's common stock, the if-converted method is used to calculate diluted EPS, except in periods when Vantage has a net loss and the effect would be anti-dilutive. The application of the if-converted method adjusts income available to common stockholders for the Company's reduced share of Vantage's results, with no corresponding adjustment to weighted-average common shares outstanding.</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3 - </w:t>
      </w:r>
      <w:r>
        <w:rPr>
          <w:rFonts w:ascii="Arial" w:cs="Arial" w:eastAsia="Arial" w:hAnsi="Arial"/>
          <w:sz w:val="17"/>
          <w:szCs w:val="17"/>
          <w:i w:val="1"/>
          <w:iCs w:val="1"/>
          <w:color w:val="auto"/>
        </w:rPr>
        <w:t>Pershing Square</w:t>
      </w:r>
      <w:r>
        <w:rPr>
          <w:rFonts w:ascii="Arial" w:cs="Arial" w:eastAsia="Arial" w:hAnsi="Arial"/>
          <w:sz w:val="17"/>
          <w:szCs w:val="17"/>
          <w:color w:val="auto"/>
        </w:rPr>
        <w:t xml:space="preserve"> for additional information on the Series A Preferred Stock Issuance.</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Common Stock Repurchases </w:t>
      </w:r>
      <w:r>
        <w:rPr>
          <w:rFonts w:ascii="Arial" w:cs="Arial" w:eastAsia="Arial" w:hAnsi="Arial"/>
          <w:sz w:val="17"/>
          <w:szCs w:val="17"/>
          <w:color w:val="000000"/>
        </w:rPr>
        <w:t>In March 2022, the Board authorized a share repurchase program pursuant to which the Company may, from time to</w:t>
      </w:r>
      <w:r>
        <w:rPr>
          <w:rFonts w:ascii="Arial" w:cs="Arial" w:eastAsia="Arial" w:hAnsi="Arial"/>
          <w:sz w:val="17"/>
          <w:szCs w:val="17"/>
          <w:b w:val="1"/>
          <w:bCs w:val="1"/>
          <w:color w:val="00497F"/>
        </w:rPr>
        <w:t xml:space="preserve"> </w:t>
      </w:r>
      <w:r>
        <w:rPr>
          <w:rFonts w:ascii="Arial" w:cs="Arial" w:eastAsia="Arial" w:hAnsi="Arial"/>
          <w:sz w:val="17"/>
          <w:szCs w:val="17"/>
          <w:color w:val="000000"/>
        </w:rPr>
        <w:t>time, purchase up to $250.0 million of its common stock through open-market transactions. In 2022, the Company repurchased approximately $235.0 million of common stock. The date and time of any additional repurchases will depend upon market conditions and the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6"/>
        <w:spacing w:after="0"/>
        <w:tabs>
          <w:tab w:leader="none" w:pos="4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17.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from contracts with customers (excluding lease- and insurance-related revenues) are recognized when control of the promised goods or services is transferred to the Company’s customers in an amount that reflects the consideration the Company expects to be entitled to in exchange for those goods or services. Revenue and cost of sales for condominium units sold are not recognized until the construction is complete, the sale closes, and the title to the property has transferred to the buyer (point in time). Additionally, certain real estate selling costs, such as the costs related to the Company’s condominium model units, are either expensed immediately or capitalized as property and equipment and depreciated over their estimated useful life.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Company’s revenues disaggregated by revenue source: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tcBorders>
            <w:shd w:val="clear" w:color="auto" w:fill="D8D8D8"/>
          </w:tcPr>
          <w:p>
            <w:pPr>
              <w:spacing w:after="0"/>
              <w:rPr>
                <w:sz w:val="21"/>
                <w:szCs w:val="21"/>
                <w:color w:val="auto"/>
              </w:rPr>
            </w:pPr>
          </w:p>
        </w:tc>
        <w:tc>
          <w:tcPr>
            <w:tcW w:w="140" w:type="dxa"/>
            <w:vAlign w:val="bottom"/>
            <w:tcBorders>
              <w:top w:val="single" w:sz="8" w:color="auto"/>
            </w:tcBorders>
            <w:shd w:val="clear" w:color="auto" w:fill="D8D8D8"/>
          </w:tcPr>
          <w:p>
            <w:pPr>
              <w:spacing w:after="0"/>
              <w:rPr>
                <w:sz w:val="21"/>
                <w:szCs w:val="21"/>
                <w:color w:val="auto"/>
              </w:rPr>
            </w:pPr>
          </w:p>
        </w:tc>
        <w:tc>
          <w:tcPr>
            <w:tcW w:w="3200" w:type="dxa"/>
            <w:vAlign w:val="bottom"/>
            <w:tcBorders>
              <w:top w:val="single" w:sz="8" w:color="auto"/>
            </w:tcBorders>
            <w:gridSpan w:val="4"/>
            <w:shd w:val="clear" w:color="auto" w:fill="D8D8D8"/>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160" w:type="dxa"/>
            <w:vAlign w:val="bottom"/>
            <w:tcBorders>
              <w:top w:val="single" w:sz="8" w:color="auto"/>
            </w:tcBorders>
            <w:shd w:val="clear" w:color="auto" w:fill="D8D8D8"/>
          </w:tcPr>
          <w:p>
            <w:pPr>
              <w:spacing w:after="0"/>
              <w:rPr>
                <w:sz w:val="21"/>
                <w:szCs w:val="21"/>
                <w:color w:val="auto"/>
              </w:rPr>
            </w:pPr>
          </w:p>
        </w:tc>
        <w:tc>
          <w:tcPr>
            <w:tcW w:w="3080" w:type="dxa"/>
            <w:vAlign w:val="bottom"/>
            <w:tcBorders>
              <w:top w:val="single" w:sz="8" w:color="auto"/>
            </w:tcBorders>
            <w:gridSpan w:val="3"/>
            <w:shd w:val="clear" w:color="auto" w:fill="D8D8D8"/>
          </w:tcPr>
          <w:p>
            <w:pPr>
              <w:jc w:val="right"/>
              <w:ind w:right="135"/>
              <w:spacing w:after="0"/>
              <w:rPr>
                <w:sz w:val="20"/>
                <w:szCs w:val="20"/>
                <w:color w:val="auto"/>
              </w:rPr>
            </w:pPr>
            <w:r>
              <w:rPr>
                <w:rFonts w:ascii="Arial" w:cs="Arial" w:eastAsia="Arial" w:hAnsi="Arial"/>
                <w:sz w:val="17"/>
                <w:szCs w:val="17"/>
                <w:b w:val="1"/>
                <w:bCs w:val="1"/>
                <w:color w:val="auto"/>
              </w:rPr>
              <w:t>Nine Months Ended September 30,</w:t>
            </w:r>
          </w:p>
        </w:tc>
      </w:tr>
      <w:tr>
        <w:trPr>
          <w:trHeight w:val="223"/>
        </w:trPr>
        <w:tc>
          <w:tcPr>
            <w:tcW w:w="466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40" w:type="dxa"/>
            <w:vAlign w:val="bottom"/>
            <w:tcBorders>
              <w:top w:val="single" w:sz="8" w:color="auto"/>
              <w:bottom w:val="single" w:sz="8" w:color="auto"/>
            </w:tcBorders>
            <w:shd w:val="clear" w:color="auto" w:fill="D8D8D8"/>
          </w:tcPr>
          <w:p>
            <w:pPr>
              <w:spacing w:after="0"/>
              <w:rPr>
                <w:sz w:val="19"/>
                <w:szCs w:val="19"/>
                <w:color w:val="auto"/>
              </w:rPr>
            </w:pPr>
          </w:p>
        </w:tc>
        <w:tc>
          <w:tcPr>
            <w:tcW w:w="1440" w:type="dxa"/>
            <w:vAlign w:val="bottom"/>
            <w:tcBorders>
              <w:top w:val="single" w:sz="8" w:color="auto"/>
              <w:bottom w:val="single" w:sz="8" w:color="auto"/>
            </w:tcBorders>
            <w:shd w:val="clear" w:color="auto" w:fill="D8D8D8"/>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440" w:type="dxa"/>
            <w:vAlign w:val="bottom"/>
            <w:tcBorders>
              <w:top w:val="single" w:sz="8" w:color="auto"/>
              <w:bottom w:val="single" w:sz="8" w:color="auto"/>
            </w:tcBorders>
            <w:shd w:val="clear" w:color="auto" w:fill="D8D8D8"/>
          </w:tcPr>
          <w:p>
            <w:pPr>
              <w:spacing w:after="0"/>
              <w:rPr>
                <w:sz w:val="19"/>
                <w:szCs w:val="19"/>
                <w:color w:val="auto"/>
              </w:rPr>
            </w:pPr>
          </w:p>
        </w:tc>
        <w:tc>
          <w:tcPr>
            <w:tcW w:w="1220" w:type="dxa"/>
            <w:vAlign w:val="bottom"/>
            <w:tcBorders>
              <w:top w:val="single" w:sz="8" w:color="auto"/>
              <w:bottom w:val="single" w:sz="8" w:color="auto"/>
            </w:tcBorders>
            <w:shd w:val="clear" w:color="auto" w:fill="D8D8D8"/>
          </w:tcPr>
          <w:p>
            <w:pPr>
              <w:jc w:val="right"/>
              <w:ind w:right="515"/>
              <w:spacing w:after="0"/>
              <w:rPr>
                <w:sz w:val="20"/>
                <w:szCs w:val="20"/>
                <w:color w:val="auto"/>
              </w:rPr>
            </w:pPr>
            <w:r>
              <w:rPr>
                <w:rFonts w:ascii="Arial" w:cs="Arial" w:eastAsia="Arial" w:hAnsi="Arial"/>
                <w:sz w:val="17"/>
                <w:szCs w:val="17"/>
                <w:color w:val="auto"/>
              </w:rPr>
              <w:t>2025</w:t>
            </w:r>
          </w:p>
        </w:tc>
        <w:tc>
          <w:tcPr>
            <w:tcW w:w="100" w:type="dxa"/>
            <w:vAlign w:val="bottom"/>
            <w:tcBorders>
              <w:top w:val="single" w:sz="8" w:color="D8D8D8"/>
              <w:bottom w:val="single" w:sz="8" w:color="auto"/>
            </w:tcBorders>
            <w:shd w:val="clear" w:color="auto" w:fill="D8D8D8"/>
          </w:tcPr>
          <w:p>
            <w:pPr>
              <w:spacing w:after="0"/>
              <w:rPr>
                <w:sz w:val="19"/>
                <w:szCs w:val="19"/>
                <w:color w:val="auto"/>
              </w:rPr>
            </w:pPr>
          </w:p>
        </w:tc>
        <w:tc>
          <w:tcPr>
            <w:tcW w:w="160" w:type="dxa"/>
            <w:vAlign w:val="bottom"/>
            <w:tcBorders>
              <w:top w:val="single" w:sz="8" w:color="auto"/>
              <w:bottom w:val="single" w:sz="8" w:color="auto"/>
            </w:tcBorders>
            <w:shd w:val="clear" w:color="auto" w:fill="D8D8D8"/>
          </w:tcPr>
          <w:p>
            <w:pPr>
              <w:spacing w:after="0"/>
              <w:rPr>
                <w:sz w:val="19"/>
                <w:szCs w:val="19"/>
                <w:color w:val="auto"/>
              </w:rPr>
            </w:pPr>
          </w:p>
        </w:tc>
        <w:tc>
          <w:tcPr>
            <w:tcW w:w="1440" w:type="dxa"/>
            <w:vAlign w:val="bottom"/>
            <w:tcBorders>
              <w:top w:val="single" w:sz="8" w:color="auto"/>
              <w:bottom w:val="single" w:sz="8" w:color="auto"/>
            </w:tcBorders>
            <w:shd w:val="clear" w:color="auto" w:fill="D8D8D8"/>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420" w:type="dxa"/>
            <w:vAlign w:val="bottom"/>
            <w:tcBorders>
              <w:top w:val="single" w:sz="8" w:color="auto"/>
              <w:bottom w:val="single" w:sz="8" w:color="auto"/>
            </w:tcBorders>
            <w:shd w:val="clear" w:color="auto" w:fill="D8D8D8"/>
          </w:tcPr>
          <w:p>
            <w:pPr>
              <w:spacing w:after="0"/>
              <w:rPr>
                <w:sz w:val="19"/>
                <w:szCs w:val="19"/>
                <w:color w:val="auto"/>
              </w:rPr>
            </w:pPr>
          </w:p>
        </w:tc>
        <w:tc>
          <w:tcPr>
            <w:tcW w:w="1220" w:type="dxa"/>
            <w:vAlign w:val="bottom"/>
            <w:tcBorders>
              <w:top w:val="single" w:sz="8" w:color="auto"/>
              <w:bottom w:val="single" w:sz="8" w:color="auto"/>
            </w:tcBorders>
            <w:shd w:val="clear" w:color="auto" w:fill="D8D8D8"/>
          </w:tcPr>
          <w:p>
            <w:pPr>
              <w:jc w:val="right"/>
              <w:ind w:right="515"/>
              <w:spacing w:after="0"/>
              <w:rPr>
                <w:sz w:val="20"/>
                <w:szCs w:val="20"/>
                <w:color w:val="auto"/>
              </w:rPr>
            </w:pPr>
            <w:r>
              <w:rPr>
                <w:rFonts w:ascii="Arial" w:cs="Arial" w:eastAsia="Arial" w:hAnsi="Arial"/>
                <w:sz w:val="17"/>
                <w:szCs w:val="17"/>
                <w:color w:val="auto"/>
              </w:rPr>
              <w:t>2025</w:t>
            </w:r>
          </w:p>
        </w:tc>
      </w:tr>
      <w:tr>
        <w:trPr>
          <w:trHeight w:val="214"/>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Revenues from contracts with customers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7"/>
                <w:szCs w:val="17"/>
                <w:color w:val="auto"/>
              </w:rPr>
              <w:t>Condominium rights and unit sales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6,189</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715,634</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677</w:t>
            </w:r>
          </w:p>
        </w:tc>
      </w:tr>
      <w:tr>
        <w:trPr>
          <w:trHeight w:val="230"/>
        </w:trPr>
        <w:tc>
          <w:tcPr>
            <w:tcW w:w="4660" w:type="dxa"/>
            <w:vAlign w:val="bottom"/>
          </w:tcPr>
          <w:p>
            <w:pPr>
              <w:ind w:left="240"/>
              <w:spacing w:after="0"/>
              <w:rPr>
                <w:sz w:val="20"/>
                <w:szCs w:val="20"/>
                <w:color w:val="auto"/>
              </w:rPr>
            </w:pPr>
            <w:r>
              <w:rPr>
                <w:rFonts w:ascii="Arial" w:cs="Arial" w:eastAsia="Arial" w:hAnsi="Arial"/>
                <w:sz w:val="17"/>
                <w:szCs w:val="17"/>
                <w:color w:val="auto"/>
              </w:rPr>
              <w:t>Master Planned Communities land sales</w:t>
            </w:r>
          </w:p>
        </w:tc>
        <w:tc>
          <w:tcPr>
            <w:tcW w:w="14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133,657</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248,467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404,166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445,150</w:t>
            </w:r>
          </w:p>
        </w:tc>
      </w:tr>
      <w:tr>
        <w:trPr>
          <w:trHeight w:val="229"/>
        </w:trPr>
        <w:tc>
          <w:tcPr>
            <w:tcW w:w="4660" w:type="dxa"/>
            <w:vAlign w:val="bottom"/>
          </w:tcPr>
          <w:p>
            <w:pPr>
              <w:ind w:left="240"/>
              <w:spacing w:after="0"/>
              <w:rPr>
                <w:sz w:val="20"/>
                <w:szCs w:val="20"/>
                <w:color w:val="auto"/>
              </w:rPr>
            </w:pPr>
            <w:r>
              <w:rPr>
                <w:rFonts w:ascii="Arial" w:cs="Arial" w:eastAsia="Arial" w:hAnsi="Arial"/>
                <w:sz w:val="17"/>
                <w:szCs w:val="17"/>
                <w:color w:val="auto"/>
              </w:rPr>
              <w:t>Builder price participation</w:t>
            </w:r>
          </w:p>
        </w:tc>
        <w:tc>
          <w:tcPr>
            <w:tcW w:w="14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11,366</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26,916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39,437</w:t>
            </w:r>
          </w:p>
        </w:tc>
      </w:tr>
      <w:tr>
        <w:trPr>
          <w:trHeight w:val="235"/>
        </w:trPr>
        <w:tc>
          <w:tcPr>
            <w:tcW w:w="4660" w:type="dxa"/>
            <w:vAlign w:val="bottom"/>
          </w:tcPr>
          <w:p>
            <w:pPr>
              <w:ind w:left="240"/>
              <w:spacing w:after="0"/>
              <w:rPr>
                <w:sz w:val="20"/>
                <w:szCs w:val="20"/>
                <w:color w:val="auto"/>
              </w:rPr>
            </w:pPr>
            <w:r>
              <w:rPr>
                <w:rFonts w:ascii="Arial" w:cs="Arial" w:eastAsia="Arial" w:hAnsi="Arial"/>
                <w:sz w:val="17"/>
                <w:szCs w:val="17"/>
                <w:color w:val="auto"/>
              </w:rPr>
              <w:t>Other revenues</w:t>
            </w:r>
          </w:p>
        </w:tc>
        <w:tc>
          <w:tcPr>
            <w:tcW w:w="14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30,705</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14,237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57,463</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34,297</w:t>
            </w:r>
          </w:p>
        </w:tc>
      </w:tr>
      <w:tr>
        <w:trPr>
          <w:trHeight w:val="373"/>
        </w:trPr>
        <w:tc>
          <w:tcPr>
            <w:tcW w:w="4660" w:type="dxa"/>
            <w:vAlign w:val="bottom"/>
          </w:tcPr>
          <w:p>
            <w:pPr>
              <w:ind w:left="40"/>
              <w:spacing w:after="0"/>
              <w:rPr>
                <w:sz w:val="20"/>
                <w:szCs w:val="20"/>
                <w:color w:val="auto"/>
              </w:rPr>
            </w:pPr>
            <w:r>
              <w:rPr>
                <w:rFonts w:ascii="Arial" w:cs="Arial" w:eastAsia="Arial" w:hAnsi="Arial"/>
                <w:sz w:val="17"/>
                <w:szCs w:val="17"/>
                <w:b w:val="1"/>
                <w:bCs w:val="1"/>
                <w:color w:val="auto"/>
              </w:rPr>
              <w:t>Rental and lease-related revenues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5"/>
        </w:trPr>
        <w:tc>
          <w:tcPr>
            <w:tcW w:w="4660" w:type="dxa"/>
            <w:vAlign w:val="bottom"/>
          </w:tcPr>
          <w:p>
            <w:pPr>
              <w:ind w:left="240"/>
              <w:spacing w:after="0"/>
              <w:rPr>
                <w:sz w:val="20"/>
                <w:szCs w:val="20"/>
                <w:color w:val="auto"/>
              </w:rPr>
            </w:pPr>
            <w:r>
              <w:rPr>
                <w:rFonts w:ascii="Arial" w:cs="Arial" w:eastAsia="Arial" w:hAnsi="Arial"/>
                <w:sz w:val="17"/>
                <w:szCs w:val="17"/>
                <w:color w:val="auto"/>
              </w:rPr>
              <w:t>Rental revenue</w:t>
            </w:r>
          </w:p>
        </w:tc>
        <w:tc>
          <w:tcPr>
            <w:tcW w:w="14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115,852</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111,377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343,599</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330,882</w:t>
            </w:r>
          </w:p>
        </w:tc>
      </w:tr>
      <w:tr>
        <w:trPr>
          <w:trHeight w:val="373"/>
        </w:trPr>
        <w:tc>
          <w:tcPr>
            <w:tcW w:w="4660" w:type="dxa"/>
            <w:vAlign w:val="bottom"/>
          </w:tcPr>
          <w:p>
            <w:pPr>
              <w:ind w:left="40"/>
              <w:spacing w:after="0"/>
              <w:rPr>
                <w:sz w:val="20"/>
                <w:szCs w:val="20"/>
                <w:color w:val="auto"/>
              </w:rPr>
            </w:pPr>
            <w:r>
              <w:rPr>
                <w:rFonts w:ascii="Arial" w:cs="Arial" w:eastAsia="Arial" w:hAnsi="Arial"/>
                <w:sz w:val="17"/>
                <w:szCs w:val="17"/>
                <w:b w:val="1"/>
                <w:bCs w:val="1"/>
                <w:color w:val="auto"/>
              </w:rPr>
              <w:t>Insurance-related revenues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7"/>
                <w:szCs w:val="17"/>
                <w:color w:val="auto"/>
              </w:rPr>
              <w:t>Net earned insurance premiums</w:t>
            </w:r>
          </w:p>
        </w:tc>
        <w:tc>
          <w:tcPr>
            <w:tcW w:w="14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315,849</w:t>
            </w:r>
          </w:p>
        </w:tc>
        <w:tc>
          <w:tcPr>
            <w:tcW w:w="4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b w:val="1"/>
                <w:bCs w:val="1"/>
                <w:color w:val="auto"/>
              </w:rPr>
              <w:t>413,096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6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Net insurance investment income</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22,678</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33,666</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636,296</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390,235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1,994,540</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850,443</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Contract Assets and Liabilities </w:t>
      </w:r>
      <w:r>
        <w:rPr>
          <w:rFonts w:ascii="Arial" w:cs="Arial" w:eastAsia="Arial" w:hAnsi="Arial"/>
          <w:sz w:val="17"/>
          <w:szCs w:val="17"/>
          <w:color w:val="000000"/>
        </w:rPr>
        <w:t>Contract assets are the Company’s right to consideration in exchange for goods or services that have been</w:t>
      </w:r>
      <w:r>
        <w:rPr>
          <w:rFonts w:ascii="Arial" w:cs="Arial" w:eastAsia="Arial" w:hAnsi="Arial"/>
          <w:sz w:val="17"/>
          <w:szCs w:val="17"/>
          <w:b w:val="1"/>
          <w:bCs w:val="1"/>
          <w:color w:val="00497F"/>
        </w:rPr>
        <w:t xml:space="preserve"> </w:t>
      </w:r>
      <w:r>
        <w:rPr>
          <w:rFonts w:ascii="Arial" w:cs="Arial" w:eastAsia="Arial" w:hAnsi="Arial"/>
          <w:sz w:val="17"/>
          <w:szCs w:val="17"/>
          <w:color w:val="000000"/>
        </w:rPr>
        <w:t>transferred to a customer, excluding any amounts presented as a receivable. Contract liabilities are the Company’s obligation to transfer goods or services to a customer for which the Company has received consideration.</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contract assets for the periods presented. The contract liabilities primarily relate to escrowed condominium deposits, MPC land sales deposits, and deferred MPC land sales related to unsatisfied land improvements. The beginning and ending balances of contract liabilities and significant activity during the periods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December 31, 2025</w:t>
            </w:r>
          </w:p>
        </w:tc>
        <w:tc>
          <w:tcPr>
            <w:tcW w:w="3740" w:type="dxa"/>
            <w:vAlign w:val="bottom"/>
            <w:tcBorders>
              <w:top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896,896</w:t>
            </w:r>
          </w:p>
        </w:tc>
      </w:tr>
      <w:tr>
        <w:trPr>
          <w:trHeight w:val="225"/>
        </w:trPr>
        <w:tc>
          <w:tcPr>
            <w:tcW w:w="6140" w:type="dxa"/>
            <w:vAlign w:val="bottom"/>
          </w:tcPr>
          <w:p>
            <w:pPr>
              <w:ind w:left="20"/>
              <w:spacing w:after="0"/>
              <w:rPr>
                <w:sz w:val="20"/>
                <w:szCs w:val="20"/>
                <w:color w:val="auto"/>
              </w:rPr>
            </w:pPr>
            <w:r>
              <w:rPr>
                <w:rFonts w:ascii="Arial" w:cs="Arial" w:eastAsia="Arial" w:hAnsi="Arial"/>
                <w:sz w:val="17"/>
                <w:szCs w:val="17"/>
                <w:color w:val="auto"/>
              </w:rPr>
              <w:t>Consideration earned during the period</w:t>
            </w:r>
          </w:p>
        </w:tc>
        <w:tc>
          <w:tcPr>
            <w:tcW w:w="3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(785,440)</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Consideration received during the period</w:t>
            </w:r>
          </w:p>
        </w:tc>
        <w:tc>
          <w:tcPr>
            <w:tcW w:w="3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694,059</w:t>
            </w: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September 30, 2026</w:t>
            </w:r>
          </w:p>
        </w:tc>
        <w:tc>
          <w:tcPr>
            <w:tcW w:w="37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805,515</w:t>
            </w:r>
          </w:p>
        </w:tc>
      </w:tr>
      <w:tr>
        <w:trPr>
          <w:trHeight w:val="363"/>
        </w:trPr>
        <w:tc>
          <w:tcPr>
            <w:tcW w:w="614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2024</w:t>
            </w:r>
          </w:p>
        </w:tc>
        <w:tc>
          <w:tcPr>
            <w:tcW w:w="3740" w:type="dxa"/>
            <w:vAlign w:val="bottom"/>
          </w:tcPr>
          <w:p>
            <w:pPr>
              <w:jc w:val="right"/>
              <w:ind w:right="51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584,536</w:t>
            </w:r>
          </w:p>
        </w:tc>
      </w:tr>
      <w:tr>
        <w:trPr>
          <w:trHeight w:val="225"/>
        </w:trPr>
        <w:tc>
          <w:tcPr>
            <w:tcW w:w="6140" w:type="dxa"/>
            <w:vAlign w:val="bottom"/>
          </w:tcPr>
          <w:p>
            <w:pPr>
              <w:ind w:left="20"/>
              <w:spacing w:after="0"/>
              <w:rPr>
                <w:sz w:val="20"/>
                <w:szCs w:val="20"/>
                <w:color w:val="auto"/>
              </w:rPr>
            </w:pPr>
            <w:r>
              <w:rPr>
                <w:rFonts w:ascii="Arial" w:cs="Arial" w:eastAsia="Arial" w:hAnsi="Arial"/>
                <w:sz w:val="17"/>
                <w:szCs w:val="17"/>
                <w:color w:val="auto"/>
              </w:rPr>
              <w:t>Consideration earned during the period</w:t>
            </w:r>
          </w:p>
        </w:tc>
        <w:tc>
          <w:tcPr>
            <w:tcW w:w="3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(73,901)</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Consideration received during the period</w:t>
            </w:r>
          </w:p>
        </w:tc>
        <w:tc>
          <w:tcPr>
            <w:tcW w:w="3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308,900</w:t>
            </w: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September 30, 2025</w:t>
            </w:r>
          </w:p>
        </w:tc>
        <w:tc>
          <w:tcPr>
            <w:tcW w:w="37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819,535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60" w:hanging="446"/>
        <w:spacing w:after="0"/>
        <w:tabs>
          <w:tab w:leader="none" w:pos="4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Remaining Unsatisfied Performance Obligations </w:t>
      </w:r>
      <w:r>
        <w:rPr>
          <w:rFonts w:ascii="Arial" w:cs="Arial" w:eastAsia="Arial" w:hAnsi="Arial"/>
          <w:sz w:val="17"/>
          <w:szCs w:val="17"/>
          <w:color w:val="000000"/>
        </w:rPr>
        <w:t>The Company’s remaining unsatisfied performance obligations represent a measure of the total</w:t>
      </w:r>
      <w:r>
        <w:rPr>
          <w:rFonts w:ascii="Arial" w:cs="Arial" w:eastAsia="Arial" w:hAnsi="Arial"/>
          <w:sz w:val="17"/>
          <w:szCs w:val="17"/>
          <w:b w:val="1"/>
          <w:bCs w:val="1"/>
          <w:color w:val="00497F"/>
        </w:rPr>
        <w:t xml:space="preserve"> </w:t>
      </w:r>
      <w:r>
        <w:rPr>
          <w:rFonts w:ascii="Arial" w:cs="Arial" w:eastAsia="Arial" w:hAnsi="Arial"/>
          <w:sz w:val="17"/>
          <w:szCs w:val="17"/>
          <w:color w:val="000000"/>
        </w:rPr>
        <w:t>dollar value of work to be performed on contracts executed and in progress. These performance obligations primarily relate to the completion of condominium construction and transfer of control to a buyer, as well as the completion of contracted MPC land sales and related land improvements. These obligations are associated with contracts that generally are non-cancelable by the customer after 30 days for all Ward Village condominiums and after 6 days for The Ritz-Carlton Residences; however, purchasers of condominium units have the right to cancel the contract should the Company elect not to construct the condominium unit within a certain period of time or materially change the design of the condominium unit. The aggregate amount of the transaction price allocated to the Company’s remaining unsatisfied performance obligations as of September 30, 2026, was $3.9 billion. The Company expects to recognize this amount as revenue over the following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440" w:type="dxa"/>
            <w:vAlign w:val="bottom"/>
            <w:tcBorders>
              <w:top w:val="single" w:sz="8" w:color="auto"/>
              <w:bottom w:val="single" w:sz="8" w:color="auto"/>
            </w:tcBorders>
            <w:gridSpan w:val="2"/>
            <w:shd w:val="clear" w:color="auto" w:fill="D8D8D8"/>
          </w:tcPr>
          <w:p>
            <w:pPr>
              <w:jc w:val="right"/>
              <w:spacing w:after="0"/>
              <w:rPr>
                <w:sz w:val="20"/>
                <w:szCs w:val="20"/>
                <w:color w:val="auto"/>
              </w:rPr>
            </w:pPr>
            <w:r>
              <w:rPr>
                <w:rFonts w:ascii="Arial" w:cs="Arial" w:eastAsia="Arial" w:hAnsi="Arial"/>
                <w:sz w:val="17"/>
                <w:szCs w:val="17"/>
                <w:b w:val="1"/>
                <w:bCs w:val="1"/>
                <w:color w:val="auto"/>
              </w:rPr>
              <w:t>Less than 1 year</w:t>
            </w:r>
          </w:p>
        </w:tc>
        <w:tc>
          <w:tcPr>
            <w:tcW w:w="460" w:type="dxa"/>
            <w:vAlign w:val="bottom"/>
            <w:tcBorders>
              <w:top w:val="single" w:sz="8" w:color="auto"/>
              <w:bottom w:val="single" w:sz="8" w:color="auto"/>
            </w:tcBorders>
            <w:shd w:val="clear" w:color="auto" w:fill="D8D8D8"/>
          </w:tcPr>
          <w:p>
            <w:pPr>
              <w:spacing w:after="0"/>
              <w:rPr>
                <w:sz w:val="21"/>
                <w:szCs w:val="21"/>
                <w:color w:val="auto"/>
              </w:rPr>
            </w:pPr>
          </w:p>
        </w:tc>
        <w:tc>
          <w:tcPr>
            <w:tcW w:w="1360" w:type="dxa"/>
            <w:vAlign w:val="bottom"/>
            <w:tcBorders>
              <w:top w:val="single" w:sz="8" w:color="auto"/>
              <w:bottom w:val="single" w:sz="8" w:color="auto"/>
            </w:tcBorders>
            <w:shd w:val="clear" w:color="auto" w:fill="D8D8D8"/>
          </w:tcPr>
          <w:p>
            <w:pPr>
              <w:jc w:val="right"/>
              <w:ind w:right="235"/>
              <w:spacing w:after="0"/>
              <w:rPr>
                <w:sz w:val="20"/>
                <w:szCs w:val="20"/>
                <w:color w:val="auto"/>
              </w:rPr>
            </w:pPr>
            <w:r>
              <w:rPr>
                <w:rFonts w:ascii="Arial" w:cs="Arial" w:eastAsia="Arial" w:hAnsi="Arial"/>
                <w:sz w:val="17"/>
                <w:szCs w:val="17"/>
                <w:b w:val="1"/>
                <w:bCs w:val="1"/>
                <w:color w:val="auto"/>
              </w:rPr>
              <w:t>1-2 years</w:t>
            </w:r>
          </w:p>
        </w:tc>
        <w:tc>
          <w:tcPr>
            <w:tcW w:w="2120" w:type="dxa"/>
            <w:vAlign w:val="bottom"/>
            <w:tcBorders>
              <w:top w:val="single" w:sz="8" w:color="auto"/>
              <w:bottom w:val="single" w:sz="8" w:color="auto"/>
            </w:tcBorders>
            <w:gridSpan w:val="2"/>
            <w:shd w:val="clear" w:color="auto" w:fill="D8D8D8"/>
          </w:tcPr>
          <w:p>
            <w:pPr>
              <w:jc w:val="right"/>
              <w:spacing w:after="0"/>
              <w:rPr>
                <w:sz w:val="20"/>
                <w:szCs w:val="20"/>
                <w:color w:val="auto"/>
              </w:rPr>
            </w:pPr>
            <w:r>
              <w:rPr>
                <w:rFonts w:ascii="Arial" w:cs="Arial" w:eastAsia="Arial" w:hAnsi="Arial"/>
                <w:sz w:val="17"/>
                <w:szCs w:val="17"/>
                <w:b w:val="1"/>
                <w:bCs w:val="1"/>
                <w:color w:val="auto"/>
              </w:rPr>
              <w:t>3 years and thereafter</w:t>
            </w:r>
          </w:p>
        </w:tc>
      </w:tr>
      <w:tr>
        <w:trPr>
          <w:trHeight w:val="22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remaining unsatisfied performance obligations</w:t>
            </w: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599,751</w:t>
            </w:r>
          </w:p>
        </w:tc>
        <w:tc>
          <w:tcPr>
            <w:tcW w:w="4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62,591</w:t>
            </w: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3,239,581</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remaining performance obligations are adjusted to reflect any known project cancellations, revisions to project scope and cost, and deferrals, as appropriate. These amounts exclude estimated amounts of variable consideration which are constrained, such as builder price participation.</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18.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lease agreements with lease and non-lease components and has elected to aggregate these components into a single component for all classes of underlying assets. Certain of the Company’s lease agreements include non-lease components such as fixed common area maintenance charges.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Lessee Arrangements </w:t>
      </w:r>
      <w:r>
        <w:rPr>
          <w:rFonts w:ascii="Arial" w:cs="Arial" w:eastAsia="Arial" w:hAnsi="Arial"/>
          <w:sz w:val="17"/>
          <w:szCs w:val="17"/>
          <w:color w:val="000000"/>
        </w:rPr>
        <w:t>The Company determines whether an arrangement is a lease at inception. Operating leases are included in Other assets,</w:t>
      </w:r>
      <w:r>
        <w:rPr>
          <w:rFonts w:ascii="Arial" w:cs="Arial" w:eastAsia="Arial" w:hAnsi="Arial"/>
          <w:sz w:val="17"/>
          <w:szCs w:val="17"/>
          <w:b w:val="1"/>
          <w:bCs w:val="1"/>
          <w:color w:val="00497F"/>
        </w:rPr>
        <w:t xml:space="preserve"> </w:t>
      </w:r>
      <w:r>
        <w:rPr>
          <w:rFonts w:ascii="Arial" w:cs="Arial" w:eastAsia="Arial" w:hAnsi="Arial"/>
          <w:sz w:val="17"/>
          <w:szCs w:val="17"/>
          <w:color w:val="000000"/>
        </w:rPr>
        <w:t>net and Other liabilities, net on the Condensed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future minimum lease payments over the lease term. As most of the Company’s leases do not provide an implicit rate, the Company uses an estimate of the incremental borrowing rate based on the information available at the lease commencement date in determining the present value of future lease payments. The Operating lease right-of-use asset also includes any lease payments made, less any lease incentives and initial direct costs incurred. The Company does not have any finance leases.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lessee agreements consist of operating leases primarily for ground leases and other real estate. The Company’s leases have remaining lease terms of less than 1 year to approximately 23 years, excluding extension options. The Company considers its strategic plan and the life of associated agreements in determining when options to extend or terminate lease terms are reasonably certain of being exercised. Leases with an initial term of 12 months or less are not recorded on the Condensed Consolidated Balance Sheets; the Company recognizes lease expense for these leases on a straight-line basis over the lease term. Certain of the Company’s lease agreements include variable lease payments based on a percentage of income generated through subleases, changes in price indices and market rates, and other costs arising from operating, maintenance, and taxes. The Company’s lease agreements do not contain residual value guarantees or restrictive covenants. The Company leases certain buildings constructed on its ground leases to third parties.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Company’s leased assets and liabilities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340" w:type="dxa"/>
            <w:vAlign w:val="bottom"/>
            <w:tcBorders>
              <w:top w:val="single" w:sz="8" w:color="auto"/>
              <w:bottom w:val="single" w:sz="8" w:color="auto"/>
            </w:tcBorders>
            <w:shd w:val="clear" w:color="auto" w:fill="D8D8D8"/>
          </w:tcPr>
          <w:p>
            <w:pPr>
              <w:spacing w:after="0"/>
              <w:rPr>
                <w:sz w:val="21"/>
                <w:szCs w:val="21"/>
                <w:color w:val="auto"/>
              </w:rPr>
            </w:pPr>
          </w:p>
        </w:tc>
        <w:tc>
          <w:tcPr>
            <w:tcW w:w="1940" w:type="dxa"/>
            <w:vAlign w:val="bottom"/>
            <w:tcBorders>
              <w:top w:val="single" w:sz="8" w:color="auto"/>
              <w:bottom w:val="single" w:sz="8" w:color="auto"/>
            </w:tcBorders>
            <w:shd w:val="clear" w:color="auto" w:fill="D8D8D8"/>
          </w:tcPr>
          <w:p>
            <w:pPr>
              <w:jc w:val="right"/>
              <w:ind w:right="195"/>
              <w:spacing w:after="0"/>
              <w:rPr>
                <w:sz w:val="20"/>
                <w:szCs w:val="20"/>
                <w:color w:val="auto"/>
              </w:rPr>
            </w:pPr>
            <w:r>
              <w:rPr>
                <w:rFonts w:ascii="Arial" w:cs="Arial" w:eastAsia="Arial" w:hAnsi="Arial"/>
                <w:sz w:val="17"/>
                <w:szCs w:val="17"/>
                <w:b w:val="1"/>
                <w:bCs w:val="1"/>
                <w:color w:val="auto"/>
              </w:rPr>
              <w:t>September 30, 2026</w:t>
            </w:r>
          </w:p>
        </w:tc>
        <w:tc>
          <w:tcPr>
            <w:tcW w:w="240" w:type="dxa"/>
            <w:vAlign w:val="bottom"/>
            <w:tcBorders>
              <w:top w:val="single" w:sz="8" w:color="auto"/>
              <w:bottom w:val="single" w:sz="8" w:color="auto"/>
            </w:tcBorders>
            <w:shd w:val="clear" w:color="auto" w:fill="D8D8D8"/>
          </w:tcPr>
          <w:p>
            <w:pPr>
              <w:spacing w:after="0"/>
              <w:rPr>
                <w:sz w:val="21"/>
                <w:szCs w:val="21"/>
                <w:color w:val="auto"/>
              </w:rPr>
            </w:pPr>
          </w:p>
        </w:tc>
        <w:tc>
          <w:tcPr>
            <w:tcW w:w="1820" w:type="dxa"/>
            <w:vAlign w:val="bottom"/>
            <w:tcBorders>
              <w:top w:val="single" w:sz="8" w:color="auto"/>
              <w:bottom w:val="single" w:sz="8" w:color="auto"/>
            </w:tcBorders>
            <w:shd w:val="clear" w:color="auto" w:fill="D8D8D8"/>
          </w:tcPr>
          <w:p>
            <w:pPr>
              <w:jc w:val="right"/>
              <w:ind w:right="155"/>
              <w:spacing w:after="0"/>
              <w:rPr>
                <w:sz w:val="20"/>
                <w:szCs w:val="20"/>
                <w:color w:val="auto"/>
              </w:rPr>
            </w:pPr>
            <w:r>
              <w:rPr>
                <w:rFonts w:ascii="Arial" w:cs="Arial" w:eastAsia="Arial" w:hAnsi="Arial"/>
                <w:sz w:val="17"/>
                <w:szCs w:val="17"/>
                <w:color w:val="auto"/>
              </w:rPr>
              <w:t>December 31, 2025</w:t>
            </w:r>
          </w:p>
        </w:tc>
      </w:tr>
      <w:tr>
        <w:trPr>
          <w:trHeight w:val="214"/>
        </w:trPr>
        <w:tc>
          <w:tcPr>
            <w:tcW w:w="4880" w:type="dxa"/>
            <w:vAlign w:val="bottom"/>
          </w:tcPr>
          <w:p>
            <w:pPr>
              <w:ind w:left="40"/>
              <w:spacing w:after="0"/>
              <w:rPr>
                <w:sz w:val="20"/>
                <w:szCs w:val="20"/>
                <w:color w:val="auto"/>
              </w:rPr>
            </w:pPr>
            <w:r>
              <w:rPr>
                <w:rFonts w:ascii="Arial" w:cs="Arial" w:eastAsia="Arial" w:hAnsi="Arial"/>
                <w:sz w:val="17"/>
                <w:szCs w:val="17"/>
                <w:color w:val="auto"/>
              </w:rPr>
              <w:t>Operating lease right-of-use assets</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40" w:type="dxa"/>
            <w:vAlign w:val="bottom"/>
          </w:tcPr>
          <w:p>
            <w:pPr>
              <w:jc w:val="right"/>
              <w:ind w:right="15"/>
              <w:spacing w:after="0"/>
              <w:rPr>
                <w:sz w:val="20"/>
                <w:szCs w:val="20"/>
                <w:color w:val="auto"/>
              </w:rPr>
            </w:pPr>
            <w:r>
              <w:rPr>
                <w:rFonts w:ascii="Arial" w:cs="Arial" w:eastAsia="Arial" w:hAnsi="Arial"/>
                <w:sz w:val="17"/>
                <w:szCs w:val="17"/>
                <w:b w:val="1"/>
                <w:bCs w:val="1"/>
                <w:color w:val="auto"/>
              </w:rPr>
              <w:t>7,379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5,231</w:t>
            </w:r>
          </w:p>
        </w:tc>
      </w:tr>
      <w:tr>
        <w:trPr>
          <w:trHeight w:val="236"/>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Operating lease obligations</w:t>
            </w:r>
          </w:p>
        </w:tc>
        <w:tc>
          <w:tcPr>
            <w:tcW w:w="2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7,217</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60" w:hanging="446"/>
        <w:spacing w:after="0"/>
        <w:tabs>
          <w:tab w:leader="none" w:pos="4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5"/>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color w:val="929292"/>
                <w:w w:val="98"/>
              </w:rPr>
              <w:t>Table of Contents</w:t>
            </w:r>
          </w:p>
        </w:tc>
        <w:tc>
          <w:tcPr>
            <w:tcW w:w="0" w:type="dxa"/>
            <w:vAlign w:val="bottom"/>
          </w:tcPr>
          <w:p>
            <w:pPr>
              <w:spacing w:after="0"/>
              <w:rPr>
                <w:sz w:val="1"/>
                <w:szCs w:val="1"/>
                <w:color w:val="auto"/>
              </w:rPr>
            </w:pPr>
          </w:p>
        </w:tc>
      </w:tr>
      <w:tr>
        <w:trPr>
          <w:trHeight w:val="247"/>
        </w:trPr>
        <w:tc>
          <w:tcPr>
            <w:tcW w:w="6760" w:type="dxa"/>
            <w:vAlign w:val="bottom"/>
          </w:tcPr>
          <w:p>
            <w:pPr>
              <w:ind w:left="20"/>
              <w:spacing w:after="0"/>
              <w:rPr>
                <w:sz w:val="20"/>
                <w:szCs w:val="20"/>
                <w:color w:val="auto"/>
              </w:rPr>
            </w:pPr>
            <w:r>
              <w:rPr>
                <w:rFonts w:ascii="Arial" w:cs="Arial" w:eastAsia="Arial" w:hAnsi="Arial"/>
                <w:sz w:val="18"/>
                <w:szCs w:val="18"/>
                <w:b w:val="1"/>
                <w:bCs w:val="1"/>
                <w:color w:val="B6B6B6"/>
              </w:rPr>
              <w:t>FOOTNOTES</w:t>
            </w: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3"/>
        </w:trPr>
        <w:tc>
          <w:tcPr>
            <w:tcW w:w="6760" w:type="dxa"/>
            <w:vAlign w:val="bottom"/>
          </w:tcPr>
          <w:p>
            <w:pPr>
              <w:spacing w:after="0"/>
              <w:rPr>
                <w:sz w:val="20"/>
                <w:szCs w:val="20"/>
                <w:color w:val="auto"/>
              </w:rPr>
            </w:pPr>
            <w:r>
              <w:rPr>
                <w:rFonts w:ascii="Arial" w:cs="Arial" w:eastAsia="Arial" w:hAnsi="Arial"/>
                <w:sz w:val="17"/>
                <w:szCs w:val="17"/>
                <w:color w:val="auto"/>
              </w:rPr>
              <w:t>Future minimum lease payments as of September 30, 2026, are as follows:</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760" w:type="dxa"/>
            <w:vAlign w:val="bottom"/>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320" w:type="dxa"/>
            <w:vAlign w:val="bottom"/>
            <w:shd w:val="clear" w:color="auto" w:fill="D8D8D8"/>
          </w:tcPr>
          <w:p>
            <w:pPr>
              <w:spacing w:after="0"/>
              <w:rPr>
                <w:sz w:val="13"/>
                <w:szCs w:val="13"/>
                <w:color w:val="auto"/>
              </w:rPr>
            </w:pPr>
          </w:p>
        </w:tc>
        <w:tc>
          <w:tcPr>
            <w:tcW w:w="980" w:type="dxa"/>
            <w:vAlign w:val="bottom"/>
            <w:shd w:val="clear" w:color="auto" w:fill="D8D8D8"/>
          </w:tcPr>
          <w:p>
            <w:pPr>
              <w:spacing w:after="0"/>
              <w:rPr>
                <w:sz w:val="13"/>
                <w:szCs w:val="13"/>
                <w:color w:val="auto"/>
              </w:rPr>
            </w:pPr>
          </w:p>
        </w:tc>
        <w:tc>
          <w:tcPr>
            <w:tcW w:w="58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1220" w:type="dxa"/>
            <w:vAlign w:val="bottom"/>
            <w:shd w:val="clear" w:color="auto" w:fill="D8D8D8"/>
          </w:tcPr>
          <w:p>
            <w:pPr>
              <w:jc w:val="right"/>
              <w:ind w:right="235"/>
              <w:spacing w:after="0" w:line="155" w:lineRule="exact"/>
              <w:rPr>
                <w:sz w:val="20"/>
                <w:szCs w:val="20"/>
                <w:color w:val="auto"/>
              </w:rPr>
            </w:pPr>
            <w:r>
              <w:rPr>
                <w:rFonts w:ascii="Arial" w:cs="Arial" w:eastAsia="Arial" w:hAnsi="Arial"/>
                <w:sz w:val="17"/>
                <w:szCs w:val="17"/>
                <w:b w:val="1"/>
                <w:bCs w:val="1"/>
                <w:color w:val="auto"/>
              </w:rPr>
              <w:t>Operating</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tcBorders>
            <w:vMerge w:val="continue"/>
            <w:shd w:val="clear" w:color="auto" w:fill="D8D8D8"/>
          </w:tcPr>
          <w:p>
            <w:pPr>
              <w:spacing w:after="0"/>
              <w:rPr>
                <w:sz w:val="19"/>
                <w:szCs w:val="19"/>
                <w:color w:val="auto"/>
              </w:rPr>
            </w:pPr>
          </w:p>
        </w:tc>
        <w:tc>
          <w:tcPr>
            <w:tcW w:w="132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spacing w:after="0"/>
              <w:rPr>
                <w:sz w:val="19"/>
                <w:szCs w:val="19"/>
                <w:color w:val="auto"/>
              </w:rPr>
            </w:pPr>
          </w:p>
        </w:tc>
        <w:tc>
          <w:tcPr>
            <w:tcW w:w="580" w:type="dxa"/>
            <w:vAlign w:val="bottom"/>
            <w:tcBorders>
              <w:bottom w:val="single" w:sz="8" w:color="auto"/>
            </w:tcBorders>
            <w:shd w:val="clear" w:color="auto" w:fill="D8D8D8"/>
          </w:tcPr>
          <w:p>
            <w:pPr>
              <w:spacing w:after="0"/>
              <w:rPr>
                <w:sz w:val="19"/>
                <w:szCs w:val="19"/>
                <w:color w:val="auto"/>
              </w:rPr>
            </w:pPr>
          </w:p>
        </w:tc>
        <w:tc>
          <w:tcPr>
            <w:tcW w:w="38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355"/>
              <w:spacing w:after="0"/>
              <w:rPr>
                <w:sz w:val="20"/>
                <w:szCs w:val="20"/>
                <w:color w:val="auto"/>
              </w:rPr>
            </w:pPr>
            <w:r>
              <w:rPr>
                <w:rFonts w:ascii="Arial" w:cs="Arial" w:eastAsia="Arial" w:hAnsi="Arial"/>
                <w:sz w:val="17"/>
                <w:szCs w:val="17"/>
                <w:b w:val="1"/>
                <w:bCs w:val="1"/>
                <w:color w:val="auto"/>
              </w:rPr>
              <w:t>Leases</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7"/>
                <w:szCs w:val="17"/>
                <w:color w:val="auto"/>
              </w:rPr>
              <w:t>Remainder of 2026</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7"/>
                <w:szCs w:val="17"/>
                <w:color w:val="auto"/>
              </w:rPr>
              <w:t>2027</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1,858</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7"/>
                <w:szCs w:val="17"/>
                <w:color w:val="auto"/>
              </w:rPr>
              <w:t>2028</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7"/>
                <w:szCs w:val="17"/>
                <w:color w:val="auto"/>
              </w:rPr>
              <w:t>2029</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7"/>
                <w:szCs w:val="17"/>
                <w:color w:val="auto"/>
              </w:rPr>
              <w:t>2030</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1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5,810</w:t>
            </w: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11,057</w:t>
            </w:r>
          </w:p>
        </w:tc>
        <w:tc>
          <w:tcPr>
            <w:tcW w:w="0" w:type="dxa"/>
            <w:vAlign w:val="bottom"/>
          </w:tcPr>
          <w:p>
            <w:pPr>
              <w:spacing w:after="0"/>
              <w:rPr>
                <w:sz w:val="1"/>
                <w:szCs w:val="1"/>
                <w:color w:val="auto"/>
              </w:rPr>
            </w:pPr>
          </w:p>
        </w:tc>
      </w:tr>
      <w:tr>
        <w:trPr>
          <w:trHeight w:val="232"/>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imputed interest</w:t>
            </w:r>
          </w:p>
        </w:tc>
        <w:tc>
          <w:tcPr>
            <w:tcW w:w="1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(3,840)</w:t>
            </w:r>
          </w:p>
        </w:tc>
        <w:tc>
          <w:tcPr>
            <w:tcW w:w="0" w:type="dxa"/>
            <w:vAlign w:val="bottom"/>
          </w:tcPr>
          <w:p>
            <w:pPr>
              <w:spacing w:after="0"/>
              <w:rPr>
                <w:sz w:val="1"/>
                <w:szCs w:val="1"/>
                <w:color w:val="auto"/>
              </w:rPr>
            </w:pPr>
          </w:p>
        </w:tc>
      </w:tr>
      <w:tr>
        <w:trPr>
          <w:trHeight w:val="227"/>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Present value of lease liabilities</w:t>
            </w:r>
          </w:p>
        </w:tc>
        <w:tc>
          <w:tcPr>
            <w:tcW w:w="1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7,217</w:t>
            </w:r>
          </w:p>
        </w:tc>
        <w:tc>
          <w:tcPr>
            <w:tcW w:w="0" w:type="dxa"/>
            <w:vAlign w:val="bottom"/>
          </w:tcPr>
          <w:p>
            <w:pPr>
              <w:spacing w:after="0"/>
              <w:rPr>
                <w:sz w:val="1"/>
                <w:szCs w:val="1"/>
                <w:color w:val="auto"/>
              </w:rPr>
            </w:pPr>
          </w:p>
        </w:tc>
      </w:tr>
      <w:tr>
        <w:trPr>
          <w:trHeight w:val="522"/>
        </w:trPr>
        <w:tc>
          <w:tcPr>
            <w:tcW w:w="6760" w:type="dxa"/>
            <w:vAlign w:val="bottom"/>
          </w:tcPr>
          <w:p>
            <w:pPr>
              <w:spacing w:after="0"/>
              <w:rPr>
                <w:sz w:val="20"/>
                <w:szCs w:val="20"/>
                <w:color w:val="auto"/>
              </w:rPr>
            </w:pPr>
            <w:r>
              <w:rPr>
                <w:rFonts w:ascii="Arial" w:cs="Arial" w:eastAsia="Arial" w:hAnsi="Arial"/>
                <w:sz w:val="17"/>
                <w:szCs w:val="17"/>
                <w:color w:val="auto"/>
              </w:rPr>
              <w:t>Other information related to the Company’s lessee agreements is as follows:</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Supplemental Condensed Consolidated Statements of Cash Flows Information</w:t>
            </w:r>
          </w:p>
        </w:tc>
        <w:tc>
          <w:tcPr>
            <w:tcW w:w="1320" w:type="dxa"/>
            <w:vAlign w:val="bottom"/>
            <w:tcBorders>
              <w:bottom w:val="single" w:sz="8" w:color="D8D8D8"/>
            </w:tcBorders>
            <w:shd w:val="clear" w:color="auto" w:fill="D8D8D8"/>
          </w:tcPr>
          <w:p>
            <w:pPr>
              <w:spacing w:after="0"/>
              <w:rPr>
                <w:sz w:val="19"/>
                <w:szCs w:val="19"/>
                <w:color w:val="auto"/>
              </w:rPr>
            </w:pPr>
          </w:p>
        </w:tc>
        <w:tc>
          <w:tcPr>
            <w:tcW w:w="3160" w:type="dxa"/>
            <w:vAlign w:val="bottom"/>
            <w:tcBorders>
              <w:bottom w:val="single" w:sz="8" w:color="auto"/>
            </w:tcBorders>
            <w:gridSpan w:val="4"/>
            <w:shd w:val="clear" w:color="auto" w:fill="D8D8D8"/>
          </w:tcPr>
          <w:p>
            <w:pPr>
              <w:jc w:val="right"/>
              <w:ind w:right="95"/>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32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7"/>
                <w:szCs w:val="17"/>
                <w:b w:val="1"/>
                <w:bCs w:val="1"/>
                <w:color w:val="auto"/>
              </w:rPr>
              <w:t>2026</w:t>
            </w:r>
          </w:p>
        </w:tc>
        <w:tc>
          <w:tcPr>
            <w:tcW w:w="580" w:type="dxa"/>
            <w:vAlign w:val="bottom"/>
            <w:tcBorders>
              <w:bottom w:val="single" w:sz="8" w:color="auto"/>
            </w:tcBorders>
            <w:shd w:val="clear" w:color="auto" w:fill="D8D8D8"/>
          </w:tcPr>
          <w:p>
            <w:pPr>
              <w:spacing w:after="0"/>
              <w:rPr>
                <w:sz w:val="19"/>
                <w:szCs w:val="19"/>
                <w:color w:val="auto"/>
              </w:rPr>
            </w:pPr>
          </w:p>
        </w:tc>
        <w:tc>
          <w:tcPr>
            <w:tcW w:w="38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49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Operating cash flows on operating leases</w:t>
            </w:r>
          </w:p>
        </w:tc>
        <w:tc>
          <w:tcPr>
            <w:tcW w:w="2300" w:type="dxa"/>
            <w:vAlign w:val="bottom"/>
            <w:tcBorders>
              <w:bottom w:val="single" w:sz="8" w:color="auto"/>
            </w:tcBorders>
            <w:gridSpan w:val="2"/>
          </w:tcPr>
          <w:p>
            <w:pPr>
              <w:jc w:val="right"/>
              <w:ind w:right="775"/>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1,200</w:t>
            </w:r>
          </w:p>
        </w:tc>
        <w:tc>
          <w:tcPr>
            <w:tcW w:w="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92"/>
        </w:trPr>
        <w:tc>
          <w:tcPr>
            <w:tcW w:w="67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21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Other Information</w:t>
            </w:r>
          </w:p>
        </w:tc>
        <w:tc>
          <w:tcPr>
            <w:tcW w:w="2300" w:type="dxa"/>
            <w:vAlign w:val="bottom"/>
            <w:tcBorders>
              <w:bottom w:val="single" w:sz="8" w:color="auto"/>
            </w:tcBorders>
            <w:gridSpan w:val="2"/>
            <w:shd w:val="clear" w:color="auto" w:fill="D8D8D8"/>
          </w:tcPr>
          <w:p>
            <w:pPr>
              <w:jc w:val="right"/>
              <w:ind w:right="255"/>
              <w:spacing w:after="0"/>
              <w:rPr>
                <w:sz w:val="20"/>
                <w:szCs w:val="20"/>
                <w:color w:val="auto"/>
              </w:rPr>
            </w:pPr>
            <w:r>
              <w:rPr>
                <w:rFonts w:ascii="Arial" w:cs="Arial" w:eastAsia="Arial" w:hAnsi="Arial"/>
                <w:sz w:val="17"/>
                <w:szCs w:val="17"/>
                <w:b w:val="1"/>
                <w:bCs w:val="1"/>
                <w:color w:val="auto"/>
              </w:rPr>
              <w:t>September 30, 2026</w:t>
            </w:r>
          </w:p>
        </w:tc>
        <w:tc>
          <w:tcPr>
            <w:tcW w:w="2180" w:type="dxa"/>
            <w:vAlign w:val="bottom"/>
            <w:tcBorders>
              <w:bottom w:val="single" w:sz="8" w:color="auto"/>
            </w:tcBorders>
            <w:gridSpan w:val="3"/>
            <w:shd w:val="clear" w:color="auto" w:fill="D8D8D8"/>
          </w:tcPr>
          <w:p>
            <w:pPr>
              <w:jc w:val="right"/>
              <w:ind w:right="215"/>
              <w:spacing w:after="0"/>
              <w:rPr>
                <w:sz w:val="20"/>
                <w:szCs w:val="20"/>
                <w:color w:val="auto"/>
              </w:rPr>
            </w:pPr>
            <w:r>
              <w:rPr>
                <w:rFonts w:ascii="Arial" w:cs="Arial" w:eastAsia="Arial" w:hAnsi="Arial"/>
                <w:sz w:val="17"/>
                <w:szCs w:val="17"/>
                <w:color w:val="auto"/>
              </w:rPr>
              <w:t>September 30, 2025</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2300" w:type="dxa"/>
            <w:vAlign w:val="bottom"/>
            <w:gridSpan w:val="2"/>
          </w:tcPr>
          <w:p>
            <w:pPr>
              <w:jc w:val="right"/>
              <w:spacing w:after="0"/>
              <w:rPr>
                <w:sz w:val="20"/>
                <w:szCs w:val="20"/>
                <w:color w:val="auto"/>
              </w:rPr>
            </w:pPr>
            <w:r>
              <w:rPr>
                <w:rFonts w:ascii="Arial" w:cs="Arial" w:eastAsia="Arial" w:hAnsi="Arial"/>
                <w:sz w:val="17"/>
                <w:szCs w:val="17"/>
                <w:b w:val="1"/>
                <w:bCs w:val="1"/>
                <w:color w:val="auto"/>
              </w:rPr>
              <w:t>12.3</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Operating leases</w:t>
            </w: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5.9 %</w:t>
            </w: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7.2 %</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Lessor Arrangements </w:t>
      </w:r>
      <w:r>
        <w:rPr>
          <w:rFonts w:ascii="Arial" w:cs="Arial" w:eastAsia="Arial" w:hAnsi="Arial"/>
          <w:sz w:val="17"/>
          <w:szCs w:val="17"/>
          <w:color w:val="000000"/>
        </w:rPr>
        <w:t>The Company receives rental income from the leasing of retail, office, multifamily, and other space under operating leases,</w:t>
      </w:r>
      <w:r>
        <w:rPr>
          <w:rFonts w:ascii="Arial" w:cs="Arial" w:eastAsia="Arial" w:hAnsi="Arial"/>
          <w:sz w:val="17"/>
          <w:szCs w:val="17"/>
          <w:b w:val="1"/>
          <w:bCs w:val="1"/>
          <w:color w:val="00497F"/>
        </w:rPr>
        <w:t xml:space="preserve"> </w:t>
      </w:r>
      <w:r>
        <w:rPr>
          <w:rFonts w:ascii="Arial" w:cs="Arial" w:eastAsia="Arial" w:hAnsi="Arial"/>
          <w:sz w:val="17"/>
          <w:szCs w:val="17"/>
          <w:color w:val="000000"/>
        </w:rPr>
        <w:t>as well as certain variable tenant recoveries. Operating leases for retail, office, and other properties are with a variety of tenants and have a remaining average term of approximately five years. Lease terms generally vary among tenants and may include early termination options, extension options, and fixed rental rate increases or rental rate increases based on an index. Multifamily leases generally have a term of 12 months or less. Minimum rent revenues related to operating leases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20" w:type="dxa"/>
            <w:vAlign w:val="bottom"/>
            <w:tcBorders>
              <w:top w:val="single" w:sz="8" w:color="auto"/>
            </w:tcBorders>
            <w:shd w:val="clear" w:color="auto" w:fill="D8D8D8"/>
          </w:tcPr>
          <w:p>
            <w:pPr>
              <w:spacing w:after="0"/>
              <w:rPr>
                <w:sz w:val="21"/>
                <w:szCs w:val="21"/>
                <w:color w:val="auto"/>
              </w:rPr>
            </w:pPr>
          </w:p>
        </w:tc>
        <w:tc>
          <w:tcPr>
            <w:tcW w:w="3780" w:type="dxa"/>
            <w:vAlign w:val="bottom"/>
            <w:tcBorders>
              <w:top w:val="single" w:sz="8" w:color="auto"/>
            </w:tcBorders>
            <w:gridSpan w:val="5"/>
            <w:shd w:val="clear" w:color="auto" w:fill="D8D8D8"/>
          </w:tcPr>
          <w:p>
            <w:pPr>
              <w:ind w:left="400"/>
              <w:spacing w:after="0"/>
              <w:rPr>
                <w:sz w:val="20"/>
                <w:szCs w:val="20"/>
                <w:color w:val="auto"/>
              </w:rPr>
            </w:pPr>
            <w:r>
              <w:rPr>
                <w:rFonts w:ascii="Arial" w:cs="Arial" w:eastAsia="Arial" w:hAnsi="Arial"/>
                <w:sz w:val="17"/>
                <w:szCs w:val="17"/>
                <w:b w:val="1"/>
                <w:bCs w:val="1"/>
                <w:color w:val="auto"/>
              </w:rPr>
              <w:t>Three Months Ended September 30,</w:t>
            </w:r>
          </w:p>
        </w:tc>
        <w:tc>
          <w:tcPr>
            <w:tcW w:w="280" w:type="dxa"/>
            <w:vAlign w:val="bottom"/>
            <w:tcBorders>
              <w:top w:val="single" w:sz="8" w:color="auto"/>
            </w:tcBorders>
            <w:shd w:val="clear" w:color="auto" w:fill="D8D8D8"/>
          </w:tcPr>
          <w:p>
            <w:pPr>
              <w:spacing w:after="0"/>
              <w:rPr>
                <w:sz w:val="21"/>
                <w:szCs w:val="21"/>
                <w:color w:val="auto"/>
              </w:rPr>
            </w:pPr>
          </w:p>
        </w:tc>
        <w:tc>
          <w:tcPr>
            <w:tcW w:w="3360" w:type="dxa"/>
            <w:vAlign w:val="bottom"/>
            <w:tcBorders>
              <w:top w:val="single" w:sz="8" w:color="auto"/>
            </w:tcBorders>
            <w:gridSpan w:val="3"/>
            <w:shd w:val="clear" w:color="auto" w:fill="D8D8D8"/>
          </w:tcPr>
          <w:p>
            <w:pPr>
              <w:jc w:val="right"/>
              <w:ind w:right="335"/>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2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1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7"/>
                <w:szCs w:val="17"/>
                <w:b w:val="1"/>
                <w:bCs w:val="1"/>
                <w:color w:val="auto"/>
              </w:rPr>
              <w:t>2026</w:t>
            </w:r>
          </w:p>
        </w:tc>
        <w:tc>
          <w:tcPr>
            <w:tcW w:w="680" w:type="dxa"/>
            <w:vAlign w:val="bottom"/>
            <w:tcBorders>
              <w:top w:val="single" w:sz="8" w:color="auto"/>
              <w:bottom w:val="single" w:sz="8" w:color="auto"/>
            </w:tcBorders>
            <w:shd w:val="clear" w:color="auto" w:fill="D8D8D8"/>
          </w:tcPr>
          <w:p>
            <w:pPr>
              <w:spacing w:after="0"/>
              <w:rPr>
                <w:sz w:val="19"/>
                <w:szCs w:val="19"/>
                <w:color w:val="auto"/>
              </w:rPr>
            </w:pPr>
          </w:p>
        </w:tc>
        <w:tc>
          <w:tcPr>
            <w:tcW w:w="480" w:type="dxa"/>
            <w:vAlign w:val="bottom"/>
            <w:tcBorders>
              <w:top w:val="single" w:sz="8" w:color="auto"/>
              <w:bottom w:val="single" w:sz="8" w:color="auto"/>
            </w:tcBorders>
            <w:shd w:val="clear" w:color="auto" w:fill="D8D8D8"/>
          </w:tcPr>
          <w:p>
            <w:pPr>
              <w:spacing w:after="0"/>
              <w:rPr>
                <w:sz w:val="19"/>
                <w:szCs w:val="19"/>
                <w:color w:val="auto"/>
              </w:rPr>
            </w:pPr>
          </w:p>
        </w:tc>
        <w:tc>
          <w:tcPr>
            <w:tcW w:w="1360" w:type="dxa"/>
            <w:vAlign w:val="bottom"/>
            <w:tcBorders>
              <w:top w:val="single" w:sz="8" w:color="auto"/>
              <w:bottom w:val="single" w:sz="8" w:color="auto"/>
            </w:tcBorders>
            <w:shd w:val="clear" w:color="auto" w:fill="D8D8D8"/>
          </w:tcPr>
          <w:p>
            <w:pPr>
              <w:jc w:val="right"/>
              <w:ind w:right="595"/>
              <w:spacing w:after="0"/>
              <w:rPr>
                <w:sz w:val="20"/>
                <w:szCs w:val="20"/>
                <w:color w:val="auto"/>
              </w:rPr>
            </w:pPr>
            <w:r>
              <w:rPr>
                <w:rFonts w:ascii="Arial" w:cs="Arial" w:eastAsia="Arial" w:hAnsi="Arial"/>
                <w:sz w:val="17"/>
                <w:szCs w:val="17"/>
                <w:color w:val="auto"/>
              </w:rPr>
              <w:t>2025</w:t>
            </w:r>
          </w:p>
        </w:tc>
        <w:tc>
          <w:tcPr>
            <w:tcW w:w="100" w:type="dxa"/>
            <w:vAlign w:val="bottom"/>
            <w:tcBorders>
              <w:top w:val="single" w:sz="8" w:color="D8D8D8"/>
              <w:bottom w:val="single" w:sz="8" w:color="auto"/>
            </w:tcBorders>
            <w:shd w:val="clear" w:color="auto" w:fill="D8D8D8"/>
          </w:tcPr>
          <w:p>
            <w:pPr>
              <w:spacing w:after="0"/>
              <w:rPr>
                <w:sz w:val="19"/>
                <w:szCs w:val="19"/>
                <w:color w:val="auto"/>
              </w:rPr>
            </w:pPr>
          </w:p>
        </w:tc>
        <w:tc>
          <w:tcPr>
            <w:tcW w:w="280" w:type="dxa"/>
            <w:vAlign w:val="bottom"/>
            <w:tcBorders>
              <w:top w:val="single" w:sz="8" w:color="auto"/>
              <w:bottom w:val="single" w:sz="8" w:color="auto"/>
            </w:tcBorders>
            <w:shd w:val="clear" w:color="auto" w:fill="D8D8D8"/>
          </w:tcPr>
          <w:p>
            <w:pPr>
              <w:spacing w:after="0"/>
              <w:rPr>
                <w:sz w:val="19"/>
                <w:szCs w:val="19"/>
                <w:color w:val="auto"/>
              </w:rPr>
            </w:pPr>
          </w:p>
        </w:tc>
        <w:tc>
          <w:tcPr>
            <w:tcW w:w="1500" w:type="dxa"/>
            <w:vAlign w:val="bottom"/>
            <w:tcBorders>
              <w:top w:val="single" w:sz="8" w:color="auto"/>
              <w:bottom w:val="single" w:sz="8" w:color="auto"/>
            </w:tcBorders>
            <w:shd w:val="clear" w:color="auto" w:fill="D8D8D8"/>
          </w:tcPr>
          <w:p>
            <w:pPr>
              <w:jc w:val="right"/>
              <w:ind w:right="615"/>
              <w:spacing w:after="0"/>
              <w:rPr>
                <w:sz w:val="20"/>
                <w:szCs w:val="20"/>
                <w:color w:val="auto"/>
              </w:rPr>
            </w:pPr>
            <w:r>
              <w:rPr>
                <w:rFonts w:ascii="Arial" w:cs="Arial" w:eastAsia="Arial" w:hAnsi="Arial"/>
                <w:sz w:val="17"/>
                <w:szCs w:val="17"/>
                <w:b w:val="1"/>
                <w:bCs w:val="1"/>
                <w:color w:val="auto"/>
              </w:rPr>
              <w:t>2026</w:t>
            </w:r>
          </w:p>
        </w:tc>
        <w:tc>
          <w:tcPr>
            <w:tcW w:w="440" w:type="dxa"/>
            <w:vAlign w:val="bottom"/>
            <w:tcBorders>
              <w:top w:val="single" w:sz="8" w:color="auto"/>
              <w:bottom w:val="single" w:sz="8" w:color="auto"/>
            </w:tcBorders>
            <w:shd w:val="clear" w:color="auto" w:fill="D8D8D8"/>
          </w:tcPr>
          <w:p>
            <w:pPr>
              <w:spacing w:after="0"/>
              <w:rPr>
                <w:sz w:val="19"/>
                <w:szCs w:val="19"/>
                <w:color w:val="auto"/>
              </w:rPr>
            </w:pPr>
          </w:p>
        </w:tc>
        <w:tc>
          <w:tcPr>
            <w:tcW w:w="1420" w:type="dxa"/>
            <w:vAlign w:val="bottom"/>
            <w:tcBorders>
              <w:top w:val="single" w:sz="8" w:color="auto"/>
              <w:bottom w:val="single" w:sz="8" w:color="auto"/>
            </w:tcBorders>
            <w:shd w:val="clear" w:color="auto" w:fill="D8D8D8"/>
          </w:tcPr>
          <w:p>
            <w:pPr>
              <w:jc w:val="right"/>
              <w:ind w:right="61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minimum rent payments</w:t>
            </w:r>
          </w:p>
        </w:tc>
        <w:tc>
          <w:tcPr>
            <w:tcW w:w="116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62,466</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62,312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187,470</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184,318</w:t>
            </w:r>
          </w:p>
        </w:tc>
        <w:tc>
          <w:tcPr>
            <w:tcW w:w="0" w:type="dxa"/>
            <w:vAlign w:val="bottom"/>
          </w:tcPr>
          <w:p>
            <w:pPr>
              <w:spacing w:after="0"/>
              <w:rPr>
                <w:sz w:val="1"/>
                <w:szCs w:val="1"/>
                <w:color w:val="auto"/>
              </w:rPr>
            </w:pPr>
          </w:p>
        </w:tc>
      </w:tr>
      <w:tr>
        <w:trPr>
          <w:trHeight w:val="533"/>
        </w:trPr>
        <w:tc>
          <w:tcPr>
            <w:tcW w:w="7880" w:type="dxa"/>
            <w:vAlign w:val="bottom"/>
            <w:gridSpan w:val="7"/>
          </w:tcPr>
          <w:p>
            <w:pPr>
              <w:spacing w:after="0"/>
              <w:rPr>
                <w:sz w:val="20"/>
                <w:szCs w:val="20"/>
                <w:color w:val="auto"/>
              </w:rPr>
            </w:pPr>
            <w:r>
              <w:rPr>
                <w:rFonts w:ascii="Arial" w:cs="Arial" w:eastAsia="Arial" w:hAnsi="Arial"/>
                <w:sz w:val="17"/>
                <w:szCs w:val="17"/>
                <w:color w:val="auto"/>
              </w:rPr>
              <w:t>Total future minimum rents associated with operating leases are as follows as of September 30, 2026:</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8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820" w:type="dxa"/>
            <w:vAlign w:val="bottom"/>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160" w:type="dxa"/>
            <w:vAlign w:val="bottom"/>
            <w:shd w:val="clear" w:color="auto" w:fill="D8D8D8"/>
          </w:tcPr>
          <w:p>
            <w:pPr>
              <w:spacing w:after="0"/>
              <w:rPr>
                <w:sz w:val="13"/>
                <w:szCs w:val="13"/>
                <w:color w:val="auto"/>
              </w:rPr>
            </w:pPr>
          </w:p>
        </w:tc>
        <w:tc>
          <w:tcPr>
            <w:tcW w:w="680" w:type="dxa"/>
            <w:vAlign w:val="bottom"/>
            <w:shd w:val="clear" w:color="auto" w:fill="D8D8D8"/>
          </w:tcPr>
          <w:p>
            <w:pPr>
              <w:spacing w:after="0"/>
              <w:rPr>
                <w:sz w:val="13"/>
                <w:szCs w:val="13"/>
                <w:color w:val="auto"/>
              </w:rPr>
            </w:pPr>
          </w:p>
        </w:tc>
        <w:tc>
          <w:tcPr>
            <w:tcW w:w="480" w:type="dxa"/>
            <w:vAlign w:val="bottom"/>
            <w:shd w:val="clear" w:color="auto" w:fill="D8D8D8"/>
          </w:tcPr>
          <w:p>
            <w:pPr>
              <w:spacing w:after="0"/>
              <w:rPr>
                <w:sz w:val="13"/>
                <w:szCs w:val="13"/>
                <w:color w:val="auto"/>
              </w:rPr>
            </w:pPr>
          </w:p>
        </w:tc>
        <w:tc>
          <w:tcPr>
            <w:tcW w:w="136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150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1420" w:type="dxa"/>
            <w:vAlign w:val="bottom"/>
            <w:shd w:val="clear" w:color="auto" w:fill="D8D8D8"/>
          </w:tcPr>
          <w:p>
            <w:pPr>
              <w:jc w:val="right"/>
              <w:ind w:right="115"/>
              <w:spacing w:after="0" w:line="155" w:lineRule="exact"/>
              <w:rPr>
                <w:sz w:val="20"/>
                <w:szCs w:val="20"/>
                <w:color w:val="auto"/>
              </w:rPr>
            </w:pPr>
            <w:r>
              <w:rPr>
                <w:rFonts w:ascii="Arial" w:cs="Arial" w:eastAsia="Arial" w:hAnsi="Arial"/>
                <w:sz w:val="17"/>
                <w:szCs w:val="17"/>
                <w:b w:val="1"/>
                <w:bCs w:val="1"/>
                <w:color w:val="auto"/>
                <w:w w:val="99"/>
              </w:rPr>
              <w:t>Total Minimum</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vMerge w:val="continue"/>
            <w:shd w:val="clear" w:color="auto" w:fill="D8D8D8"/>
          </w:tcPr>
          <w:p>
            <w:pPr>
              <w:spacing w:after="0"/>
              <w:rPr>
                <w:sz w:val="19"/>
                <w:szCs w:val="19"/>
                <w:color w:val="auto"/>
              </w:rPr>
            </w:pPr>
          </w:p>
        </w:tc>
        <w:tc>
          <w:tcPr>
            <w:tcW w:w="1160" w:type="dxa"/>
            <w:vAlign w:val="bottom"/>
            <w:tcBorders>
              <w:bottom w:val="single" w:sz="8" w:color="auto"/>
            </w:tcBorders>
            <w:shd w:val="clear" w:color="auto" w:fill="D8D8D8"/>
          </w:tcPr>
          <w:p>
            <w:pPr>
              <w:spacing w:after="0"/>
              <w:rPr>
                <w:sz w:val="19"/>
                <w:szCs w:val="19"/>
                <w:color w:val="auto"/>
              </w:rPr>
            </w:pPr>
          </w:p>
        </w:tc>
        <w:tc>
          <w:tcPr>
            <w:tcW w:w="680" w:type="dxa"/>
            <w:vAlign w:val="bottom"/>
            <w:tcBorders>
              <w:bottom w:val="single" w:sz="8" w:color="auto"/>
            </w:tcBorders>
            <w:shd w:val="clear" w:color="auto" w:fill="D8D8D8"/>
          </w:tcPr>
          <w:p>
            <w:pPr>
              <w:spacing w:after="0"/>
              <w:rPr>
                <w:sz w:val="19"/>
                <w:szCs w:val="19"/>
                <w:color w:val="auto"/>
              </w:rPr>
            </w:pPr>
          </w:p>
        </w:tc>
        <w:tc>
          <w:tcPr>
            <w:tcW w:w="480" w:type="dxa"/>
            <w:vAlign w:val="bottom"/>
            <w:tcBorders>
              <w:bottom w:val="single" w:sz="8" w:color="auto"/>
            </w:tcBorders>
            <w:shd w:val="clear" w:color="auto" w:fill="D8D8D8"/>
          </w:tcPr>
          <w:p>
            <w:pPr>
              <w:spacing w:after="0"/>
              <w:rPr>
                <w:sz w:val="19"/>
                <w:szCs w:val="19"/>
                <w:color w:val="auto"/>
              </w:rPr>
            </w:pPr>
          </w:p>
        </w:tc>
        <w:tc>
          <w:tcPr>
            <w:tcW w:w="1360" w:type="dxa"/>
            <w:vAlign w:val="bottom"/>
            <w:tcBorders>
              <w:bottom w:val="single" w:sz="8" w:color="auto"/>
            </w:tcBorders>
            <w:shd w:val="clear" w:color="auto" w:fill="D8D8D8"/>
          </w:tcPr>
          <w:p>
            <w:pPr>
              <w:spacing w:after="0"/>
              <w:rPr>
                <w:sz w:val="19"/>
                <w:szCs w:val="19"/>
                <w:color w:val="auto"/>
              </w:rPr>
            </w:pPr>
          </w:p>
        </w:tc>
        <w:tc>
          <w:tcPr>
            <w:tcW w:w="100" w:type="dxa"/>
            <w:vAlign w:val="bottom"/>
            <w:tcBorders>
              <w:bottom w:val="single" w:sz="8" w:color="auto"/>
            </w:tcBorders>
            <w:shd w:val="clear" w:color="auto" w:fill="D8D8D8"/>
          </w:tcPr>
          <w:p>
            <w:pPr>
              <w:spacing w:after="0"/>
              <w:rPr>
                <w:sz w:val="19"/>
                <w:szCs w:val="19"/>
                <w:color w:val="auto"/>
              </w:rPr>
            </w:pPr>
          </w:p>
        </w:tc>
        <w:tc>
          <w:tcPr>
            <w:tcW w:w="280" w:type="dxa"/>
            <w:vAlign w:val="bottom"/>
            <w:tcBorders>
              <w:bottom w:val="single" w:sz="8" w:color="auto"/>
            </w:tcBorders>
            <w:shd w:val="clear" w:color="auto" w:fill="D8D8D8"/>
          </w:tcPr>
          <w:p>
            <w:pPr>
              <w:spacing w:after="0"/>
              <w:rPr>
                <w:sz w:val="19"/>
                <w:szCs w:val="19"/>
                <w:color w:val="auto"/>
              </w:rPr>
            </w:pPr>
          </w:p>
        </w:tc>
        <w:tc>
          <w:tcPr>
            <w:tcW w:w="1500" w:type="dxa"/>
            <w:vAlign w:val="bottom"/>
            <w:tcBorders>
              <w:bottom w:val="single" w:sz="8" w:color="auto"/>
            </w:tcBorders>
            <w:shd w:val="clear" w:color="auto" w:fill="D8D8D8"/>
          </w:tcPr>
          <w:p>
            <w:pPr>
              <w:spacing w:after="0"/>
              <w:rPr>
                <w:sz w:val="19"/>
                <w:szCs w:val="19"/>
                <w:color w:val="auto"/>
              </w:rPr>
            </w:pPr>
          </w:p>
        </w:tc>
        <w:tc>
          <w:tcPr>
            <w:tcW w:w="440" w:type="dxa"/>
            <w:vAlign w:val="bottom"/>
            <w:tcBorders>
              <w:bottom w:val="single" w:sz="8" w:color="auto"/>
            </w:tcBorders>
            <w:shd w:val="clear" w:color="auto" w:fill="D8D8D8"/>
          </w:tcPr>
          <w:p>
            <w:pPr>
              <w:spacing w:after="0"/>
              <w:rPr>
                <w:sz w:val="19"/>
                <w:szCs w:val="19"/>
                <w:color w:val="auto"/>
              </w:rPr>
            </w:pPr>
          </w:p>
        </w:tc>
        <w:tc>
          <w:tcPr>
            <w:tcW w:w="1420" w:type="dxa"/>
            <w:vAlign w:val="bottom"/>
            <w:tcBorders>
              <w:bottom w:val="single" w:sz="8" w:color="auto"/>
            </w:tcBorders>
            <w:shd w:val="clear" w:color="auto" w:fill="D8D8D8"/>
          </w:tcPr>
          <w:p>
            <w:pPr>
              <w:jc w:val="right"/>
              <w:ind w:right="515"/>
              <w:spacing w:after="0"/>
              <w:rPr>
                <w:sz w:val="20"/>
                <w:szCs w:val="20"/>
                <w:color w:val="auto"/>
              </w:rPr>
            </w:pPr>
            <w:r>
              <w:rPr>
                <w:rFonts w:ascii="Arial" w:cs="Arial" w:eastAsia="Arial" w:hAnsi="Arial"/>
                <w:sz w:val="17"/>
                <w:szCs w:val="17"/>
                <w:b w:val="1"/>
                <w:bCs w:val="1"/>
                <w:color w:val="auto"/>
              </w:rPr>
              <w:t>Rent</w:t>
            </w: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Arial" w:cs="Arial" w:eastAsia="Arial" w:hAnsi="Arial"/>
                <w:sz w:val="17"/>
                <w:szCs w:val="17"/>
                <w:color w:val="auto"/>
              </w:rPr>
              <w:t>Remainder of 2026</w:t>
            </w: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65,035</w:t>
            </w: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7"/>
                <w:szCs w:val="17"/>
                <w:color w:val="auto"/>
              </w:rPr>
              <w:t>2027</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266,830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7"/>
                <w:szCs w:val="17"/>
                <w:color w:val="auto"/>
              </w:rPr>
              <w:t>2028</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252,279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7"/>
                <w:szCs w:val="17"/>
                <w:color w:val="auto"/>
              </w:rPr>
              <w:t>2029</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235,025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7"/>
                <w:szCs w:val="17"/>
                <w:color w:val="auto"/>
              </w:rPr>
              <w:t>2030</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209,652</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745,041</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1,773,862</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spacing w:after="0" w:line="227" w:lineRule="exact"/>
        <w:rPr>
          <w:sz w:val="20"/>
          <w:szCs w:val="20"/>
          <w:color w:val="auto"/>
        </w:rPr>
      </w:pPr>
      <w:r>
        <w:rPr>
          <w:rFonts w:ascii="Arial" w:cs="Arial" w:eastAsia="Arial" w:hAnsi="Arial"/>
          <w:sz w:val="17"/>
          <w:szCs w:val="17"/>
          <w:color w:val="auto"/>
        </w:rPr>
        <w:t>Minimum rent revenues are recognized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terms of the related leases when collectability of the lease payments is probable and the tenant has taken possession of, or controls, the physical use of the leased asset. Percentage rent in lieu of fixed minimum rent is recognized as sales are reported from tenants. Minimum rent revenues reported in the Condensed Consolidated Statements of Operations also include amortization related to above-market and below</w:t>
      </w:r>
      <w:r>
        <w:rPr>
          <w:rFonts w:ascii="MS PGothic" w:cs="MS PGothic" w:eastAsia="MS PGothic" w:hAnsi="MS PGothic"/>
          <w:sz w:val="17"/>
          <w:szCs w:val="17"/>
          <w:color w:val="auto"/>
        </w:rPr>
        <w:t>‑</w:t>
      </w:r>
      <w:r>
        <w:rPr>
          <w:rFonts w:ascii="Arial" w:cs="Arial" w:eastAsia="Arial" w:hAnsi="Arial"/>
          <w:sz w:val="17"/>
          <w:szCs w:val="17"/>
          <w:color w:val="auto"/>
        </w:rPr>
        <w:t>market tenant leases on acquired properties.</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60" w:hanging="446"/>
        <w:spacing w:after="0"/>
        <w:tabs>
          <w:tab w:leader="none" w:pos="49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44" w:name="page45"/>
    <w:bookmarkEnd w:id="44"/>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19.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00497F"/>
        </w:rPr>
        <w:t xml:space="preserve">Vantage Acquisition </w:t>
      </w:r>
      <w:r>
        <w:rPr>
          <w:rFonts w:ascii="Arial" w:cs="Arial" w:eastAsia="Arial" w:hAnsi="Arial"/>
          <w:sz w:val="17"/>
          <w:szCs w:val="17"/>
          <w:color w:val="000000"/>
        </w:rPr>
        <w:t>On June 4, 2026, HHH completed the acquisition of Vantage, a privately held specialty insurance and reinsurance company.</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Refer to Note 1 - </w:t>
      </w:r>
      <w:r>
        <w:rPr>
          <w:rFonts w:ascii="Arial" w:cs="Arial" w:eastAsia="Arial" w:hAnsi="Arial"/>
          <w:sz w:val="17"/>
          <w:szCs w:val="17"/>
          <w:i w:val="1"/>
          <w:iCs w:val="1"/>
          <w:color w:val="000000"/>
        </w:rPr>
        <w:t>Presentation of Financial Statements and Significant Accounting Policies</w:t>
      </w:r>
      <w:r>
        <w:rPr>
          <w:rFonts w:ascii="Arial" w:cs="Arial" w:eastAsia="Arial" w:hAnsi="Arial"/>
          <w:sz w:val="17"/>
          <w:szCs w:val="17"/>
          <w:color w:val="000000"/>
        </w:rPr>
        <w:t xml:space="preserve"> and Note 2 - </w:t>
      </w:r>
      <w:r>
        <w:rPr>
          <w:rFonts w:ascii="Arial" w:cs="Arial" w:eastAsia="Arial" w:hAnsi="Arial"/>
          <w:sz w:val="17"/>
          <w:szCs w:val="17"/>
          <w:i w:val="1"/>
          <w:iCs w:val="1"/>
          <w:color w:val="000000"/>
        </w:rPr>
        <w:t>Vantage Acquisition</w:t>
      </w:r>
      <w:r>
        <w:rPr>
          <w:rFonts w:ascii="Arial" w:cs="Arial" w:eastAsia="Arial" w:hAnsi="Arial"/>
          <w:sz w:val="17"/>
          <w:szCs w:val="17"/>
          <w:color w:val="000000"/>
        </w:rPr>
        <w:t xml:space="preserve"> for additional information on the transaction.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Due to the recent timing of the Vantage Acquisition, the Company is continuing to evaluate the acquired operations and overall strategy, including the manner in which the Chief Operating Decision Maker (CODM) reviews financial information and allocates resources. Accordingly, the results of the acquired business have not yet been separately reflected within the Company’s segment reporting disclosures as of September 30, 2026. The Company expects to finalize its segment reporting assessment as integration activities progress. The Company separately disclosed the impact of the Vantage Acquisition in the reconciliations below.</w:t>
      </w:r>
    </w:p>
    <w:p>
      <w:pPr>
        <w:spacing w:after="0" w:line="222" w:lineRule="exact"/>
        <w:rPr>
          <w:sz w:val="20"/>
          <w:szCs w:val="20"/>
          <w:color w:val="auto"/>
        </w:rPr>
      </w:pPr>
    </w:p>
    <w:p>
      <w:pPr>
        <w:jc w:val="both"/>
        <w:ind w:firstLine="8"/>
        <w:spacing w:after="0" w:line="257" w:lineRule="auto"/>
        <w:tabs>
          <w:tab w:leader="none" w:pos="418" w:val="left"/>
        </w:tabs>
        <w:numPr>
          <w:ilvl w:val="0"/>
          <w:numId w:val="57"/>
        </w:numPr>
        <w:rPr>
          <w:rFonts w:ascii="Arial" w:cs="Arial" w:eastAsia="Arial" w:hAnsi="Arial"/>
          <w:sz w:val="17"/>
          <w:szCs w:val="17"/>
          <w:b w:val="1"/>
          <w:bCs w:val="1"/>
          <w:color w:val="00497F"/>
        </w:rPr>
      </w:pPr>
      <w:r>
        <w:rPr>
          <w:rFonts w:ascii="Arial" w:cs="Arial" w:eastAsia="Arial" w:hAnsi="Arial"/>
          <w:sz w:val="17"/>
          <w:szCs w:val="17"/>
          <w:b w:val="1"/>
          <w:bCs w:val="1"/>
          <w:color w:val="00497F"/>
        </w:rPr>
        <w:t xml:space="preserve">Segments </w:t>
      </w:r>
      <w:r>
        <w:rPr>
          <w:rFonts w:ascii="Arial" w:cs="Arial" w:eastAsia="Arial" w:hAnsi="Arial"/>
          <w:sz w:val="17"/>
          <w:szCs w:val="17"/>
          <w:color w:val="000000"/>
        </w:rPr>
        <w:t>The Company has three business segments, Operating Assets, MPC, and Strategic Developments, which are organized based on</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different products and services that each segment offers, and are separately managed as each requires different operating strategies or management expertise reflective of management’s operating philosophies and methods. The Company’s segments or assets within such segments could change in the future as development of certain properties commences or other operational or management changes occur. All operations within reportable segments are within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Activity within each of the Company’s reportable segments is as follows:</w:t>
      </w:r>
    </w:p>
    <w:p>
      <w:pPr>
        <w:spacing w:after="0" w:line="264" w:lineRule="exact"/>
        <w:rPr>
          <w:sz w:val="20"/>
          <w:szCs w:val="20"/>
          <w:color w:val="auto"/>
        </w:rPr>
      </w:pPr>
    </w:p>
    <w:p>
      <w:pPr>
        <w:ind w:left="500" w:hanging="324"/>
        <w:spacing w:after="0" w:line="266" w:lineRule="auto"/>
        <w:rPr>
          <w:sz w:val="20"/>
          <w:szCs w:val="20"/>
          <w:color w:val="auto"/>
        </w:rPr>
      </w:pPr>
      <w:r>
        <w:rPr>
          <w:rFonts w:ascii="Arial" w:cs="Arial" w:eastAsia="Arial" w:hAnsi="Arial"/>
          <w:sz w:val="17"/>
          <w:szCs w:val="17"/>
          <w:i w:val="1"/>
          <w:iCs w:val="1"/>
          <w:color w:val="00497F"/>
        </w:rPr>
        <w:t xml:space="preserve">– </w:t>
      </w:r>
      <w:r>
        <w:rPr>
          <w:rFonts w:ascii="Arial" w:cs="Arial" w:eastAsia="Arial" w:hAnsi="Arial"/>
          <w:sz w:val="17"/>
          <w:szCs w:val="17"/>
          <w:b w:val="1"/>
          <w:bCs w:val="1"/>
          <w:i w:val="1"/>
          <w:iCs w:val="1"/>
          <w:color w:val="000000"/>
        </w:rPr>
        <w:t>Operating Assets</w:t>
      </w:r>
      <w:r>
        <w:rPr>
          <w:rFonts w:ascii="Arial" w:cs="Arial" w:eastAsia="Arial" w:hAnsi="Arial"/>
          <w:sz w:val="17"/>
          <w:szCs w:val="17"/>
          <w:i w:val="1"/>
          <w:iCs w:val="1"/>
          <w:color w:val="00497F"/>
        </w:rPr>
        <w:t xml:space="preserve"> </w:t>
      </w:r>
      <w:r>
        <w:rPr>
          <w:rFonts w:ascii="Arial" w:cs="Arial" w:eastAsia="Arial" w:hAnsi="Arial"/>
          <w:sz w:val="17"/>
          <w:szCs w:val="17"/>
          <w:color w:val="000000"/>
        </w:rPr>
        <w:t>– consists of developed or acquired retail, office, and multifamily properties along with other real estate investments. These</w:t>
      </w:r>
      <w:r>
        <w:rPr>
          <w:rFonts w:ascii="Arial" w:cs="Arial" w:eastAsia="Arial" w:hAnsi="Arial"/>
          <w:sz w:val="17"/>
          <w:szCs w:val="17"/>
          <w:i w:val="1"/>
          <w:iCs w:val="1"/>
          <w:color w:val="00497F"/>
        </w:rPr>
        <w:t xml:space="preserve"> </w:t>
      </w:r>
      <w:r>
        <w:rPr>
          <w:rFonts w:ascii="Arial" w:cs="Arial" w:eastAsia="Arial" w:hAnsi="Arial"/>
          <w:sz w:val="17"/>
          <w:szCs w:val="17"/>
          <w:color w:val="000000"/>
        </w:rPr>
        <w:t>properties are currently generating rental revenues and may be redeveloped, repositioned, or sold to improve segment performance or to recycle capital.</w:t>
      </w:r>
    </w:p>
    <w:p>
      <w:pPr>
        <w:spacing w:after="0" w:line="162" w:lineRule="exact"/>
        <w:rPr>
          <w:sz w:val="20"/>
          <w:szCs w:val="20"/>
          <w:color w:val="auto"/>
        </w:rPr>
      </w:pPr>
    </w:p>
    <w:p>
      <w:pPr>
        <w:ind w:left="500" w:hanging="324"/>
        <w:spacing w:after="0" w:line="227"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MPC</w:t>
      </w:r>
      <w:r>
        <w:rPr>
          <w:rFonts w:ascii="Arial" w:cs="Arial" w:eastAsia="Arial" w:hAnsi="Arial"/>
          <w:sz w:val="17"/>
          <w:szCs w:val="17"/>
          <w:color w:val="auto"/>
        </w:rPr>
        <w:t xml:space="preserve"> – consists of the development and sale of land in large</w:t>
      </w:r>
      <w:r>
        <w:rPr>
          <w:rFonts w:ascii="MS PGothic" w:cs="MS PGothic" w:eastAsia="MS PGothic" w:hAnsi="MS PGothic"/>
          <w:sz w:val="17"/>
          <w:szCs w:val="17"/>
          <w:color w:val="auto"/>
        </w:rPr>
        <w:t>‑</w:t>
      </w:r>
      <w:r>
        <w:rPr>
          <w:rFonts w:ascii="Arial" w:cs="Arial" w:eastAsia="Arial" w:hAnsi="Arial"/>
          <w:sz w:val="17"/>
          <w:szCs w:val="17"/>
          <w:color w:val="auto"/>
        </w:rPr>
        <w:t>scale, long</w:t>
      </w:r>
      <w:r>
        <w:rPr>
          <w:rFonts w:ascii="MS PGothic" w:cs="MS PGothic" w:eastAsia="MS PGothic" w:hAnsi="MS PGothic"/>
          <w:sz w:val="17"/>
          <w:szCs w:val="17"/>
          <w:color w:val="auto"/>
        </w:rPr>
        <w:t>‑</w:t>
      </w:r>
      <w:r>
        <w:rPr>
          <w:rFonts w:ascii="Arial" w:cs="Arial" w:eastAsia="Arial" w:hAnsi="Arial"/>
          <w:sz w:val="17"/>
          <w:szCs w:val="17"/>
          <w:color w:val="auto"/>
        </w:rPr>
        <w:t>term community development projects in and around Las Vegas, Nevada; Houston, Texas; and Phoenix, Arizona. Revenues are primarily generated through the sale of residential and commercial land to homebuilders and developers.</w:t>
      </w:r>
    </w:p>
    <w:p>
      <w:pPr>
        <w:spacing w:after="0" w:line="222" w:lineRule="exact"/>
        <w:rPr>
          <w:sz w:val="20"/>
          <w:szCs w:val="20"/>
          <w:color w:val="auto"/>
        </w:rPr>
      </w:pPr>
    </w:p>
    <w:p>
      <w:pPr>
        <w:ind w:left="500" w:hanging="324"/>
        <w:spacing w:after="0" w:line="28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Strategic Developments</w:t>
      </w:r>
      <w:r>
        <w:rPr>
          <w:rFonts w:ascii="Arial" w:cs="Arial" w:eastAsia="Arial" w:hAnsi="Arial"/>
          <w:sz w:val="17"/>
          <w:szCs w:val="17"/>
          <w:color w:val="auto"/>
        </w:rPr>
        <w:t xml:space="preserve"> – consists of residential condominium and commercial property projects currently under development and all other properties held for development which have no substantial operations. Revenues are primarily generated from the sale of condominium units.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CODM, which is the Company’s Chief Executive Officer, may use different operating measures to assess operating results and allocate resources among the three segments - however the measure that is most consistent with the amounts included in the Condensed Consolidated Financial Statements is earnings before taxes (EBT). EBT, as it relates to each business segment, includes the revenues and expenses of each segment, as shown below. EBT excludes corporate expenses and other items that are not allocable to the segments. The CODM utilizes EBT to evaluate the current financial performance and project the future financial performance of each segment to determine the allocation of capital resources. This measure is also used to evaluate the need for operational adjustments, such as adjustments to prices, cost structures, and product mix necessary to achieve profitability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hanging="446"/>
        <w:spacing w:after="0"/>
        <w:tabs>
          <w:tab w:leader="none" w:pos="49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5"/>
        </w:trPr>
        <w:tc>
          <w:tcPr>
            <w:tcW w:w="58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929292"/>
                <w:w w:val="99"/>
              </w:rPr>
              <w:t>Table of Contents</w:t>
            </w:r>
          </w:p>
        </w:tc>
        <w:tc>
          <w:tcPr>
            <w:tcW w:w="0" w:type="dxa"/>
            <w:vAlign w:val="bottom"/>
          </w:tcPr>
          <w:p>
            <w:pPr>
              <w:spacing w:after="0"/>
              <w:rPr>
                <w:sz w:val="1"/>
                <w:szCs w:val="1"/>
                <w:color w:val="auto"/>
              </w:rPr>
            </w:pPr>
          </w:p>
        </w:tc>
      </w:tr>
      <w:tr>
        <w:trPr>
          <w:trHeight w:val="247"/>
        </w:trPr>
        <w:tc>
          <w:tcPr>
            <w:tcW w:w="5820" w:type="dxa"/>
            <w:vAlign w:val="bottom"/>
            <w:gridSpan w:val="2"/>
          </w:tcPr>
          <w:p>
            <w:pPr>
              <w:ind w:left="20"/>
              <w:spacing w:after="0"/>
              <w:rPr>
                <w:sz w:val="20"/>
                <w:szCs w:val="20"/>
                <w:color w:val="auto"/>
              </w:rPr>
            </w:pPr>
            <w:r>
              <w:rPr>
                <w:rFonts w:ascii="Arial" w:cs="Arial" w:eastAsia="Arial" w:hAnsi="Arial"/>
                <w:sz w:val="18"/>
                <w:szCs w:val="18"/>
                <w:b w:val="1"/>
                <w:bCs w:val="1"/>
                <w:color w:val="B6B6B6"/>
              </w:rPr>
              <w:t>FOOTNOTES</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3"/>
        </w:trPr>
        <w:tc>
          <w:tcPr>
            <w:tcW w:w="5820" w:type="dxa"/>
            <w:vAlign w:val="bottom"/>
            <w:gridSpan w:val="2"/>
          </w:tcPr>
          <w:p>
            <w:pPr>
              <w:spacing w:after="0"/>
              <w:rPr>
                <w:sz w:val="20"/>
                <w:szCs w:val="20"/>
                <w:color w:val="auto"/>
              </w:rPr>
            </w:pPr>
            <w:r>
              <w:rPr>
                <w:rFonts w:ascii="Arial" w:cs="Arial" w:eastAsia="Arial" w:hAnsi="Arial"/>
                <w:sz w:val="17"/>
                <w:szCs w:val="17"/>
                <w:color w:val="auto"/>
              </w:rPr>
              <w:t>Segment operating results are as follows:</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5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780" w:type="dxa"/>
            <w:vAlign w:val="bottom"/>
            <w:shd w:val="clear" w:color="auto" w:fill="D8D8D8"/>
          </w:tcPr>
          <w:p>
            <w:pPr>
              <w:spacing w:after="0"/>
              <w:rPr>
                <w:sz w:val="13"/>
                <w:szCs w:val="13"/>
                <w:color w:val="auto"/>
              </w:rPr>
            </w:pPr>
          </w:p>
        </w:tc>
        <w:tc>
          <w:tcPr>
            <w:tcW w:w="2280" w:type="dxa"/>
            <w:vAlign w:val="bottom"/>
            <w:gridSpan w:val="2"/>
            <w:vMerge w:val="restart"/>
            <w:shd w:val="clear" w:color="auto" w:fill="D8D8D8"/>
          </w:tcPr>
          <w:p>
            <w:pPr>
              <w:jc w:val="right"/>
              <w:spacing w:after="0"/>
              <w:rPr>
                <w:sz w:val="20"/>
                <w:szCs w:val="20"/>
                <w:color w:val="auto"/>
              </w:rPr>
            </w:pPr>
            <w:r>
              <w:rPr>
                <w:rFonts w:ascii="Arial" w:cs="Arial" w:eastAsia="Arial" w:hAnsi="Arial"/>
                <w:sz w:val="17"/>
                <w:szCs w:val="17"/>
                <w:b w:val="1"/>
                <w:bCs w:val="1"/>
                <w:color w:val="auto"/>
              </w:rPr>
              <w:t>Operating Assets</w:t>
            </w:r>
          </w:p>
        </w:tc>
        <w:tc>
          <w:tcPr>
            <w:tcW w:w="160" w:type="dxa"/>
            <w:vAlign w:val="bottom"/>
            <w:shd w:val="clear" w:color="auto" w:fill="D8D8D8"/>
          </w:tcPr>
          <w:p>
            <w:pPr>
              <w:spacing w:after="0"/>
              <w:rPr>
                <w:sz w:val="13"/>
                <w:szCs w:val="13"/>
                <w:color w:val="auto"/>
              </w:rPr>
            </w:pPr>
          </w:p>
        </w:tc>
        <w:tc>
          <w:tcPr>
            <w:tcW w:w="136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440" w:type="dxa"/>
            <w:vAlign w:val="bottom"/>
            <w:shd w:val="clear" w:color="auto" w:fill="D8D8D8"/>
          </w:tcPr>
          <w:p>
            <w:pPr>
              <w:jc w:val="center"/>
              <w:ind w:right="74"/>
              <w:spacing w:after="0" w:line="155" w:lineRule="exact"/>
              <w:rPr>
                <w:sz w:val="20"/>
                <w:szCs w:val="20"/>
                <w:color w:val="auto"/>
              </w:rPr>
            </w:pPr>
            <w:r>
              <w:rPr>
                <w:rFonts w:ascii="Arial" w:cs="Arial" w:eastAsia="Arial" w:hAnsi="Arial"/>
                <w:sz w:val="17"/>
                <w:szCs w:val="17"/>
                <w:b w:val="1"/>
                <w:bCs w:val="1"/>
                <w:color w:val="auto"/>
                <w:w w:val="98"/>
              </w:rPr>
              <w:t>Strategic</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780" w:type="dxa"/>
            <w:vAlign w:val="bottom"/>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280" w:type="dxa"/>
            <w:vAlign w:val="bottom"/>
            <w:gridSpan w:val="2"/>
            <w:vMerge w:val="continue"/>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1360" w:type="dxa"/>
            <w:vAlign w:val="bottom"/>
            <w:vMerge w:val="restart"/>
            <w:shd w:val="clear" w:color="auto" w:fill="D8D8D8"/>
          </w:tcPr>
          <w:p>
            <w:pPr>
              <w:jc w:val="right"/>
              <w:ind w:right="95"/>
              <w:spacing w:after="0"/>
              <w:rPr>
                <w:sz w:val="20"/>
                <w:szCs w:val="20"/>
                <w:color w:val="auto"/>
              </w:rPr>
            </w:pPr>
            <w:r>
              <w:rPr>
                <w:rFonts w:ascii="Arial" w:cs="Arial" w:eastAsia="Arial" w:hAnsi="Arial"/>
                <w:sz w:val="17"/>
                <w:szCs w:val="17"/>
                <w:b w:val="1"/>
                <w:bCs w:val="1"/>
                <w:color w:val="auto"/>
              </w:rPr>
              <w:t>MPC Segment</w:t>
            </w:r>
          </w:p>
        </w:tc>
        <w:tc>
          <w:tcPr>
            <w:tcW w:w="160" w:type="dxa"/>
            <w:vAlign w:val="bottom"/>
            <w:shd w:val="clear" w:color="auto" w:fill="D8D8D8"/>
          </w:tcPr>
          <w:p>
            <w:pPr>
              <w:spacing w:after="0"/>
              <w:rPr>
                <w:sz w:val="15"/>
                <w:szCs w:val="15"/>
                <w:color w:val="auto"/>
              </w:rPr>
            </w:pPr>
          </w:p>
        </w:tc>
        <w:tc>
          <w:tcPr>
            <w:tcW w:w="1440" w:type="dxa"/>
            <w:vAlign w:val="bottom"/>
            <w:shd w:val="clear" w:color="auto" w:fill="D8D8D8"/>
          </w:tcPr>
          <w:p>
            <w:pPr>
              <w:jc w:val="center"/>
              <w:ind w:right="74"/>
              <w:spacing w:after="0" w:line="176" w:lineRule="exact"/>
              <w:rPr>
                <w:sz w:val="20"/>
                <w:szCs w:val="20"/>
                <w:color w:val="auto"/>
              </w:rPr>
            </w:pPr>
            <w:r>
              <w:rPr>
                <w:rFonts w:ascii="Arial" w:cs="Arial" w:eastAsia="Arial" w:hAnsi="Arial"/>
                <w:sz w:val="17"/>
                <w:szCs w:val="17"/>
                <w:b w:val="1"/>
                <w:bCs w:val="1"/>
                <w:color w:val="auto"/>
                <w:w w:val="99"/>
              </w:rPr>
              <w:t>Developments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Borders>
              <w:bottom w:val="single" w:sz="8" w:color="auto"/>
            </w:tcBorders>
            <w:vMerge w:val="continue"/>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shd w:val="clear" w:color="auto" w:fill="D8D8D8"/>
          </w:tcPr>
          <w:p>
            <w:pPr>
              <w:jc w:val="right"/>
              <w:ind w:right="315"/>
              <w:spacing w:after="0"/>
              <w:rPr>
                <w:sz w:val="20"/>
                <w:szCs w:val="20"/>
                <w:color w:val="auto"/>
              </w:rPr>
            </w:pPr>
            <w:r>
              <w:rPr>
                <w:rFonts w:ascii="Arial" w:cs="Arial" w:eastAsia="Arial" w:hAnsi="Arial"/>
                <w:sz w:val="17"/>
                <w:szCs w:val="17"/>
                <w:b w:val="1"/>
                <w:bCs w:val="1"/>
                <w:color w:val="auto"/>
              </w:rPr>
              <w:t>Segment</w:t>
            </w:r>
          </w:p>
        </w:tc>
        <w:tc>
          <w:tcPr>
            <w:tcW w:w="160" w:type="dxa"/>
            <w:vAlign w:val="bottom"/>
            <w:tcBorders>
              <w:bottom w:val="single" w:sz="8" w:color="auto"/>
            </w:tcBorders>
            <w:shd w:val="clear" w:color="auto" w:fill="D8D8D8"/>
          </w:tcPr>
          <w:p>
            <w:pPr>
              <w:spacing w:after="0"/>
              <w:rPr>
                <w:sz w:val="19"/>
                <w:szCs w:val="19"/>
                <w:color w:val="auto"/>
              </w:rPr>
            </w:pPr>
          </w:p>
        </w:tc>
        <w:tc>
          <w:tcPr>
            <w:tcW w:w="1360" w:type="dxa"/>
            <w:vAlign w:val="bottom"/>
            <w:tcBorders>
              <w:bottom w:val="single" w:sz="8" w:color="auto"/>
            </w:tcBorders>
            <w:vMerge w:val="continue"/>
            <w:shd w:val="clear" w:color="auto" w:fill="D8D8D8"/>
          </w:tcPr>
          <w:p>
            <w:pPr>
              <w:spacing w:after="0"/>
              <w:rPr>
                <w:sz w:val="19"/>
                <w:szCs w:val="19"/>
                <w:color w:val="auto"/>
              </w:rPr>
            </w:pPr>
          </w:p>
        </w:tc>
        <w:tc>
          <w:tcPr>
            <w:tcW w:w="160" w:type="dxa"/>
            <w:vAlign w:val="bottom"/>
            <w:tcBorders>
              <w:bottom w:val="single" w:sz="8" w:color="auto"/>
            </w:tcBorders>
            <w:shd w:val="clear" w:color="auto" w:fill="D8D8D8"/>
          </w:tcPr>
          <w:p>
            <w:pPr>
              <w:spacing w:after="0"/>
              <w:rPr>
                <w:sz w:val="19"/>
                <w:szCs w:val="19"/>
                <w:color w:val="auto"/>
              </w:rPr>
            </w:pPr>
          </w:p>
        </w:tc>
        <w:tc>
          <w:tcPr>
            <w:tcW w:w="1440" w:type="dxa"/>
            <w:vAlign w:val="bottom"/>
            <w:tcBorders>
              <w:bottom w:val="single" w:sz="8" w:color="auto"/>
            </w:tcBorders>
            <w:shd w:val="clear" w:color="auto" w:fill="D8D8D8"/>
          </w:tcPr>
          <w:p>
            <w:pPr>
              <w:jc w:val="center"/>
              <w:ind w:right="74"/>
              <w:spacing w:after="0"/>
              <w:rPr>
                <w:sz w:val="20"/>
                <w:szCs w:val="20"/>
                <w:color w:val="auto"/>
              </w:rPr>
            </w:pPr>
            <w:r>
              <w:rPr>
                <w:rFonts w:ascii="Arial" w:cs="Arial" w:eastAsia="Arial" w:hAnsi="Arial"/>
                <w:sz w:val="17"/>
                <w:szCs w:val="17"/>
                <w:b w:val="1"/>
                <w:bCs w:val="1"/>
                <w:color w:val="auto"/>
              </w:rPr>
              <w:t>Segment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Three Months Ended September 30, 2026</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121,611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149,825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7,244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Condominium rights and unit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(5,414)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Master Planned Communities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(46,242)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Operating costs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(35,479)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(16,197)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(3,890)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Rental property real estate taxes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(12,839)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recovery of doubtful accounts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Segment operating income (loss)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73,087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87,386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(2,870)</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(43,503)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(2,380)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(39,284)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24,366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4,558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(1,591)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(22,010)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13,950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6,153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 (loss) on extinguishment of debt</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Segment EBT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17,820</w:t>
            </w: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Three Months Ended September 30, 2025</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117,182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271,575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1,460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Condominium rights and unit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Master Planned Communities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(78,280)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Operating costs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(37,052)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(4,892)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(3,944)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Rental property real estate taxes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(15,006)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recovery of doubtful accounts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Segment operating income (loss)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65,469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188,403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(3,167)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(43,411)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(34,006)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19,414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2,066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(2,721)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4,385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10,064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 (loss) on extinguishment of debt</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Segment EBT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205,005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11,343</w:t>
            </w: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Nine Months Ended September 30, 2026</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360,773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443,846</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719,083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Condominium rights and unit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(583,937)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Master Planned Communities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(140,041)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Operating costs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(106,860)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(40,665)</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(15,416)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Rental property real estate taxes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(42,839)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recovery of doubtful accounts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Segment operating income (loss)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210,804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263,140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117,894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(141,109)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(441)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(6,505)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(110,664)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70,090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13,629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1,860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(2,480)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7,202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(26,114)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9,044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52,229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6,153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 (loss) on extinguishment of debt</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(842)</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Segment EBT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308,535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60" w:hanging="446"/>
        <w:spacing w:after="0"/>
        <w:tabs>
          <w:tab w:leader="none" w:pos="49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type w:val="continuous"/>
        </w:sectPr>
      </w:pPr>
    </w:p>
    <w:bookmarkStart w:id="46" w:name="page47"/>
    <w:bookmarkEnd w:id="46"/>
    <w:tbl>
      <w:tblPr>
        <w:tblLayout w:type="fixed"/>
        <w:tblInd w:w="20" w:type="dxa"/>
        <w:tblCellMar>
          <w:top w:w="0" w:type="dxa"/>
          <w:left w:w="0" w:type="dxa"/>
          <w:bottom w:w="0" w:type="dxa"/>
          <w:right w:w="0" w:type="dxa"/>
        </w:tblCellMar>
      </w:tblPr>
      <w:tr>
        <w:trPr>
          <w:trHeight w:val="235"/>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929292"/>
                <w:w w:val="99"/>
              </w:rPr>
              <w:t>Table of Contents</w:t>
            </w:r>
          </w:p>
        </w:tc>
        <w:tc>
          <w:tcPr>
            <w:tcW w:w="0" w:type="dxa"/>
            <w:vAlign w:val="bottom"/>
          </w:tcPr>
          <w:p>
            <w:pPr>
              <w:spacing w:after="0"/>
              <w:rPr>
                <w:sz w:val="1"/>
                <w:szCs w:val="1"/>
                <w:color w:val="auto"/>
              </w:rPr>
            </w:pPr>
          </w:p>
        </w:tc>
      </w:tr>
      <w:tr>
        <w:trPr>
          <w:trHeight w:val="247"/>
        </w:trPr>
        <w:tc>
          <w:tcPr>
            <w:tcW w:w="5800" w:type="dxa"/>
            <w:vAlign w:val="bottom"/>
            <w:gridSpan w:val="2"/>
          </w:tcPr>
          <w:p>
            <w:pPr>
              <w:spacing w:after="0"/>
              <w:rPr>
                <w:sz w:val="20"/>
                <w:szCs w:val="20"/>
                <w:color w:val="auto"/>
              </w:rPr>
            </w:pPr>
            <w:r>
              <w:rPr>
                <w:rFonts w:ascii="Arial" w:cs="Arial" w:eastAsia="Arial" w:hAnsi="Arial"/>
                <w:sz w:val="18"/>
                <w:szCs w:val="18"/>
                <w:b w:val="1"/>
                <w:bCs w:val="1"/>
                <w:color w:val="B6B6B6"/>
              </w:rPr>
              <w:t>FOOTNOTES</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80" w:type="dxa"/>
            <w:vAlign w:val="bottom"/>
            <w:shd w:val="clear" w:color="auto" w:fill="D8D8D8"/>
          </w:tcPr>
          <w:p>
            <w:pPr>
              <w:spacing w:after="0"/>
              <w:rPr>
                <w:sz w:val="13"/>
                <w:szCs w:val="13"/>
                <w:color w:val="auto"/>
              </w:rPr>
            </w:pPr>
          </w:p>
        </w:tc>
        <w:tc>
          <w:tcPr>
            <w:tcW w:w="2280" w:type="dxa"/>
            <w:vAlign w:val="bottom"/>
            <w:gridSpan w:val="2"/>
            <w:vMerge w:val="restart"/>
            <w:shd w:val="clear" w:color="auto" w:fill="D8D8D8"/>
          </w:tcPr>
          <w:p>
            <w:pPr>
              <w:jc w:val="right"/>
              <w:spacing w:after="0"/>
              <w:rPr>
                <w:sz w:val="20"/>
                <w:szCs w:val="20"/>
                <w:color w:val="auto"/>
              </w:rPr>
            </w:pPr>
            <w:r>
              <w:rPr>
                <w:rFonts w:ascii="Arial" w:cs="Arial" w:eastAsia="Arial" w:hAnsi="Arial"/>
                <w:sz w:val="17"/>
                <w:szCs w:val="17"/>
                <w:b w:val="1"/>
                <w:bCs w:val="1"/>
                <w:color w:val="auto"/>
              </w:rPr>
              <w:t>Operating Assets</w:t>
            </w:r>
          </w:p>
        </w:tc>
        <w:tc>
          <w:tcPr>
            <w:tcW w:w="160" w:type="dxa"/>
            <w:vAlign w:val="bottom"/>
            <w:shd w:val="clear" w:color="auto" w:fill="D8D8D8"/>
          </w:tcPr>
          <w:p>
            <w:pPr>
              <w:spacing w:after="0"/>
              <w:rPr>
                <w:sz w:val="13"/>
                <w:szCs w:val="13"/>
                <w:color w:val="auto"/>
              </w:rPr>
            </w:pPr>
          </w:p>
        </w:tc>
        <w:tc>
          <w:tcPr>
            <w:tcW w:w="136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440" w:type="dxa"/>
            <w:vAlign w:val="bottom"/>
            <w:shd w:val="clear" w:color="auto" w:fill="D8D8D8"/>
          </w:tcPr>
          <w:p>
            <w:pPr>
              <w:jc w:val="center"/>
              <w:ind w:right="74"/>
              <w:spacing w:after="0" w:line="160" w:lineRule="exact"/>
              <w:rPr>
                <w:sz w:val="20"/>
                <w:szCs w:val="20"/>
                <w:color w:val="auto"/>
              </w:rPr>
            </w:pPr>
            <w:r>
              <w:rPr>
                <w:rFonts w:ascii="Arial" w:cs="Arial" w:eastAsia="Arial" w:hAnsi="Arial"/>
                <w:sz w:val="17"/>
                <w:szCs w:val="17"/>
                <w:b w:val="1"/>
                <w:bCs w:val="1"/>
                <w:color w:val="auto"/>
                <w:w w:val="98"/>
              </w:rPr>
              <w:t>Strategic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280" w:type="dxa"/>
            <w:vAlign w:val="bottom"/>
            <w:gridSpan w:val="2"/>
            <w:vMerge w:val="continue"/>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1360" w:type="dxa"/>
            <w:vAlign w:val="bottom"/>
            <w:vMerge w:val="restart"/>
            <w:shd w:val="clear" w:color="auto" w:fill="D8D8D8"/>
          </w:tcPr>
          <w:p>
            <w:pPr>
              <w:jc w:val="right"/>
              <w:ind w:right="95"/>
              <w:spacing w:after="0"/>
              <w:rPr>
                <w:sz w:val="20"/>
                <w:szCs w:val="20"/>
                <w:color w:val="auto"/>
              </w:rPr>
            </w:pPr>
            <w:r>
              <w:rPr>
                <w:rFonts w:ascii="Arial" w:cs="Arial" w:eastAsia="Arial" w:hAnsi="Arial"/>
                <w:sz w:val="17"/>
                <w:szCs w:val="17"/>
                <w:b w:val="1"/>
                <w:bCs w:val="1"/>
                <w:color w:val="auto"/>
              </w:rPr>
              <w:t>MPC Segment</w:t>
            </w:r>
          </w:p>
        </w:tc>
        <w:tc>
          <w:tcPr>
            <w:tcW w:w="160" w:type="dxa"/>
            <w:vAlign w:val="bottom"/>
            <w:shd w:val="clear" w:color="auto" w:fill="D8D8D8"/>
          </w:tcPr>
          <w:p>
            <w:pPr>
              <w:spacing w:after="0"/>
              <w:rPr>
                <w:sz w:val="15"/>
                <w:szCs w:val="15"/>
                <w:color w:val="auto"/>
              </w:rPr>
            </w:pPr>
          </w:p>
        </w:tc>
        <w:tc>
          <w:tcPr>
            <w:tcW w:w="1440" w:type="dxa"/>
            <w:vAlign w:val="bottom"/>
            <w:shd w:val="clear" w:color="auto" w:fill="D8D8D8"/>
          </w:tcPr>
          <w:p>
            <w:pPr>
              <w:jc w:val="center"/>
              <w:ind w:right="74"/>
              <w:spacing w:after="0" w:line="176" w:lineRule="exact"/>
              <w:rPr>
                <w:sz w:val="20"/>
                <w:szCs w:val="20"/>
                <w:color w:val="auto"/>
              </w:rPr>
            </w:pPr>
            <w:r>
              <w:rPr>
                <w:rFonts w:ascii="Arial" w:cs="Arial" w:eastAsia="Arial" w:hAnsi="Arial"/>
                <w:sz w:val="17"/>
                <w:szCs w:val="17"/>
                <w:b w:val="1"/>
                <w:bCs w:val="1"/>
                <w:color w:val="auto"/>
                <w:w w:val="99"/>
              </w:rPr>
              <w:t>Developments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80" w:type="dxa"/>
            <w:vAlign w:val="bottom"/>
            <w:tcBorders>
              <w:bottom w:val="single" w:sz="8" w:color="auto"/>
            </w:tcBorders>
            <w:vMerge w:val="continue"/>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shd w:val="clear" w:color="auto" w:fill="D8D8D8"/>
          </w:tcPr>
          <w:p>
            <w:pPr>
              <w:jc w:val="right"/>
              <w:ind w:right="315"/>
              <w:spacing w:after="0"/>
              <w:rPr>
                <w:sz w:val="20"/>
                <w:szCs w:val="20"/>
                <w:color w:val="auto"/>
              </w:rPr>
            </w:pPr>
            <w:r>
              <w:rPr>
                <w:rFonts w:ascii="Arial" w:cs="Arial" w:eastAsia="Arial" w:hAnsi="Arial"/>
                <w:sz w:val="17"/>
                <w:szCs w:val="17"/>
                <w:b w:val="1"/>
                <w:bCs w:val="1"/>
                <w:color w:val="auto"/>
              </w:rPr>
              <w:t>Segment</w:t>
            </w:r>
          </w:p>
        </w:tc>
        <w:tc>
          <w:tcPr>
            <w:tcW w:w="160" w:type="dxa"/>
            <w:vAlign w:val="bottom"/>
            <w:tcBorders>
              <w:bottom w:val="single" w:sz="8" w:color="auto"/>
            </w:tcBorders>
            <w:shd w:val="clear" w:color="auto" w:fill="D8D8D8"/>
          </w:tcPr>
          <w:p>
            <w:pPr>
              <w:spacing w:after="0"/>
              <w:rPr>
                <w:sz w:val="19"/>
                <w:szCs w:val="19"/>
                <w:color w:val="auto"/>
              </w:rPr>
            </w:pPr>
          </w:p>
        </w:tc>
        <w:tc>
          <w:tcPr>
            <w:tcW w:w="1360" w:type="dxa"/>
            <w:vAlign w:val="bottom"/>
            <w:tcBorders>
              <w:bottom w:val="single" w:sz="8" w:color="auto"/>
            </w:tcBorders>
            <w:vMerge w:val="continue"/>
            <w:shd w:val="clear" w:color="auto" w:fill="D8D8D8"/>
          </w:tcPr>
          <w:p>
            <w:pPr>
              <w:spacing w:after="0"/>
              <w:rPr>
                <w:sz w:val="19"/>
                <w:szCs w:val="19"/>
                <w:color w:val="auto"/>
              </w:rPr>
            </w:pPr>
          </w:p>
        </w:tc>
        <w:tc>
          <w:tcPr>
            <w:tcW w:w="160" w:type="dxa"/>
            <w:vAlign w:val="bottom"/>
            <w:tcBorders>
              <w:bottom w:val="single" w:sz="8" w:color="auto"/>
            </w:tcBorders>
            <w:shd w:val="clear" w:color="auto" w:fill="D8D8D8"/>
          </w:tcPr>
          <w:p>
            <w:pPr>
              <w:spacing w:after="0"/>
              <w:rPr>
                <w:sz w:val="19"/>
                <w:szCs w:val="19"/>
                <w:color w:val="auto"/>
              </w:rPr>
            </w:pPr>
          </w:p>
        </w:tc>
        <w:tc>
          <w:tcPr>
            <w:tcW w:w="1440" w:type="dxa"/>
            <w:vAlign w:val="bottom"/>
            <w:tcBorders>
              <w:bottom w:val="single" w:sz="8" w:color="auto"/>
            </w:tcBorders>
            <w:shd w:val="clear" w:color="auto" w:fill="D8D8D8"/>
          </w:tcPr>
          <w:p>
            <w:pPr>
              <w:jc w:val="center"/>
              <w:ind w:right="74"/>
              <w:spacing w:after="0"/>
              <w:rPr>
                <w:sz w:val="20"/>
                <w:szCs w:val="20"/>
                <w:color w:val="auto"/>
              </w:rPr>
            </w:pPr>
            <w:r>
              <w:rPr>
                <w:rFonts w:ascii="Arial" w:cs="Arial" w:eastAsia="Arial" w:hAnsi="Arial"/>
                <w:sz w:val="17"/>
                <w:szCs w:val="17"/>
                <w:b w:val="1"/>
                <w:bCs w:val="1"/>
                <w:color w:val="auto"/>
              </w:rPr>
              <w:t>Segment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Nine Months Ended September 30, 2025</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347,630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499,730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3,028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Condominium rights and unit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Master Planned Communities cost of sales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(148,672)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Operating costs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(105,449)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(30,399)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(11,280)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Rental property real estate taxes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(44,507)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recovery of doubtful accounts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Segment operating income (loss)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197,633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320,659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(11,151)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(128,839)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(4,222)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(102,397)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54,307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4,453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(7,780)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14,363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3,750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11,721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 (loss) on extinguishment of debt</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Segment EBT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370,681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the reconciliation of segment EBT to Income (loss) before income taxes in the Condensed Consolidated Statements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0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2340" w:type="dxa"/>
            <w:vAlign w:val="bottom"/>
            <w:tcBorders>
              <w:top w:val="single" w:sz="8" w:color="auto"/>
            </w:tcBorders>
            <w:gridSpan w:val="4"/>
            <w:shd w:val="clear" w:color="auto" w:fill="DBDBDB"/>
          </w:tcPr>
          <w:p>
            <w:pPr>
              <w:ind w:left="140"/>
              <w:spacing w:after="0" w:line="180" w:lineRule="exact"/>
              <w:rPr>
                <w:sz w:val="20"/>
                <w:szCs w:val="20"/>
                <w:color w:val="auto"/>
              </w:rPr>
            </w:pPr>
            <w:r>
              <w:rPr>
                <w:rFonts w:ascii="Arial" w:cs="Arial" w:eastAsia="Arial" w:hAnsi="Arial"/>
                <w:sz w:val="17"/>
                <w:szCs w:val="17"/>
                <w:b w:val="1"/>
                <w:bCs w:val="1"/>
                <w:color w:val="auto"/>
              </w:rPr>
              <w:t>Three Months Ended</w:t>
            </w:r>
          </w:p>
        </w:tc>
        <w:tc>
          <w:tcPr>
            <w:tcW w:w="280" w:type="dxa"/>
            <w:vAlign w:val="bottom"/>
            <w:tcBorders>
              <w:top w:val="single" w:sz="8" w:color="auto"/>
            </w:tcBorders>
            <w:shd w:val="clear" w:color="auto" w:fill="DBDBDB"/>
          </w:tcPr>
          <w:p>
            <w:pPr>
              <w:spacing w:after="0"/>
              <w:rPr>
                <w:sz w:val="15"/>
                <w:szCs w:val="15"/>
                <w:color w:val="auto"/>
              </w:rPr>
            </w:pPr>
          </w:p>
        </w:tc>
        <w:tc>
          <w:tcPr>
            <w:tcW w:w="2240" w:type="dxa"/>
            <w:vAlign w:val="bottom"/>
            <w:tcBorders>
              <w:top w:val="single" w:sz="8" w:color="auto"/>
            </w:tcBorders>
            <w:gridSpan w:val="3"/>
            <w:shd w:val="clear" w:color="auto" w:fill="DBDBDB"/>
          </w:tcPr>
          <w:p>
            <w:pPr>
              <w:jc w:val="right"/>
              <w:ind w:right="375"/>
              <w:spacing w:after="0" w:line="180"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5"/>
        </w:trPr>
        <w:tc>
          <w:tcPr>
            <w:tcW w:w="6100" w:type="dxa"/>
            <w:vAlign w:val="bottom"/>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80" w:type="dxa"/>
            <w:vAlign w:val="bottom"/>
            <w:shd w:val="clear" w:color="auto" w:fill="DBDBDB"/>
          </w:tcPr>
          <w:p>
            <w:pPr>
              <w:spacing w:after="0"/>
              <w:rPr>
                <w:sz w:val="19"/>
                <w:szCs w:val="19"/>
                <w:color w:val="auto"/>
              </w:rPr>
            </w:pPr>
          </w:p>
        </w:tc>
        <w:tc>
          <w:tcPr>
            <w:tcW w:w="2340" w:type="dxa"/>
            <w:vAlign w:val="bottom"/>
            <w:gridSpan w:val="4"/>
            <w:shd w:val="clear" w:color="auto" w:fill="DBDBDB"/>
          </w:tcPr>
          <w:p>
            <w:pPr>
              <w:ind w:left="400"/>
              <w:spacing w:after="0"/>
              <w:rPr>
                <w:sz w:val="20"/>
                <w:szCs w:val="20"/>
                <w:color w:val="auto"/>
              </w:rPr>
            </w:pPr>
            <w:r>
              <w:rPr>
                <w:rFonts w:ascii="Arial" w:cs="Arial" w:eastAsia="Arial" w:hAnsi="Arial"/>
                <w:sz w:val="17"/>
                <w:szCs w:val="17"/>
                <w:b w:val="1"/>
                <w:bCs w:val="1"/>
                <w:color w:val="auto"/>
              </w:rPr>
              <w:t>September 30,</w:t>
            </w:r>
          </w:p>
        </w:tc>
        <w:tc>
          <w:tcPr>
            <w:tcW w:w="280" w:type="dxa"/>
            <w:vAlign w:val="bottom"/>
            <w:shd w:val="clear" w:color="auto" w:fill="DBDBDB"/>
          </w:tcPr>
          <w:p>
            <w:pPr>
              <w:spacing w:after="0"/>
              <w:rPr>
                <w:sz w:val="19"/>
                <w:szCs w:val="19"/>
                <w:color w:val="auto"/>
              </w:rPr>
            </w:pPr>
          </w:p>
        </w:tc>
        <w:tc>
          <w:tcPr>
            <w:tcW w:w="2240" w:type="dxa"/>
            <w:vAlign w:val="bottom"/>
            <w:gridSpan w:val="3"/>
            <w:shd w:val="clear" w:color="auto" w:fill="DBDBDB"/>
          </w:tcPr>
          <w:p>
            <w:pPr>
              <w:jc w:val="right"/>
              <w:ind w:right="59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3"/>
        </w:trPr>
        <w:tc>
          <w:tcPr>
            <w:tcW w:w="6100" w:type="dxa"/>
            <w:vAlign w:val="bottom"/>
            <w:tcBorders>
              <w:top w:val="single" w:sz="8" w:color="DBDBDB"/>
              <w:bottom w:val="single" w:sz="8" w:color="auto"/>
            </w:tcBorders>
            <w:vMerge w:val="continue"/>
            <w:shd w:val="clear" w:color="auto" w:fill="DBDBDB"/>
          </w:tcPr>
          <w:p>
            <w:pPr>
              <w:spacing w:after="0"/>
              <w:rPr>
                <w:sz w:val="19"/>
                <w:szCs w:val="19"/>
                <w:color w:val="auto"/>
              </w:rPr>
            </w:pP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980" w:type="dxa"/>
            <w:vAlign w:val="bottom"/>
            <w:tcBorders>
              <w:top w:val="single" w:sz="8" w:color="auto"/>
              <w:bottom w:val="single" w:sz="8" w:color="auto"/>
            </w:tcBorders>
            <w:shd w:val="clear" w:color="auto" w:fill="DBDBDB"/>
          </w:tcPr>
          <w:p>
            <w:pPr>
              <w:ind w:left="140"/>
              <w:spacing w:after="0"/>
              <w:rPr>
                <w:sz w:val="20"/>
                <w:szCs w:val="20"/>
                <w:color w:val="auto"/>
              </w:rPr>
            </w:pPr>
            <w:r>
              <w:rPr>
                <w:rFonts w:ascii="Arial" w:cs="Arial" w:eastAsia="Arial" w:hAnsi="Arial"/>
                <w:sz w:val="17"/>
                <w:szCs w:val="17"/>
                <w:b w:val="1"/>
                <w:bCs w:val="1"/>
                <w:color w:val="auto"/>
              </w:rPr>
              <w:t>2026</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96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top w:val="single" w:sz="8" w:color="DBDBDB"/>
              <w:bottom w:val="single" w:sz="8" w:color="auto"/>
            </w:tcBorders>
            <w:shd w:val="clear" w:color="auto" w:fill="DBDBDB"/>
          </w:tcPr>
          <w:p>
            <w:pPr>
              <w:spacing w:after="0"/>
              <w:rPr>
                <w:sz w:val="19"/>
                <w:szCs w:val="19"/>
                <w:color w:val="auto"/>
              </w:rPr>
            </w:pP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980" w:type="dxa"/>
            <w:vAlign w:val="bottom"/>
            <w:tcBorders>
              <w:top w:val="single" w:sz="8" w:color="auto"/>
              <w:bottom w:val="single" w:sz="8" w:color="auto"/>
            </w:tcBorders>
            <w:shd w:val="clear" w:color="auto" w:fill="DBDBDB"/>
          </w:tcPr>
          <w:p>
            <w:pPr>
              <w:jc w:val="right"/>
              <w:ind w:right="375"/>
              <w:spacing w:after="0"/>
              <w:rPr>
                <w:sz w:val="20"/>
                <w:szCs w:val="20"/>
                <w:color w:val="auto"/>
              </w:rPr>
            </w:pPr>
            <w:r>
              <w:rPr>
                <w:rFonts w:ascii="Arial" w:cs="Arial" w:eastAsia="Arial" w:hAnsi="Arial"/>
                <w:sz w:val="17"/>
                <w:szCs w:val="17"/>
                <w:b w:val="1"/>
                <w:bCs w:val="1"/>
                <w:color w:val="auto"/>
              </w:rPr>
              <w:t>2026</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214"/>
        </w:trPr>
        <w:tc>
          <w:tcPr>
            <w:tcW w:w="6100" w:type="dxa"/>
            <w:vAlign w:val="bottom"/>
          </w:tcPr>
          <w:p>
            <w:pPr>
              <w:ind w:left="20"/>
              <w:spacing w:after="0"/>
              <w:rPr>
                <w:sz w:val="20"/>
                <w:szCs w:val="20"/>
                <w:color w:val="auto"/>
              </w:rPr>
            </w:pPr>
            <w:r>
              <w:rPr>
                <w:rFonts w:ascii="Arial" w:cs="Arial" w:eastAsia="Arial" w:hAnsi="Arial"/>
                <w:sz w:val="17"/>
                <w:szCs w:val="17"/>
                <w:color w:val="auto"/>
              </w:rPr>
              <w:t>Operating Assets EBT</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(9,097)</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(7,238)</w:t>
            </w:r>
          </w:p>
        </w:tc>
        <w:tc>
          <w:tcPr>
            <w:tcW w:w="8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17,184</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(14,466)</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7"/>
                <w:szCs w:val="17"/>
                <w:color w:val="auto"/>
              </w:rPr>
              <w:t>MPC EBT</w:t>
            </w:r>
          </w:p>
        </w:tc>
        <w:tc>
          <w:tcPr>
            <w:tcW w:w="2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89,476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205,005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308,535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370,681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7"/>
                <w:szCs w:val="17"/>
                <w:color w:val="auto"/>
              </w:rPr>
              <w:t>Strategic Developments EBT</w:t>
            </w:r>
          </w:p>
        </w:tc>
        <w:tc>
          <w:tcPr>
            <w:tcW w:w="2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17,820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11,343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137,735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11,105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7"/>
                <w:szCs w:val="17"/>
                <w:color w:val="auto"/>
              </w:rPr>
              <w:t>General and administrative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(28,802)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(28,281)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(90,696)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(85,269)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7"/>
                <w:szCs w:val="17"/>
                <w:color w:val="auto"/>
              </w:rPr>
              <w:t>Gain (loss) on sale of MUD receivables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(105,362)</w:t>
            </w:r>
          </w:p>
        </w:tc>
        <w:tc>
          <w:tcPr>
            <w:tcW w:w="3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(105,917)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(48,197)</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7"/>
                <w:szCs w:val="17"/>
                <w:color w:val="auto"/>
              </w:rPr>
              <w:t>Corporate 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(32,158)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(18,288)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(74,709)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(62,408)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7"/>
                <w:szCs w:val="17"/>
                <w:color w:val="auto"/>
              </w:rPr>
              <w:t>Vantage income (loss) before income taxes</w:t>
            </w:r>
          </w:p>
        </w:tc>
        <w:tc>
          <w:tcPr>
            <w:tcW w:w="2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76,564</w:t>
            </w:r>
          </w:p>
        </w:tc>
        <w:tc>
          <w:tcPr>
            <w:tcW w:w="3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55,799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Corporate income, expenses, and other items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(7,309)</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(29,202)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(14,769)</w:t>
            </w:r>
          </w:p>
        </w:tc>
        <w:tc>
          <w:tcPr>
            <w:tcW w:w="0" w:type="dxa"/>
            <w:vAlign w:val="bottom"/>
          </w:tcPr>
          <w:p>
            <w:pPr>
              <w:spacing w:after="0"/>
              <w:rPr>
                <w:sz w:val="1"/>
                <w:szCs w:val="1"/>
                <w:color w:val="auto"/>
              </w:rPr>
            </w:pPr>
          </w:p>
        </w:tc>
      </w:tr>
      <w:tr>
        <w:trPr>
          <w:trHeight w:val="225"/>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before income taxes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1,132</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158,300</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218,729</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156,677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the reconciliation of segment revenues to Total revenue in the Condensed Consolidated Statements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2340" w:type="dxa"/>
            <w:vAlign w:val="bottom"/>
            <w:tcBorders>
              <w:top w:val="single" w:sz="8" w:color="auto"/>
            </w:tcBorders>
            <w:gridSpan w:val="4"/>
            <w:shd w:val="clear" w:color="auto" w:fill="DBDBDB"/>
          </w:tcPr>
          <w:p>
            <w:pPr>
              <w:ind w:left="140"/>
              <w:spacing w:after="0" w:line="176" w:lineRule="exact"/>
              <w:rPr>
                <w:sz w:val="20"/>
                <w:szCs w:val="20"/>
                <w:color w:val="auto"/>
              </w:rPr>
            </w:pPr>
            <w:r>
              <w:rPr>
                <w:rFonts w:ascii="Arial" w:cs="Arial" w:eastAsia="Arial" w:hAnsi="Arial"/>
                <w:sz w:val="17"/>
                <w:szCs w:val="17"/>
                <w:b w:val="1"/>
                <w:bCs w:val="1"/>
                <w:color w:val="auto"/>
              </w:rPr>
              <w:t>Three Months Ended</w:t>
            </w:r>
          </w:p>
        </w:tc>
        <w:tc>
          <w:tcPr>
            <w:tcW w:w="240" w:type="dxa"/>
            <w:vAlign w:val="bottom"/>
            <w:tcBorders>
              <w:top w:val="single" w:sz="8" w:color="auto"/>
            </w:tcBorders>
            <w:shd w:val="clear" w:color="auto" w:fill="DBDBDB"/>
          </w:tcPr>
          <w:p>
            <w:pPr>
              <w:spacing w:after="0"/>
              <w:rPr>
                <w:sz w:val="15"/>
                <w:szCs w:val="15"/>
                <w:color w:val="auto"/>
              </w:rPr>
            </w:pPr>
          </w:p>
        </w:tc>
        <w:tc>
          <w:tcPr>
            <w:tcW w:w="2280" w:type="dxa"/>
            <w:vAlign w:val="bottom"/>
            <w:tcBorders>
              <w:top w:val="single" w:sz="8" w:color="auto"/>
            </w:tcBorders>
            <w:gridSpan w:val="3"/>
            <w:shd w:val="clear" w:color="auto" w:fill="DBDBDB"/>
          </w:tcPr>
          <w:p>
            <w:pPr>
              <w:jc w:val="right"/>
              <w:ind w:right="375"/>
              <w:spacing w:after="0" w:line="176" w:lineRule="exact"/>
              <w:rPr>
                <w:sz w:val="20"/>
                <w:szCs w:val="20"/>
                <w:color w:val="auto"/>
              </w:rPr>
            </w:pPr>
            <w:r>
              <w:rPr>
                <w:rFonts w:ascii="Arial" w:cs="Arial" w:eastAsia="Arial" w:hAnsi="Arial"/>
                <w:sz w:val="17"/>
                <w:szCs w:val="17"/>
                <w:b w:val="1"/>
                <w:bCs w:val="1"/>
                <w:color w:val="auto"/>
              </w:rPr>
              <w:t>Nine Months Ended</w:t>
            </w:r>
          </w:p>
        </w:tc>
      </w:tr>
      <w:tr>
        <w:trPr>
          <w:trHeight w:val="230"/>
        </w:trPr>
        <w:tc>
          <w:tcPr>
            <w:tcW w:w="6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340" w:type="dxa"/>
            <w:vAlign w:val="bottom"/>
            <w:gridSpan w:val="4"/>
            <w:shd w:val="clear" w:color="auto" w:fill="DBDBDB"/>
          </w:tcPr>
          <w:p>
            <w:pPr>
              <w:ind w:left="40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shd w:val="clear" w:color="auto" w:fill="DBDBDB"/>
          </w:tcPr>
          <w:p>
            <w:pPr>
              <w:spacing w:after="0"/>
              <w:rPr>
                <w:sz w:val="19"/>
                <w:szCs w:val="19"/>
                <w:color w:val="auto"/>
              </w:rPr>
            </w:pPr>
          </w:p>
        </w:tc>
        <w:tc>
          <w:tcPr>
            <w:tcW w:w="2280" w:type="dxa"/>
            <w:vAlign w:val="bottom"/>
            <w:gridSpan w:val="3"/>
            <w:shd w:val="clear" w:color="auto" w:fill="DBDBDB"/>
          </w:tcPr>
          <w:p>
            <w:pPr>
              <w:jc w:val="right"/>
              <w:ind w:right="595"/>
              <w:spacing w:after="0"/>
              <w:rPr>
                <w:sz w:val="20"/>
                <w:szCs w:val="20"/>
                <w:color w:val="auto"/>
              </w:rPr>
            </w:pPr>
            <w:r>
              <w:rPr>
                <w:rFonts w:ascii="Arial" w:cs="Arial" w:eastAsia="Arial" w:hAnsi="Arial"/>
                <w:sz w:val="17"/>
                <w:szCs w:val="17"/>
                <w:b w:val="1"/>
                <w:bCs w:val="1"/>
                <w:color w:val="auto"/>
              </w:rPr>
              <w:t>September 30,</w:t>
            </w:r>
          </w:p>
        </w:tc>
      </w:tr>
      <w:tr>
        <w:trPr>
          <w:trHeight w:val="223"/>
        </w:trPr>
        <w:tc>
          <w:tcPr>
            <w:tcW w:w="610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960" w:type="dxa"/>
            <w:vAlign w:val="bottom"/>
            <w:tcBorders>
              <w:top w:val="single" w:sz="8" w:color="auto"/>
              <w:bottom w:val="single" w:sz="8" w:color="auto"/>
            </w:tcBorders>
            <w:shd w:val="clear" w:color="auto" w:fill="DBDBDB"/>
          </w:tcPr>
          <w:p>
            <w:pPr>
              <w:ind w:left="140"/>
              <w:spacing w:after="0"/>
              <w:rPr>
                <w:sz w:val="20"/>
                <w:szCs w:val="20"/>
                <w:color w:val="auto"/>
              </w:rPr>
            </w:pPr>
            <w:r>
              <w:rPr>
                <w:rFonts w:ascii="Arial" w:cs="Arial" w:eastAsia="Arial" w:hAnsi="Arial"/>
                <w:sz w:val="17"/>
                <w:szCs w:val="17"/>
                <w:b w:val="1"/>
                <w:bCs w:val="1"/>
                <w:color w:val="auto"/>
              </w:rPr>
              <w:t>2026</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96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top w:val="single" w:sz="8" w:color="DBDBDB"/>
              <w:bottom w:val="single" w:sz="8" w:color="auto"/>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000" w:type="dxa"/>
            <w:vAlign w:val="bottom"/>
            <w:tcBorders>
              <w:top w:val="single" w:sz="8" w:color="auto"/>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2026</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2025</w:t>
            </w:r>
          </w:p>
        </w:tc>
      </w:tr>
      <w:tr>
        <w:trPr>
          <w:trHeight w:val="214"/>
        </w:trPr>
        <w:tc>
          <w:tcPr>
            <w:tcW w:w="6100" w:type="dxa"/>
            <w:vAlign w:val="bottom"/>
          </w:tcPr>
          <w:p>
            <w:pPr>
              <w:ind w:left="20"/>
              <w:spacing w:after="0"/>
              <w:rPr>
                <w:sz w:val="20"/>
                <w:szCs w:val="20"/>
                <w:color w:val="auto"/>
              </w:rPr>
            </w:pPr>
            <w:r>
              <w:rPr>
                <w:rFonts w:ascii="Arial" w:cs="Arial" w:eastAsia="Arial" w:hAnsi="Arial"/>
                <w:sz w:val="17"/>
                <w:szCs w:val="17"/>
                <w:color w:val="auto"/>
              </w:rPr>
              <w:t>Operating Assets segment</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121,611</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117,182</w:t>
            </w:r>
          </w:p>
        </w:tc>
        <w:tc>
          <w:tcPr>
            <w:tcW w:w="8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360,773</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347,630</w:t>
            </w:r>
          </w:p>
        </w:tc>
      </w:tr>
      <w:tr>
        <w:trPr>
          <w:trHeight w:val="230"/>
        </w:trPr>
        <w:tc>
          <w:tcPr>
            <w:tcW w:w="6100" w:type="dxa"/>
            <w:vAlign w:val="bottom"/>
          </w:tcPr>
          <w:p>
            <w:pPr>
              <w:ind w:left="20"/>
              <w:spacing w:after="0"/>
              <w:rPr>
                <w:sz w:val="20"/>
                <w:szCs w:val="20"/>
                <w:color w:val="auto"/>
              </w:rPr>
            </w:pPr>
            <w:r>
              <w:rPr>
                <w:rFonts w:ascii="Arial" w:cs="Arial" w:eastAsia="Arial" w:hAnsi="Arial"/>
                <w:sz w:val="17"/>
                <w:szCs w:val="17"/>
                <w:color w:val="auto"/>
              </w:rPr>
              <w:t>MPC segment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149,825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271,575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443,846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499,730</w:t>
            </w:r>
          </w:p>
        </w:tc>
      </w:tr>
      <w:tr>
        <w:trPr>
          <w:trHeight w:val="229"/>
        </w:trPr>
        <w:tc>
          <w:tcPr>
            <w:tcW w:w="6100" w:type="dxa"/>
            <w:vAlign w:val="bottom"/>
          </w:tcPr>
          <w:p>
            <w:pPr>
              <w:ind w:left="20"/>
              <w:spacing w:after="0"/>
              <w:rPr>
                <w:sz w:val="20"/>
                <w:szCs w:val="20"/>
                <w:color w:val="auto"/>
              </w:rPr>
            </w:pPr>
            <w:r>
              <w:rPr>
                <w:rFonts w:ascii="Arial" w:cs="Arial" w:eastAsia="Arial" w:hAnsi="Arial"/>
                <w:sz w:val="17"/>
                <w:szCs w:val="17"/>
                <w:color w:val="auto"/>
              </w:rPr>
              <w:t>Strategic Developments segment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7,244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719,083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3,028</w:t>
            </w:r>
          </w:p>
        </w:tc>
      </w:tr>
      <w:tr>
        <w:trPr>
          <w:trHeight w:val="230"/>
        </w:trPr>
        <w:tc>
          <w:tcPr>
            <w:tcW w:w="6100" w:type="dxa"/>
            <w:vAlign w:val="bottom"/>
          </w:tcPr>
          <w:p>
            <w:pPr>
              <w:ind w:left="20"/>
              <w:spacing w:after="0"/>
              <w:rPr>
                <w:sz w:val="20"/>
                <w:szCs w:val="20"/>
                <w:color w:val="auto"/>
              </w:rPr>
            </w:pPr>
            <w:r>
              <w:rPr>
                <w:rFonts w:ascii="Arial" w:cs="Arial" w:eastAsia="Arial" w:hAnsi="Arial"/>
                <w:sz w:val="17"/>
                <w:szCs w:val="17"/>
                <w:color w:val="auto"/>
              </w:rPr>
              <w:t>Vantage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357,529</w:t>
            </w:r>
          </w:p>
        </w:tc>
        <w:tc>
          <w:tcPr>
            <w:tcW w:w="3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470,670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Corporate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168</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25"/>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636,296</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390,235</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1,994,540</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850,443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60" w:hanging="446"/>
        <w:spacing w:after="0"/>
        <w:tabs>
          <w:tab w:leader="none" w:pos="49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180" w:type="dxa"/>
            <w:vAlign w:val="bottom"/>
          </w:tcPr>
          <w:p>
            <w:pPr>
              <w:ind w:left="3780"/>
              <w:spacing w:after="0"/>
              <w:rPr>
                <w:sz w:val="20"/>
                <w:szCs w:val="20"/>
                <w:color w:val="auto"/>
              </w:rPr>
            </w:pPr>
            <w:r>
              <w:rPr>
                <w:rFonts w:ascii="Arial" w:cs="Arial" w:eastAsia="Arial" w:hAnsi="Arial"/>
                <w:sz w:val="18"/>
                <w:szCs w:val="18"/>
                <w:color w:val="929292"/>
                <w:w w:val="97"/>
              </w:rPr>
              <w:t>Table of Contents</w:t>
            </w:r>
          </w:p>
        </w:tc>
      </w:t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B6B6B6"/>
              </w:rPr>
              <w:t>FOOTNOTES</w:t>
            </w:r>
          </w:p>
        </w:tc>
        <w:tc>
          <w:tcPr>
            <w:tcW w:w="51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the reconciliation of segment assets to Total assets on the Condensed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900" w:type="dxa"/>
            <w:vAlign w:val="bottom"/>
            <w:tcBorders>
              <w:top w:val="single" w:sz="8" w:color="auto"/>
            </w:tcBorders>
            <w:shd w:val="clear" w:color="auto" w:fill="D8D8D8"/>
          </w:tcPr>
          <w:p>
            <w:pPr>
              <w:spacing w:after="0"/>
              <w:rPr>
                <w:sz w:val="15"/>
                <w:szCs w:val="15"/>
                <w:color w:val="auto"/>
              </w:rPr>
            </w:pPr>
          </w:p>
        </w:tc>
        <w:tc>
          <w:tcPr>
            <w:tcW w:w="1460" w:type="dxa"/>
            <w:vAlign w:val="bottom"/>
            <w:tcBorders>
              <w:top w:val="single" w:sz="8" w:color="auto"/>
            </w:tcBorders>
            <w:shd w:val="clear" w:color="auto" w:fill="D8D8D8"/>
          </w:tcPr>
          <w:p>
            <w:pPr>
              <w:jc w:val="right"/>
              <w:ind w:right="155"/>
              <w:spacing w:after="0" w:line="176" w:lineRule="exact"/>
              <w:rPr>
                <w:sz w:val="20"/>
                <w:szCs w:val="20"/>
                <w:color w:val="auto"/>
              </w:rPr>
            </w:pPr>
            <w:r>
              <w:rPr>
                <w:rFonts w:ascii="Arial" w:cs="Arial" w:eastAsia="Arial" w:hAnsi="Arial"/>
                <w:sz w:val="17"/>
                <w:szCs w:val="17"/>
                <w:b w:val="1"/>
                <w:bCs w:val="1"/>
                <w:color w:val="auto"/>
              </w:rPr>
              <w:t>September 30,</w:t>
            </w:r>
          </w:p>
        </w:tc>
        <w:tc>
          <w:tcPr>
            <w:tcW w:w="240" w:type="dxa"/>
            <w:vAlign w:val="bottom"/>
            <w:tcBorders>
              <w:top w:val="single" w:sz="8" w:color="auto"/>
            </w:tcBorders>
            <w:shd w:val="clear" w:color="auto" w:fill="D8D8D8"/>
          </w:tcPr>
          <w:p>
            <w:pPr>
              <w:spacing w:after="0"/>
              <w:rPr>
                <w:sz w:val="15"/>
                <w:szCs w:val="15"/>
                <w:color w:val="auto"/>
              </w:rPr>
            </w:pPr>
          </w:p>
        </w:tc>
        <w:tc>
          <w:tcPr>
            <w:tcW w:w="1320" w:type="dxa"/>
            <w:vAlign w:val="bottom"/>
            <w:tcBorders>
              <w:top w:val="single" w:sz="8" w:color="auto"/>
            </w:tcBorders>
            <w:shd w:val="clear" w:color="auto" w:fill="D8D8D8"/>
          </w:tcPr>
          <w:p>
            <w:pPr>
              <w:jc w:val="right"/>
              <w:ind w:right="115"/>
              <w:spacing w:after="0" w:line="176" w:lineRule="exact"/>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vMerge w:val="continue"/>
            <w:shd w:val="clear" w:color="auto" w:fill="D8D8D8"/>
          </w:tcPr>
          <w:p>
            <w:pPr>
              <w:spacing w:after="0"/>
              <w:rPr>
                <w:sz w:val="19"/>
                <w:szCs w:val="19"/>
                <w:color w:val="auto"/>
              </w:rPr>
            </w:pPr>
          </w:p>
        </w:tc>
        <w:tc>
          <w:tcPr>
            <w:tcW w:w="2900" w:type="dxa"/>
            <w:vAlign w:val="bottom"/>
            <w:tcBorders>
              <w:bottom w:val="single" w:sz="8" w:color="auto"/>
            </w:tcBorders>
            <w:shd w:val="clear" w:color="auto" w:fill="D8D8D8"/>
          </w:tcPr>
          <w:p>
            <w:pPr>
              <w:spacing w:after="0"/>
              <w:rPr>
                <w:sz w:val="19"/>
                <w:szCs w:val="19"/>
                <w:color w:val="auto"/>
              </w:rPr>
            </w:pPr>
          </w:p>
        </w:tc>
        <w:tc>
          <w:tcPr>
            <w:tcW w:w="1460" w:type="dxa"/>
            <w:vAlign w:val="bottom"/>
            <w:tcBorders>
              <w:bottom w:val="single" w:sz="8" w:color="auto"/>
            </w:tcBorders>
            <w:shd w:val="clear" w:color="auto" w:fill="D8D8D8"/>
          </w:tcPr>
          <w:p>
            <w:pPr>
              <w:jc w:val="right"/>
              <w:ind w:right="555"/>
              <w:spacing w:after="0"/>
              <w:rPr>
                <w:sz w:val="20"/>
                <w:szCs w:val="20"/>
                <w:color w:val="auto"/>
              </w:rPr>
            </w:pPr>
            <w:r>
              <w:rPr>
                <w:rFonts w:ascii="Arial" w:cs="Arial" w:eastAsia="Arial" w:hAnsi="Arial"/>
                <w:sz w:val="17"/>
                <w:szCs w:val="17"/>
                <w:b w:val="1"/>
                <w:bCs w:val="1"/>
                <w:color w:val="auto"/>
              </w:rPr>
              <w:t>2026</w:t>
            </w:r>
          </w:p>
        </w:tc>
        <w:tc>
          <w:tcPr>
            <w:tcW w:w="240" w:type="dxa"/>
            <w:vAlign w:val="bottom"/>
            <w:tcBorders>
              <w:bottom w:val="single" w:sz="8" w:color="auto"/>
            </w:tcBorders>
            <w:shd w:val="clear" w:color="auto" w:fill="D8D8D8"/>
          </w:tcPr>
          <w:p>
            <w:pPr>
              <w:spacing w:after="0"/>
              <w:rPr>
                <w:sz w:val="19"/>
                <w:szCs w:val="19"/>
                <w:color w:val="auto"/>
              </w:rPr>
            </w:pPr>
          </w:p>
        </w:tc>
        <w:tc>
          <w:tcPr>
            <w:tcW w:w="1320" w:type="dxa"/>
            <w:vAlign w:val="bottom"/>
            <w:tcBorders>
              <w:bottom w:val="single" w:sz="8" w:color="auto"/>
            </w:tcBorders>
            <w:shd w:val="clear" w:color="auto" w:fill="D8D8D8"/>
          </w:tcPr>
          <w:p>
            <w:pPr>
              <w:jc w:val="right"/>
              <w:ind w:right="47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4"/>
        </w:trPr>
        <w:tc>
          <w:tcPr>
            <w:tcW w:w="5320" w:type="dxa"/>
            <w:vAlign w:val="bottom"/>
          </w:tcPr>
          <w:p>
            <w:pPr>
              <w:ind w:left="20"/>
              <w:spacing w:after="0"/>
              <w:rPr>
                <w:sz w:val="20"/>
                <w:szCs w:val="20"/>
                <w:color w:val="auto"/>
              </w:rPr>
            </w:pPr>
            <w:r>
              <w:rPr>
                <w:rFonts w:ascii="Arial" w:cs="Arial" w:eastAsia="Arial" w:hAnsi="Arial"/>
                <w:sz w:val="17"/>
                <w:szCs w:val="17"/>
                <w:color w:val="auto"/>
              </w:rPr>
              <w:t>Operating Assets segment</w:t>
            </w:r>
          </w:p>
        </w:tc>
        <w:tc>
          <w:tcPr>
            <w:tcW w:w="2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15"/>
              <w:spacing w:after="0"/>
              <w:rPr>
                <w:sz w:val="20"/>
                <w:szCs w:val="20"/>
                <w:color w:val="auto"/>
              </w:rPr>
            </w:pPr>
            <w:r>
              <w:rPr>
                <w:rFonts w:ascii="Arial" w:cs="Arial" w:eastAsia="Arial" w:hAnsi="Arial"/>
                <w:sz w:val="17"/>
                <w:szCs w:val="17"/>
                <w:b w:val="1"/>
                <w:bCs w:val="1"/>
                <w:color w:val="auto"/>
              </w:rPr>
              <w:t>3,615,568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3,606,214</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7"/>
                <w:szCs w:val="17"/>
                <w:color w:val="auto"/>
              </w:rPr>
              <w:t>MPC segment</w:t>
            </w:r>
          </w:p>
        </w:tc>
        <w:tc>
          <w:tcPr>
            <w:tcW w:w="290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b w:val="1"/>
                <w:bCs w:val="1"/>
                <w:color w:val="auto"/>
              </w:rPr>
              <w:t>3,730,413</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3,487,301</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7"/>
                <w:szCs w:val="17"/>
                <w:color w:val="auto"/>
              </w:rPr>
              <w:t>Strategic Developments segment</w:t>
            </w:r>
          </w:p>
        </w:tc>
        <w:tc>
          <w:tcPr>
            <w:tcW w:w="290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b w:val="1"/>
                <w:bCs w:val="1"/>
                <w:color w:val="auto"/>
              </w:rPr>
              <w:t>2,075,039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2,378,762</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7"/>
                <w:szCs w:val="17"/>
                <w:color w:val="auto"/>
              </w:rPr>
              <w:t>Vantage</w:t>
            </w:r>
          </w:p>
        </w:tc>
        <w:tc>
          <w:tcPr>
            <w:tcW w:w="290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b w:val="1"/>
                <w:bCs w:val="1"/>
                <w:color w:val="auto"/>
              </w:rPr>
              <w:t>6,448,468</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Corporate</w:t>
            </w:r>
          </w:p>
        </w:tc>
        <w:tc>
          <w:tcPr>
            <w:tcW w:w="2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449,558</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1,167,184</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16,319,046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10,639,461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capital expenditures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36" w:lineRule="exact"/>
        <w:rPr>
          <w:sz w:val="20"/>
          <w:szCs w:val="20"/>
          <w:color w:val="auto"/>
        </w:rPr>
      </w:pPr>
    </w:p>
    <w:p>
      <w:pPr>
        <w:ind w:left="802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400" w:type="dxa"/>
            <w:vAlign w:val="bottom"/>
            <w:tcBorders>
              <w:top w:val="single" w:sz="8" w:color="auto"/>
              <w:bottom w:val="single" w:sz="8" w:color="auto"/>
            </w:tcBorders>
            <w:shd w:val="clear" w:color="auto" w:fill="DBDBDB"/>
          </w:tcPr>
          <w:p>
            <w:pPr>
              <w:spacing w:after="0"/>
              <w:rPr>
                <w:sz w:val="19"/>
                <w:szCs w:val="19"/>
                <w:color w:val="auto"/>
              </w:rPr>
            </w:pPr>
          </w:p>
        </w:tc>
        <w:tc>
          <w:tcPr>
            <w:tcW w:w="1380" w:type="dxa"/>
            <w:vAlign w:val="bottom"/>
            <w:tcBorders>
              <w:top w:val="single" w:sz="8" w:color="auto"/>
              <w:bottom w:val="single" w:sz="8" w:color="auto"/>
            </w:tcBorders>
            <w:shd w:val="clear" w:color="auto" w:fill="DBDBDB"/>
          </w:tcPr>
          <w:p>
            <w:pPr>
              <w:jc w:val="right"/>
              <w:ind w:right="635"/>
              <w:spacing w:after="0"/>
              <w:rPr>
                <w:sz w:val="20"/>
                <w:szCs w:val="20"/>
                <w:color w:val="auto"/>
              </w:rPr>
            </w:pPr>
            <w:r>
              <w:rPr>
                <w:rFonts w:ascii="Arial" w:cs="Arial" w:eastAsia="Arial" w:hAnsi="Arial"/>
                <w:sz w:val="17"/>
                <w:szCs w:val="17"/>
                <w:b w:val="1"/>
                <w:bCs w:val="1"/>
                <w:color w:val="auto"/>
              </w:rPr>
              <w:t>2026</w:t>
            </w:r>
          </w:p>
        </w:tc>
        <w:tc>
          <w:tcPr>
            <w:tcW w:w="480" w:type="dxa"/>
            <w:vAlign w:val="bottom"/>
            <w:tcBorders>
              <w:top w:val="single" w:sz="8" w:color="auto"/>
              <w:bottom w:val="single" w:sz="8" w:color="auto"/>
            </w:tcBorders>
            <w:shd w:val="clear" w:color="auto" w:fill="DBDBDB"/>
          </w:tcPr>
          <w:p>
            <w:pPr>
              <w:spacing w:after="0"/>
              <w:rPr>
                <w:sz w:val="19"/>
                <w:szCs w:val="19"/>
                <w:color w:val="auto"/>
              </w:rPr>
            </w:pPr>
          </w:p>
        </w:tc>
        <w:tc>
          <w:tcPr>
            <w:tcW w:w="1360" w:type="dxa"/>
            <w:vAlign w:val="bottom"/>
            <w:tcBorders>
              <w:top w:val="single" w:sz="8" w:color="auto"/>
              <w:bottom w:val="single" w:sz="8" w:color="auto"/>
            </w:tcBorders>
            <w:shd w:val="clear" w:color="auto" w:fill="DBDBDB"/>
          </w:tcPr>
          <w:p>
            <w:pPr>
              <w:jc w:val="right"/>
              <w:ind w:right="595"/>
              <w:spacing w:after="0"/>
              <w:rPr>
                <w:sz w:val="20"/>
                <w:szCs w:val="20"/>
                <w:color w:val="auto"/>
              </w:rPr>
            </w:pPr>
            <w:r>
              <w:rPr>
                <w:rFonts w:ascii="Arial" w:cs="Arial" w:eastAsia="Arial" w:hAnsi="Arial"/>
                <w:sz w:val="17"/>
                <w:szCs w:val="17"/>
                <w:b w:val="1"/>
                <w:bCs w:val="1"/>
                <w:color w:val="auto"/>
              </w:rPr>
              <w:t>2025</w:t>
            </w:r>
          </w:p>
        </w:tc>
      </w:tr>
      <w:tr>
        <w:trPr>
          <w:trHeight w:val="214"/>
        </w:trPr>
        <w:tc>
          <w:tcPr>
            <w:tcW w:w="7620" w:type="dxa"/>
            <w:vAlign w:val="bottom"/>
          </w:tcPr>
          <w:p>
            <w:pPr>
              <w:ind w:left="20"/>
              <w:spacing w:after="0"/>
              <w:rPr>
                <w:sz w:val="20"/>
                <w:szCs w:val="20"/>
                <w:color w:val="auto"/>
              </w:rPr>
            </w:pPr>
            <w:r>
              <w:rPr>
                <w:rFonts w:ascii="Arial" w:cs="Arial" w:eastAsia="Arial" w:hAnsi="Arial"/>
                <w:sz w:val="17"/>
                <w:szCs w:val="17"/>
                <w:color w:val="auto"/>
              </w:rPr>
              <w:t>Operating Assets segment</w:t>
            </w:r>
          </w:p>
        </w:tc>
        <w:tc>
          <w:tcPr>
            <w:tcW w:w="40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380" w:type="dxa"/>
            <w:vAlign w:val="bottom"/>
          </w:tcPr>
          <w:p>
            <w:pPr>
              <w:jc w:val="right"/>
              <w:ind w:right="15"/>
              <w:spacing w:after="0"/>
              <w:rPr>
                <w:sz w:val="20"/>
                <w:szCs w:val="20"/>
                <w:color w:val="auto"/>
              </w:rPr>
            </w:pPr>
            <w:r>
              <w:rPr>
                <w:rFonts w:ascii="Arial" w:cs="Arial" w:eastAsia="Arial" w:hAnsi="Arial"/>
                <w:sz w:val="17"/>
                <w:szCs w:val="17"/>
                <w:b w:val="1"/>
                <w:bCs w:val="1"/>
                <w:color w:val="auto"/>
              </w:rPr>
              <w:t>31,902</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30,036</w:t>
            </w:r>
          </w:p>
        </w:tc>
      </w:tr>
      <w:tr>
        <w:trPr>
          <w:trHeight w:val="229"/>
        </w:trPr>
        <w:tc>
          <w:tcPr>
            <w:tcW w:w="7620" w:type="dxa"/>
            <w:vAlign w:val="bottom"/>
          </w:tcPr>
          <w:p>
            <w:pPr>
              <w:ind w:left="20"/>
              <w:spacing w:after="0"/>
              <w:rPr>
                <w:sz w:val="20"/>
                <w:szCs w:val="20"/>
                <w:color w:val="auto"/>
              </w:rPr>
            </w:pPr>
            <w:r>
              <w:rPr>
                <w:rFonts w:ascii="Arial" w:cs="Arial" w:eastAsia="Arial" w:hAnsi="Arial"/>
                <w:sz w:val="17"/>
                <w:szCs w:val="17"/>
                <w:color w:val="auto"/>
              </w:rPr>
              <w:t>MPC segment</w:t>
            </w:r>
          </w:p>
        </w:tc>
        <w:tc>
          <w:tcPr>
            <w:tcW w:w="40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b w:val="1"/>
                <w:bCs w:val="1"/>
                <w:color w:val="auto"/>
              </w:rPr>
              <w:t>203</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36"/>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Strategic Developments segment</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57,938</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153,794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60" w:hanging="446"/>
        <w:spacing w:after="0"/>
        <w:tabs>
          <w:tab w:leader="none" w:pos="49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ind w:left="20"/>
        <w:spacing w:after="0"/>
        <w:tabs>
          <w:tab w:leader="none" w:pos="980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discussion and analysis by management should be read in conjunction with the unaudited Condensed Consolidated Financial Statements and Notes included in this Quarterly Report on Form 10-Q and with the audited Consolidated Financial Statements included in the Company’s Annual Report on Form 10-K for the fiscal year ended December 31, 2025, filed with the SEC on February 19, 2026. All references to numbered Notes are to specific notes to our unaudited Condensed Consolidated Financial Statements included in this Quarterly Report. Capitalized terms used, but not defined, in this MD&amp;A have the same meanings as in such Notes.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Throughout this section, changes for monetary amounts between periods presented are calculated based on the amounts in thousands of dollars stated in our Condensed Consolidated Financial Statements and then rounded to the nearest million. Therefore, certain changes may not recalculate based on the amounts rounded to the nearest million.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Index</w:t>
            </w:r>
          </w:p>
        </w:tc>
        <w:tc>
          <w:tcPr>
            <w:tcW w:w="39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7"/>
                <w:szCs w:val="17"/>
                <w:b w:val="1"/>
                <w:bCs w:val="1"/>
                <w:color w:val="auto"/>
              </w:rPr>
              <w:t>Page</w:t>
            </w:r>
          </w:p>
        </w:tc>
      </w:tr>
      <w:tr>
        <w:trPr>
          <w:trHeight w:val="214"/>
        </w:trPr>
        <w:tc>
          <w:tcPr>
            <w:tcW w:w="7280" w:type="dxa"/>
            <w:vAlign w:val="bottom"/>
          </w:tcPr>
          <w:p>
            <w:pPr>
              <w:ind w:left="20"/>
              <w:spacing w:after="0"/>
              <w:rPr>
                <w:sz w:val="20"/>
                <w:szCs w:val="20"/>
                <w:color w:val="auto"/>
              </w:rPr>
            </w:pPr>
            <w:r>
              <w:rPr>
                <w:rFonts w:ascii="Arial" w:cs="Arial" w:eastAsia="Arial" w:hAnsi="Arial"/>
                <w:sz w:val="17"/>
                <w:szCs w:val="17"/>
                <w:color w:val="auto"/>
              </w:rPr>
              <w:t>Forward-Looking Information</w:t>
            </w:r>
          </w:p>
        </w:tc>
        <w:tc>
          <w:tcPr>
            <w:tcW w:w="39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5"/>
        </w:trPr>
        <w:tc>
          <w:tcPr>
            <w:tcW w:w="7280" w:type="dxa"/>
            <w:vAlign w:val="bottom"/>
          </w:tcPr>
          <w:p>
            <w:pPr>
              <w:ind w:left="20"/>
              <w:spacing w:after="0"/>
              <w:rPr>
                <w:sz w:val="20"/>
                <w:szCs w:val="20"/>
                <w:color w:val="auto"/>
              </w:rPr>
            </w:pPr>
            <w:r>
              <w:rPr>
                <w:rFonts w:ascii="Arial" w:cs="Arial" w:eastAsia="Arial" w:hAnsi="Arial"/>
                <w:sz w:val="17"/>
                <w:szCs w:val="17"/>
                <w:color w:val="auto"/>
              </w:rPr>
              <w:t>Overview</w:t>
            </w:r>
          </w:p>
        </w:tc>
        <w:tc>
          <w:tcPr>
            <w:tcW w:w="39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0"/>
        </w:trPr>
        <w:tc>
          <w:tcPr>
            <w:tcW w:w="7280" w:type="dxa"/>
            <w:vAlign w:val="bottom"/>
          </w:tcPr>
          <w:p>
            <w:pPr>
              <w:ind w:left="20"/>
              <w:spacing w:after="0"/>
              <w:rPr>
                <w:sz w:val="20"/>
                <w:szCs w:val="20"/>
                <w:color w:val="auto"/>
              </w:rPr>
            </w:pPr>
            <w:r>
              <w:rPr>
                <w:rFonts w:ascii="Arial" w:cs="Arial" w:eastAsia="Arial" w:hAnsi="Arial"/>
                <w:sz w:val="17"/>
                <w:szCs w:val="17"/>
                <w:color w:val="auto"/>
              </w:rPr>
              <w:t>Results of Operations</w:t>
            </w:r>
          </w:p>
        </w:tc>
        <w:tc>
          <w:tcPr>
            <w:tcW w:w="39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9"/>
        </w:trPr>
        <w:tc>
          <w:tcPr>
            <w:tcW w:w="7280" w:type="dxa"/>
            <w:vAlign w:val="bottom"/>
          </w:tcPr>
          <w:p>
            <w:pPr>
              <w:ind w:left="220"/>
              <w:spacing w:after="0"/>
              <w:rPr>
                <w:sz w:val="20"/>
                <w:szCs w:val="20"/>
                <w:color w:val="auto"/>
              </w:rPr>
            </w:pPr>
            <w:r>
              <w:rPr>
                <w:rFonts w:ascii="Arial" w:cs="Arial" w:eastAsia="Arial" w:hAnsi="Arial"/>
                <w:sz w:val="17"/>
                <w:szCs w:val="17"/>
                <w:color w:val="auto"/>
              </w:rPr>
              <w:t>Operating Assets</w:t>
            </w:r>
          </w:p>
        </w:tc>
        <w:tc>
          <w:tcPr>
            <w:tcW w:w="39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0"/>
        </w:trPr>
        <w:tc>
          <w:tcPr>
            <w:tcW w:w="7280" w:type="dxa"/>
            <w:vAlign w:val="bottom"/>
          </w:tcPr>
          <w:p>
            <w:pPr>
              <w:ind w:left="220"/>
              <w:spacing w:after="0"/>
              <w:rPr>
                <w:sz w:val="20"/>
                <w:szCs w:val="20"/>
                <w:color w:val="auto"/>
              </w:rPr>
            </w:pPr>
            <w:r>
              <w:rPr>
                <w:rFonts w:ascii="Arial" w:cs="Arial" w:eastAsia="Arial" w:hAnsi="Arial"/>
                <w:sz w:val="17"/>
                <w:szCs w:val="17"/>
                <w:color w:val="auto"/>
              </w:rPr>
              <w:t>Master Planned Communities</w:t>
            </w:r>
          </w:p>
        </w:tc>
        <w:tc>
          <w:tcPr>
            <w:tcW w:w="39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9"/>
        </w:trPr>
        <w:tc>
          <w:tcPr>
            <w:tcW w:w="7280" w:type="dxa"/>
            <w:vAlign w:val="bottom"/>
          </w:tcPr>
          <w:p>
            <w:pPr>
              <w:ind w:left="220"/>
              <w:spacing w:after="0"/>
              <w:rPr>
                <w:sz w:val="20"/>
                <w:szCs w:val="20"/>
                <w:color w:val="auto"/>
              </w:rPr>
            </w:pPr>
            <w:r>
              <w:rPr>
                <w:rFonts w:ascii="Arial" w:cs="Arial" w:eastAsia="Arial" w:hAnsi="Arial"/>
                <w:sz w:val="17"/>
                <w:szCs w:val="17"/>
                <w:color w:val="auto"/>
              </w:rPr>
              <w:t>Strategic Developments</w:t>
            </w:r>
          </w:p>
        </w:tc>
        <w:tc>
          <w:tcPr>
            <w:tcW w:w="39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9"/>
        </w:trPr>
        <w:tc>
          <w:tcPr>
            <w:tcW w:w="7280" w:type="dxa"/>
            <w:vAlign w:val="bottom"/>
          </w:tcPr>
          <w:p>
            <w:pPr>
              <w:ind w:left="220"/>
              <w:spacing w:after="0"/>
              <w:rPr>
                <w:sz w:val="20"/>
                <w:szCs w:val="20"/>
                <w:color w:val="auto"/>
              </w:rPr>
            </w:pPr>
            <w:r>
              <w:rPr>
                <w:rFonts w:ascii="Arial" w:cs="Arial" w:eastAsia="Arial" w:hAnsi="Arial"/>
                <w:sz w:val="17"/>
                <w:szCs w:val="17"/>
                <w:color w:val="auto"/>
              </w:rPr>
              <w:t>Corporate Income, Expenses, and Other Items</w:t>
            </w:r>
          </w:p>
        </w:tc>
        <w:tc>
          <w:tcPr>
            <w:tcW w:w="39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30"/>
        </w:trPr>
        <w:tc>
          <w:tcPr>
            <w:tcW w:w="7280" w:type="dxa"/>
            <w:vAlign w:val="bottom"/>
          </w:tcPr>
          <w:p>
            <w:pPr>
              <w:ind w:left="20"/>
              <w:spacing w:after="0"/>
              <w:rPr>
                <w:sz w:val="20"/>
                <w:szCs w:val="20"/>
                <w:color w:val="auto"/>
              </w:rPr>
            </w:pPr>
            <w:r>
              <w:rPr>
                <w:rFonts w:ascii="Arial" w:cs="Arial" w:eastAsia="Arial" w:hAnsi="Arial"/>
                <w:sz w:val="17"/>
                <w:szCs w:val="17"/>
                <w:color w:val="auto"/>
              </w:rPr>
              <w:t>Liquidity and Capital Resources</w:t>
            </w:r>
          </w:p>
        </w:tc>
        <w:tc>
          <w:tcPr>
            <w:tcW w:w="39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29"/>
        </w:trPr>
        <w:tc>
          <w:tcPr>
            <w:tcW w:w="7280" w:type="dxa"/>
            <w:vAlign w:val="bottom"/>
          </w:tcPr>
          <w:p>
            <w:pPr>
              <w:ind w:left="20"/>
              <w:spacing w:after="0"/>
              <w:rPr>
                <w:sz w:val="20"/>
                <w:szCs w:val="20"/>
                <w:color w:val="auto"/>
              </w:rPr>
            </w:pPr>
            <w:r>
              <w:rPr>
                <w:rFonts w:ascii="Arial" w:cs="Arial" w:eastAsia="Arial" w:hAnsi="Arial"/>
                <w:sz w:val="17"/>
                <w:szCs w:val="17"/>
                <w:color w:val="auto"/>
              </w:rPr>
              <w:t>Critical Accounting Policies and Estimates</w:t>
            </w:r>
          </w:p>
        </w:tc>
        <w:tc>
          <w:tcPr>
            <w:tcW w:w="3960" w:type="dxa"/>
            <w:vAlign w:val="bottom"/>
          </w:tcPr>
          <w:p>
            <w:pPr>
              <w:jc w:val="right"/>
              <w:spacing w:after="0"/>
              <w:rPr>
                <w:sz w:val="20"/>
                <w:szCs w:val="20"/>
                <w:color w:val="auto"/>
              </w:rPr>
            </w:pPr>
            <w:r>
              <w:rPr>
                <w:rFonts w:ascii="Arial" w:cs="Arial" w:eastAsia="Arial" w:hAnsi="Arial"/>
                <w:sz w:val="17"/>
                <w:szCs w:val="17"/>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60" w:hanging="446"/>
        <w:spacing w:after="0"/>
        <w:tabs>
          <w:tab w:leader="none" w:pos="49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ind w:left="20"/>
        <w:spacing w:after="0"/>
        <w:tabs>
          <w:tab w:leader="none" w:pos="980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31F20"/>
        </w:rPr>
        <w:t>This Quarterly Report on Form 10-Q (Quarterly Report) contains forward-looking statements within the meaning of Section 27A of the Securities Act of 1933 and Section 21E of the Securities Exchange Act of 1934 (Exchange Act). We intend these statements to be covered by the safe harbor for forward-looking statements contained in the Private Securities Litigation Reform Act of 1995. Forward-looking statements give our current expectations relating to our financial condition, results of operations, plans, objectives, future performance, or business, and are not guarantees of performance. These statements may include words such as “anticipate,” “believe,” “estimate,” “expect,” “forecast,” “intend,” “likely,” “may,” “plan,” “project,” “realize,” “should,” “transform,” “will,” “would,” and other statements of similar expression. Forward-looking statements should not be relied upon, and actual results may differ materially from those contemplated by such forward-looking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231F20"/>
        </w:rPr>
        <w:t>Forward-looking statements include statements regarding:</w:t>
      </w:r>
    </w:p>
    <w:p>
      <w:pPr>
        <w:spacing w:after="0" w:line="250" w:lineRule="exact"/>
        <w:rPr>
          <w:sz w:val="20"/>
          <w:szCs w:val="20"/>
          <w:color w:val="auto"/>
        </w:rPr>
      </w:pPr>
    </w:p>
    <w:p>
      <w:pPr>
        <w:ind w:left="660" w:hanging="324"/>
        <w:spacing w:after="0" w:line="266" w:lineRule="auto"/>
        <w:rPr>
          <w:sz w:val="20"/>
          <w:szCs w:val="20"/>
          <w:color w:val="auto"/>
        </w:rPr>
      </w:pPr>
      <w:r>
        <w:rPr>
          <w:rFonts w:ascii="Arial" w:cs="Arial" w:eastAsia="Arial" w:hAnsi="Arial"/>
          <w:sz w:val="17"/>
          <w:szCs w:val="17"/>
          <w:color w:val="auto"/>
        </w:rPr>
        <w:t>– our plans to monetize a substantial portion of our real estate assets, transition our real estate business into an asset-light real estate asset management platform, and redeploy the resulting proceeds into Vantage Group Holdings Ltd. (Vantage)</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changes to our strategy following the closing of the May 2025 transactions with Pershing Square, and in connection with our plans to transition our real estate business into an asset-light management platform</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expected performance of our Master Planned Communities</w:t>
      </w:r>
    </w:p>
    <w:p>
      <w:pPr>
        <w:spacing w:after="0" w:line="7"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auto"/>
        </w:rPr>
        <w:t>– our plans regarding our MPCs, including future sales of land bank stakes and any future ongoing long-term contracts and involvement, including but not limited to as a developer, manager and operator</w:t>
      </w:r>
    </w:p>
    <w:p>
      <w:pPr>
        <w:spacing w:after="0" w:line="1" w:lineRule="exact"/>
        <w:rPr>
          <w:sz w:val="20"/>
          <w:szCs w:val="20"/>
          <w:color w:val="auto"/>
        </w:rPr>
      </w:pPr>
    </w:p>
    <w:p>
      <w:pPr>
        <w:ind w:left="660" w:right="20" w:hanging="324"/>
        <w:spacing w:after="0" w:line="248" w:lineRule="auto"/>
        <w:rPr>
          <w:sz w:val="20"/>
          <w:szCs w:val="20"/>
          <w:color w:val="auto"/>
        </w:rPr>
      </w:pPr>
      <w:r>
        <w:rPr>
          <w:rFonts w:ascii="Arial" w:cs="Arial" w:eastAsia="Arial" w:hAnsi="Arial"/>
          <w:sz w:val="17"/>
          <w:szCs w:val="17"/>
          <w:color w:val="auto"/>
        </w:rPr>
        <w:t>– expected performance of our stabilized, income-producing properties, and the performance and stabilization timing of properties that we have recently placed into service or are under construction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forecasts of our future economic performance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expected capital required for our operations and development opportunities for our properties</w:t>
      </w:r>
    </w:p>
    <w:p>
      <w:pPr>
        <w:spacing w:after="0" w:line="13" w:lineRule="exact"/>
        <w:rPr>
          <w:sz w:val="20"/>
          <w:szCs w:val="20"/>
          <w:color w:val="auto"/>
        </w:rPr>
      </w:pPr>
    </w:p>
    <w:p>
      <w:pPr>
        <w:ind w:left="660" w:right="20" w:hanging="324"/>
        <w:spacing w:after="0" w:line="253" w:lineRule="auto"/>
        <w:rPr>
          <w:sz w:val="20"/>
          <w:szCs w:val="20"/>
          <w:color w:val="auto"/>
        </w:rPr>
      </w:pPr>
      <w:r>
        <w:rPr>
          <w:rFonts w:ascii="Arial" w:cs="Arial" w:eastAsia="Arial" w:hAnsi="Arial"/>
          <w:sz w:val="17"/>
          <w:szCs w:val="17"/>
          <w:color w:val="auto"/>
        </w:rPr>
        <w:t>– planned and recently completed acquisitions, including the acquisition of Vantage, and our ability to integrate and realize the economic benefits of acquired businesses</w:t>
      </w:r>
    </w:p>
    <w:p>
      <w:pPr>
        <w:ind w:left="660" w:hanging="324"/>
        <w:spacing w:after="0" w:line="248" w:lineRule="auto"/>
        <w:rPr>
          <w:sz w:val="20"/>
          <w:szCs w:val="20"/>
          <w:color w:val="auto"/>
        </w:rPr>
      </w:pPr>
      <w:r>
        <w:rPr>
          <w:rFonts w:ascii="Arial" w:cs="Arial" w:eastAsia="Arial" w:hAnsi="Arial"/>
          <w:sz w:val="17"/>
          <w:szCs w:val="17"/>
          <w:color w:val="auto"/>
        </w:rPr>
        <w:t>– risks related to our continued operations of Vantage’s insurance and reinsurance business, including underwriting, reserving, catastrophe, reinsurance, capital, liquidity, and regulatory risks, and to the potential future growth of such business, including any expansion of such business, further investments in such business, and related investment strategy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estimates of our future liquidity, development opportunities, development spending, and management plans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impact of technology on our operations and business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expected performance of our segments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expected commencement and completion for property developments and timing of sales or rentals of certain properties; and</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descriptions of assumptions underlying or relating to any of the foregoing</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31F20"/>
        </w:rPr>
        <w:t>These statements involve known and unknown risks, uncertainties, and other factors that may cause our actual results, performance, and achievements to materially differ from any future results, performance and achievements expressed or implied by such forward-looking statements. Factors that could cause actual results to differ materially from those expressed or implied by the forward-looking statements include:</w:t>
      </w:r>
    </w:p>
    <w:p>
      <w:pPr>
        <w:spacing w:after="0" w:line="195" w:lineRule="exact"/>
        <w:rPr>
          <w:sz w:val="20"/>
          <w:szCs w:val="20"/>
          <w:color w:val="auto"/>
        </w:rPr>
      </w:pPr>
    </w:p>
    <w:p>
      <w:pPr>
        <w:ind w:left="660" w:hanging="324"/>
        <w:spacing w:after="0" w:line="258" w:lineRule="auto"/>
        <w:rPr>
          <w:sz w:val="20"/>
          <w:szCs w:val="20"/>
          <w:color w:val="auto"/>
        </w:rPr>
      </w:pPr>
      <w:r>
        <w:rPr>
          <w:rFonts w:ascii="Arial" w:cs="Arial" w:eastAsia="Arial" w:hAnsi="Arial"/>
          <w:sz w:val="17"/>
          <w:szCs w:val="17"/>
          <w:color w:val="auto"/>
        </w:rPr>
        <w:t>– our ability to transition our real estate business into an asset-light real estate asset management platform on the time frame we anticipate or at all, including our ability to raise third-party capital on terms that are favorable to us or at all, and our increasing dependence on Vantage</w:t>
      </w:r>
    </w:p>
    <w:p>
      <w:pPr>
        <w:ind w:left="660" w:hanging="324"/>
        <w:spacing w:after="0" w:line="256" w:lineRule="auto"/>
        <w:rPr>
          <w:sz w:val="20"/>
          <w:szCs w:val="20"/>
          <w:color w:val="auto"/>
        </w:rPr>
      </w:pPr>
      <w:r>
        <w:rPr>
          <w:rFonts w:ascii="Arial" w:cs="Arial" w:eastAsia="Arial" w:hAnsi="Arial"/>
          <w:sz w:val="17"/>
          <w:szCs w:val="17"/>
          <w:color w:val="auto"/>
        </w:rPr>
        <w:t>– our ability to monetize our real estate assets through asset sales and joint ventures at the values, on the terms, and within the time frame we anticipate, or at all, and to redeploy the resulting proceeds into Vantage</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our ability to realize the anticipated benefits of the transactions with Pershing Square and our strategy of becoming a diversified holding company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ability to identify and consummate transactions as part of our strategy of becoming a diversified holding company</w:t>
      </w:r>
    </w:p>
    <w:p>
      <w:pPr>
        <w:spacing w:after="0" w:line="7"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risks inherent in acquiring or making investments in operating companies, especially companies in industries unrelated to our existing real estate business</w:t>
      </w:r>
    </w:p>
    <w:p>
      <w:pPr>
        <w:ind w:left="660" w:hanging="324"/>
        <w:spacing w:after="0" w:line="253" w:lineRule="auto"/>
        <w:rPr>
          <w:sz w:val="20"/>
          <w:szCs w:val="20"/>
          <w:color w:val="auto"/>
        </w:rPr>
      </w:pPr>
      <w:r>
        <w:rPr>
          <w:rFonts w:ascii="Arial" w:cs="Arial" w:eastAsia="Arial" w:hAnsi="Arial"/>
          <w:sz w:val="17"/>
          <w:szCs w:val="17"/>
          <w:color w:val="auto"/>
        </w:rPr>
        <w:t>– our ability to integrate Vantage’s insurance and reinsurance business into our operations, and realize the financial and strategic benefits currently anticipated from such acquisition</w:t>
      </w:r>
    </w:p>
    <w:p>
      <w:pPr>
        <w:ind w:left="660" w:hanging="324"/>
        <w:spacing w:after="0" w:line="264" w:lineRule="auto"/>
        <w:rPr>
          <w:sz w:val="20"/>
          <w:szCs w:val="20"/>
          <w:color w:val="auto"/>
        </w:rPr>
      </w:pPr>
      <w:r>
        <w:rPr>
          <w:rFonts w:ascii="Arial" w:cs="Arial" w:eastAsia="Arial" w:hAnsi="Arial"/>
          <w:sz w:val="17"/>
          <w:szCs w:val="17"/>
          <w:color w:val="auto"/>
        </w:rPr>
        <w:t>– our ability to realize the anticipated benefits of recent transactions, including the May 2025 transactions with Pershing Square and the spinoff of Seaport Entertainment Group Inc. in 2024</w:t>
      </w:r>
    </w:p>
    <w:p>
      <w:pPr>
        <w:spacing w:after="0" w:line="200" w:lineRule="exact"/>
        <w:rPr>
          <w:sz w:val="20"/>
          <w:szCs w:val="20"/>
          <w:color w:val="auto"/>
        </w:rPr>
      </w:pPr>
    </w:p>
    <w:p>
      <w:pPr>
        <w:spacing w:after="0" w:line="356" w:lineRule="exact"/>
        <w:rPr>
          <w:sz w:val="20"/>
          <w:szCs w:val="20"/>
          <w:color w:val="auto"/>
        </w:rPr>
      </w:pPr>
    </w:p>
    <w:p>
      <w:pPr>
        <w:ind w:left="4960" w:hanging="446"/>
        <w:spacing w:after="0"/>
        <w:tabs>
          <w:tab w:leader="none" w:pos="496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ind w:left="20"/>
        <w:spacing w:after="0"/>
        <w:tabs>
          <w:tab w:leader="none" w:pos="980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24"/>
        <w:spacing w:after="0" w:line="255" w:lineRule="auto"/>
        <w:rPr>
          <w:sz w:val="20"/>
          <w:szCs w:val="20"/>
          <w:color w:val="auto"/>
        </w:rPr>
      </w:pPr>
      <w:r>
        <w:rPr>
          <w:rFonts w:ascii="Arial" w:cs="Arial" w:eastAsia="Arial" w:hAnsi="Arial"/>
          <w:sz w:val="17"/>
          <w:szCs w:val="17"/>
          <w:color w:val="231F20"/>
        </w:rPr>
        <w:t>– macroeconomic conditions such as volatility in capital markets, unstable economic and political conditions within the U.S. and foreign jurisdictions, geopolitical conflicts, and a prolonged recession in the national economy impacting the real estate and insurance and reinsurance businesses, including but not limited to inflation and changes in interest rates</w:t>
      </w:r>
    </w:p>
    <w:p>
      <w:pPr>
        <w:ind w:left="340"/>
        <w:spacing w:after="0"/>
        <w:rPr>
          <w:sz w:val="20"/>
          <w:szCs w:val="20"/>
          <w:color w:val="auto"/>
        </w:rPr>
      </w:pPr>
      <w:r>
        <w:rPr>
          <w:rFonts w:ascii="Arial" w:cs="Arial" w:eastAsia="Arial" w:hAnsi="Arial"/>
          <w:sz w:val="17"/>
          <w:szCs w:val="17"/>
          <w:color w:val="231F20"/>
        </w:rPr>
        <w:t>–   changes in trade policies, including tariffs, and related impacts on market conditions and business activity</w:t>
      </w:r>
    </w:p>
    <w:p>
      <w:pPr>
        <w:spacing w:after="0" w:line="7" w:lineRule="exact"/>
        <w:rPr>
          <w:sz w:val="20"/>
          <w:szCs w:val="20"/>
          <w:color w:val="auto"/>
        </w:rPr>
      </w:pPr>
    </w:p>
    <w:p>
      <w:pPr>
        <w:ind w:left="660" w:right="20" w:hanging="324"/>
        <w:spacing w:after="0" w:line="256" w:lineRule="auto"/>
        <w:rPr>
          <w:sz w:val="20"/>
          <w:szCs w:val="20"/>
          <w:color w:val="auto"/>
        </w:rPr>
      </w:pPr>
      <w:r>
        <w:rPr>
          <w:rFonts w:ascii="Arial" w:cs="Arial" w:eastAsia="Arial" w:hAnsi="Arial"/>
          <w:sz w:val="17"/>
          <w:szCs w:val="17"/>
          <w:color w:val="231F20"/>
        </w:rPr>
        <w:t>– our inability to obtain operating and development capital for our properties, including our inability to obtain or refinance debt capital from lenders and the capital markets</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231F20"/>
        </w:rPr>
        <w:t>our ability to compete effectively, including the potential impact of heightened competition for tenants and potential decreases in occupancy</w:t>
      </w:r>
      <w:r>
        <w:rPr>
          <w:rFonts w:ascii="Arial" w:cs="Arial" w:eastAsia="Arial" w:hAnsi="Arial"/>
          <w:sz w:val="17"/>
          <w:szCs w:val="17"/>
          <w:color w:val="auto"/>
        </w:rPr>
        <w:t xml:space="preserve"> </w:t>
      </w:r>
      <w:r>
        <w:rPr>
          <w:rFonts w:ascii="Arial" w:cs="Arial" w:eastAsia="Arial" w:hAnsi="Arial"/>
          <w:sz w:val="17"/>
          <w:szCs w:val="17"/>
          <w:color w:val="231F20"/>
        </w:rPr>
        <w:t>at our properties</w:t>
      </w:r>
    </w:p>
    <w:p>
      <w:pPr>
        <w:spacing w:after="0" w:line="1" w:lineRule="exact"/>
        <w:rPr>
          <w:sz w:val="20"/>
          <w:szCs w:val="20"/>
          <w:color w:val="auto"/>
        </w:rPr>
      </w:pPr>
    </w:p>
    <w:p>
      <w:pPr>
        <w:ind w:left="660" w:right="20" w:hanging="324"/>
        <w:spacing w:after="0" w:line="252" w:lineRule="auto"/>
        <w:rPr>
          <w:sz w:val="20"/>
          <w:szCs w:val="20"/>
          <w:color w:val="auto"/>
        </w:rPr>
      </w:pPr>
      <w:r>
        <w:rPr>
          <w:rFonts w:ascii="Arial" w:cs="Arial" w:eastAsia="Arial" w:hAnsi="Arial"/>
          <w:sz w:val="17"/>
          <w:szCs w:val="17"/>
          <w:color w:val="231F20"/>
        </w:rPr>
        <w:t>– extreme weather conditions, climate change, natural disasters, pandemics or other catastrophes, that may cause property damage or interrupt our real estate or insurance or reinsurance business</w:t>
      </w:r>
    </w:p>
    <w:p>
      <w:pPr>
        <w:ind w:left="340"/>
        <w:spacing w:after="0"/>
        <w:rPr>
          <w:sz w:val="20"/>
          <w:szCs w:val="20"/>
          <w:color w:val="auto"/>
        </w:rPr>
      </w:pPr>
      <w:r>
        <w:rPr>
          <w:rFonts w:ascii="Arial" w:cs="Arial" w:eastAsia="Arial" w:hAnsi="Arial"/>
          <w:sz w:val="17"/>
          <w:szCs w:val="17"/>
          <w:color w:val="231F20"/>
        </w:rPr>
        <w:t>–   losses that are not insured or exceed the applicable insurance limits as well as insufficient reserves for losses</w:t>
      </w:r>
    </w:p>
    <w:p>
      <w:pPr>
        <w:spacing w:after="0" w:line="14"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231F20"/>
        </w:rPr>
        <w:t>– increased construction costs exceeding our original estimates, delays or overruns, claims for construction defects, or other factors affecting our ability to develop, redevelop or construct our properties</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231F20"/>
        </w:rPr>
        <w:t>– regulation of the portions of our business that are dedicated to the formation and sale of condominiums or insurance and reinsurance, as applicable, including obtaining government permits necessary for the development of our properties</w:t>
      </w:r>
    </w:p>
    <w:p>
      <w:pPr>
        <w:spacing w:after="0" w:line="1"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231F20"/>
        </w:rPr>
        <w:t>– fluctuations in regional and local economies, the impact of changes in interest rates on residential housing and condominium markets, local real estate conditions, tenant rental rates, and competition from competing retail properties and the internet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insufficient reserves for insurance claims and claim expenses due to the impact of social inflation or other factors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greater-than-expected loss ratios on business written by Vantage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Vantage’s ability to accurately assess underwriting risk and establish adequate premium rates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decreases in pricing for property and casualty reinsurance and insurance</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Vantage’s ability to purchase adequate reinsurance</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Vantage’s ability to maintain financial strength ratings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material variation of analytical models used in decision making from actual results</w:t>
      </w:r>
    </w:p>
    <w:p>
      <w:pPr>
        <w:spacing w:after="0" w:line="7"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231F20"/>
        </w:rPr>
        <w:t>– Vantage’s ability to comply with insurance and tax laws and regulations and other regulatory challenges, including to obtain licenses or admittance in additional jurisdictions to develop its business</w:t>
      </w:r>
    </w:p>
    <w:p>
      <w:pPr>
        <w:ind w:left="660" w:right="20" w:hanging="324"/>
        <w:spacing w:after="0" w:line="253" w:lineRule="auto"/>
        <w:rPr>
          <w:sz w:val="20"/>
          <w:szCs w:val="20"/>
          <w:color w:val="auto"/>
        </w:rPr>
      </w:pPr>
      <w:r>
        <w:rPr>
          <w:rFonts w:ascii="Arial" w:cs="Arial" w:eastAsia="Arial" w:hAnsi="Arial"/>
          <w:sz w:val="17"/>
          <w:szCs w:val="17"/>
          <w:color w:val="231F20"/>
        </w:rPr>
        <w:t>– inherent risks related to disruption of information technology networks and related systems, including cyber security attacks on us or our vendors</w:t>
      </w:r>
    </w:p>
    <w:p>
      <w:pPr>
        <w:ind w:left="660" w:hanging="324"/>
        <w:spacing w:after="0" w:line="24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231F20"/>
        </w:rPr>
        <w:t>our indebtedness, including our</w:t>
      </w:r>
      <w:r>
        <w:rPr>
          <w:rFonts w:ascii="Arial" w:cs="Arial" w:eastAsia="Arial" w:hAnsi="Arial"/>
          <w:sz w:val="17"/>
          <w:szCs w:val="17"/>
          <w:color w:val="auto"/>
        </w:rPr>
        <w:t xml:space="preserve"> $650,000,000 4.125% </w:t>
      </w:r>
      <w:r>
        <w:rPr>
          <w:rFonts w:ascii="Arial" w:cs="Arial" w:eastAsia="Arial" w:hAnsi="Arial"/>
          <w:sz w:val="17"/>
          <w:szCs w:val="17"/>
          <w:color w:val="231F20"/>
        </w:rPr>
        <w:t>senior unsecured notes due</w:t>
      </w:r>
      <w:r>
        <w:rPr>
          <w:rFonts w:ascii="Arial" w:cs="Arial" w:eastAsia="Arial" w:hAnsi="Arial"/>
          <w:sz w:val="17"/>
          <w:szCs w:val="17"/>
          <w:color w:val="auto"/>
        </w:rPr>
        <w:t xml:space="preserve"> 2029, $650,000,000 4.375% </w:t>
      </w:r>
      <w:r>
        <w:rPr>
          <w:rFonts w:ascii="Arial" w:cs="Arial" w:eastAsia="Arial" w:hAnsi="Arial"/>
          <w:sz w:val="17"/>
          <w:szCs w:val="17"/>
          <w:color w:val="231F20"/>
        </w:rPr>
        <w:t>senior unsecured notes</w:t>
      </w:r>
      <w:r>
        <w:rPr>
          <w:rFonts w:ascii="Arial" w:cs="Arial" w:eastAsia="Arial" w:hAnsi="Arial"/>
          <w:sz w:val="17"/>
          <w:szCs w:val="17"/>
          <w:color w:val="auto"/>
        </w:rPr>
        <w:t xml:space="preserve"> </w:t>
      </w:r>
      <w:r>
        <w:rPr>
          <w:rFonts w:ascii="Arial" w:cs="Arial" w:eastAsia="Arial" w:hAnsi="Arial"/>
          <w:sz w:val="17"/>
          <w:szCs w:val="17"/>
          <w:color w:val="231F20"/>
        </w:rPr>
        <w:t xml:space="preserve">due </w:t>
      </w:r>
      <w:r>
        <w:rPr>
          <w:rFonts w:ascii="Arial" w:cs="Arial" w:eastAsia="Arial" w:hAnsi="Arial"/>
          <w:sz w:val="17"/>
          <w:szCs w:val="17"/>
          <w:color w:val="000000"/>
        </w:rPr>
        <w:t>2031</w:t>
      </w:r>
      <w:r>
        <w:rPr>
          <w:rFonts w:ascii="Arial" w:cs="Arial" w:eastAsia="Arial" w:hAnsi="Arial"/>
          <w:sz w:val="17"/>
          <w:szCs w:val="17"/>
          <w:color w:val="231F20"/>
        </w:rPr>
        <w:t xml:space="preserve">, </w:t>
      </w:r>
      <w:r>
        <w:rPr>
          <w:rFonts w:ascii="Arial" w:cs="Arial" w:eastAsia="Arial" w:hAnsi="Arial"/>
          <w:sz w:val="17"/>
          <w:szCs w:val="17"/>
          <w:color w:val="000000"/>
        </w:rPr>
        <w:t>$500,000,000 5.875% senior unsecured notes due 2032, and $500,000,000 6.125% senior unsecured notes due 2034,</w:t>
      </w:r>
      <w:r>
        <w:rPr>
          <w:rFonts w:ascii="Arial" w:cs="Arial" w:eastAsia="Arial" w:hAnsi="Arial"/>
          <w:sz w:val="17"/>
          <w:szCs w:val="17"/>
          <w:color w:val="231F20"/>
        </w:rPr>
        <w:t xml:space="preserve"> contain restrictions that may limit our ability to operate our business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our directors’ involvement or interests in other businesses, including real estate activities and investments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   our dependence on the operations and funds of our subsidiaries, including The Howard Hughes Corporation and Vantage; and</w:t>
      </w:r>
    </w:p>
    <w:p>
      <w:pPr>
        <w:spacing w:after="0" w:line="14"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231F20"/>
        </w:rPr>
        <w:t>other risks and uncertainties described herein, as well as those risks and uncertainties discussed from time to time in our other reports and</w:t>
      </w:r>
      <w:r>
        <w:rPr>
          <w:rFonts w:ascii="Arial" w:cs="Arial" w:eastAsia="Arial" w:hAnsi="Arial"/>
          <w:sz w:val="17"/>
          <w:szCs w:val="17"/>
          <w:color w:val="auto"/>
        </w:rPr>
        <w:t xml:space="preserve"> </w:t>
      </w:r>
      <w:r>
        <w:rPr>
          <w:rFonts w:ascii="Arial" w:cs="Arial" w:eastAsia="Arial" w:hAnsi="Arial"/>
          <w:sz w:val="17"/>
          <w:szCs w:val="17"/>
          <w:color w:val="231F20"/>
        </w:rPr>
        <w:t xml:space="preserve">other public filings with the SEC, including the Company’s Annual Report on Form 10-K for the year ended </w:t>
      </w:r>
      <w:r>
        <w:rPr>
          <w:rFonts w:ascii="Arial" w:cs="Arial" w:eastAsia="Arial" w:hAnsi="Arial"/>
          <w:sz w:val="17"/>
          <w:szCs w:val="17"/>
          <w:color w:val="000000"/>
        </w:rPr>
        <w:t>December 31, 2025 and the</w:t>
      </w:r>
      <w:r>
        <w:rPr>
          <w:rFonts w:ascii="Arial" w:cs="Arial" w:eastAsia="Arial" w:hAnsi="Arial"/>
          <w:sz w:val="17"/>
          <w:szCs w:val="17"/>
          <w:color w:val="231F20"/>
        </w:rPr>
        <w:t xml:space="preserve"> </w:t>
      </w:r>
      <w:r>
        <w:rPr>
          <w:rFonts w:ascii="Arial" w:cs="Arial" w:eastAsia="Arial" w:hAnsi="Arial"/>
          <w:sz w:val="17"/>
          <w:szCs w:val="17"/>
          <w:color w:val="000000"/>
        </w:rPr>
        <w:t>Company’s Quarterly Report on Form 10-Q for the period ended June 30, 2026.</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231F20"/>
        </w:rPr>
        <w:t>The above list of risks and uncertainties is only a summary of some of the most important factors and is not intended to be exhaustive. Any factor could, by itself, or together with one or more other factors, adversely affect our business, results of operations, plans, objectives, future performance, or financial condition. Other factors not described in this Quarterly Report also could cause results to differ from our expectations. Given these uncertainties, we caution you not to place undue reliance on these forward-looking statements. We undertake no obligation to update or revise any of our forward-looking statements for events or circumstances that arise after the statement is made, except as otherwise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35"/>
        </w:trPr>
        <w:tc>
          <w:tcPr>
            <w:tcW w:w="688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40" w:type="dxa"/>
            <w:vAlign w:val="bottom"/>
          </w:tcPr>
          <w:p>
            <w:pPr>
              <w:ind w:left="284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880" w:type="dxa"/>
            <w:vAlign w:val="bottom"/>
          </w:tcPr>
          <w:p>
            <w:pPr>
              <w:spacing w:after="0"/>
              <w:rPr>
                <w:sz w:val="20"/>
                <w:szCs w:val="20"/>
                <w:color w:val="auto"/>
              </w:rPr>
            </w:pPr>
            <w:r>
              <w:rPr>
                <w:rFonts w:ascii="Arial" w:cs="Arial" w:eastAsia="Arial" w:hAnsi="Arial"/>
                <w:sz w:val="18"/>
                <w:szCs w:val="18"/>
                <w:b w:val="1"/>
                <w:bCs w:val="1"/>
                <w:color w:val="B6B6B6"/>
              </w:rPr>
              <w:t>OVERVIEW</w:t>
            </w:r>
          </w:p>
        </w:tc>
        <w:tc>
          <w:tcPr>
            <w:tcW w:w="4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Overview </w:t>
      </w:r>
      <w:r>
        <w:rPr>
          <w:rFonts w:ascii="Arial" w:cs="Arial" w:eastAsia="Arial" w:hAnsi="Arial"/>
          <w:sz w:val="17"/>
          <w:szCs w:val="17"/>
          <w:color w:val="000000"/>
        </w:rPr>
        <w:t>Howard Hughes Holdings Inc. (HHH or the Company) is a diversified holding company focused on growing long-term shareholder value.</w:t>
      </w:r>
      <w:r>
        <w:rPr>
          <w:rFonts w:ascii="Arial" w:cs="Arial" w:eastAsia="Arial" w:hAnsi="Arial"/>
          <w:sz w:val="17"/>
          <w:szCs w:val="17"/>
          <w:b w:val="1"/>
          <w:bCs w:val="1"/>
          <w:color w:val="00497F"/>
        </w:rPr>
        <w:t xml:space="preserve"> </w:t>
      </w:r>
      <w:r>
        <w:rPr>
          <w:rFonts w:ascii="Arial" w:cs="Arial" w:eastAsia="Arial" w:hAnsi="Arial"/>
          <w:sz w:val="17"/>
          <w:szCs w:val="17"/>
          <w:color w:val="000000"/>
        </w:rPr>
        <w:t>Its principal subsidiaries include (1) a specialty insurance, reinsurance, and partnership capital platform, which provides property, casualty, and specialty insurance and reinsurance, and (2) a real estate development subsidiary that operates a large-scale, mixed-use real estate platform focused on the development of master planned communities (MPCs), the investment in strategic real estate development opportunities, and the ownership and operation of income-producing properties.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References to HHH, the Company, we, us, and our refer to Howard Hughes Holdings Inc. and its consolidated subsidiaries, unless otherwise specifically stated. References to The Howard Hughes Corporation (HHC) or Howard Hughes Communities refer to The Howard Hughes Corporation and its consolidated real estate development subsidiaries, unless otherwise specifically stated. References to Vantage refer to Howard Hughes Insurance Holdings, LLC and its recently acquired consolidated insurance and reinsurance subsidiaries, unless otherwise specifically stated.</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00497F"/>
        </w:rPr>
        <w:t xml:space="preserve">Vantage Acquisition </w:t>
      </w:r>
      <w:r>
        <w:rPr>
          <w:rFonts w:ascii="Arial" w:cs="Arial" w:eastAsia="Arial" w:hAnsi="Arial"/>
          <w:sz w:val="17"/>
          <w:szCs w:val="17"/>
          <w:color w:val="000000"/>
        </w:rPr>
        <w:t>On June 4, 2026, Howard Hughes Insurance Holdings, LLC, a wholly owned subsidiary of the Company, completed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acquisition of 100% of the outstanding shares of capital stock of Vantage Group Holdings Ltd., a privately held specialty insurance and reinsurance company, for cash consideration of approximately $2.1 billion (Vantage Acquisition). Also on June 4, 2026, to support the funding of the Vantage Acquisition, the Company issued $1.0 billion of its Series A Preferred Stock to Pershing Square Holdings, Ltd. See Note 2 - </w:t>
      </w:r>
      <w:r>
        <w:rPr>
          <w:rFonts w:ascii="Arial" w:cs="Arial" w:eastAsia="Arial" w:hAnsi="Arial"/>
          <w:sz w:val="17"/>
          <w:szCs w:val="17"/>
          <w:i w:val="1"/>
          <w:iCs w:val="1"/>
          <w:color w:val="000000"/>
        </w:rPr>
        <w:t>Vantage Acquisition</w:t>
      </w:r>
      <w:r>
        <w:rPr>
          <w:rFonts w:ascii="Arial" w:cs="Arial" w:eastAsia="Arial" w:hAnsi="Arial"/>
          <w:sz w:val="17"/>
          <w:szCs w:val="17"/>
          <w:color w:val="000000"/>
        </w:rPr>
        <w:t xml:space="preserve"> and Note 3 - </w:t>
      </w:r>
      <w:r>
        <w:rPr>
          <w:rFonts w:ascii="Arial" w:cs="Arial" w:eastAsia="Arial" w:hAnsi="Arial"/>
          <w:sz w:val="17"/>
          <w:szCs w:val="17"/>
          <w:i w:val="1"/>
          <w:iCs w:val="1"/>
          <w:color w:val="000000"/>
        </w:rPr>
        <w:t>Pershing Square</w:t>
      </w:r>
      <w:r>
        <w:rPr>
          <w:rFonts w:ascii="Arial" w:cs="Arial" w:eastAsia="Arial" w:hAnsi="Arial"/>
          <w:sz w:val="17"/>
          <w:szCs w:val="17"/>
          <w:color w:val="000000"/>
        </w:rPr>
        <w:t xml:space="preserve"> in the Notes to Condensed Consolidated Financial Statements under Item 1 of this Quarterly Report for additional information. The accompanying Condensed Consolidated Financial Statements reflect the assets acquired, liabilities assumed, and results of operations of Vantage beginning on the acquisition date. Accordingly, the Company's results for the three and nine months ended September 30, 2026 include Vantage's results only for the period subsequent to the acquisition date.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Vantage operates in the United States (U.S.) and Bermuda. Vantage writes insurance business in the U.S. on both an admitted and excess and surplus basis, and writes specialty insurance and reinsurance business in Bermuda on a worldwide basis. Insurance product lines offered by its U.S. insurance subsidiaries include casualty, property, professional liability, financial lines, healthcare, construction, and political risk and credit. Insurance products offered by its Bermuda subsidiary include financial and professional lines and healthcare and excess casualty. Vantage’s reinsurance operations include specialty, property and casualty, financial lines, and property catastrophe. Vantage also earns net investment income and net fee income. The acquisition diversifies our portfolio and is expected to provide recurring premium and fee-based revenues and investment income over time.</w:t>
      </w:r>
    </w:p>
    <w:p>
      <w:pPr>
        <w:spacing w:after="0" w:line="200" w:lineRule="exact"/>
        <w:rPr>
          <w:sz w:val="20"/>
          <w:szCs w:val="20"/>
          <w:color w:val="auto"/>
        </w:rPr>
      </w:pPr>
    </w:p>
    <w:p>
      <w:pPr>
        <w:spacing w:after="0" w:line="363" w:lineRule="exact"/>
        <w:rPr>
          <w:sz w:val="20"/>
          <w:szCs w:val="20"/>
          <w:color w:val="auto"/>
        </w:rPr>
      </w:pPr>
    </w:p>
    <w:p>
      <w:pPr>
        <w:ind w:left="4960" w:hanging="446"/>
        <w:spacing w:after="0"/>
        <w:tabs>
          <w:tab w:leader="none" w:pos="49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35"/>
        </w:trPr>
        <w:tc>
          <w:tcPr>
            <w:tcW w:w="688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40" w:type="dxa"/>
            <w:vAlign w:val="bottom"/>
          </w:tcPr>
          <w:p>
            <w:pPr>
              <w:ind w:left="284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880" w:type="dxa"/>
            <w:vAlign w:val="bottom"/>
          </w:tcPr>
          <w:p>
            <w:pPr>
              <w:spacing w:after="0"/>
              <w:rPr>
                <w:sz w:val="20"/>
                <w:szCs w:val="20"/>
                <w:color w:val="auto"/>
              </w:rPr>
            </w:pPr>
            <w:r>
              <w:rPr>
                <w:rFonts w:ascii="Arial" w:cs="Arial" w:eastAsia="Arial" w:hAnsi="Arial"/>
                <w:sz w:val="18"/>
                <w:szCs w:val="18"/>
                <w:b w:val="1"/>
                <w:bCs w:val="1"/>
                <w:color w:val="B6B6B6"/>
              </w:rPr>
              <w:t>OVERVIEW</w:t>
            </w:r>
          </w:p>
        </w:tc>
        <w:tc>
          <w:tcPr>
            <w:tcW w:w="4240" w:type="dxa"/>
            <w:vAlign w:val="bottom"/>
          </w:tcPr>
          <w:p>
            <w:pPr>
              <w:spacing w:after="0"/>
              <w:rPr>
                <w:sz w:val="21"/>
                <w:szCs w:val="21"/>
                <w:color w:val="auto"/>
              </w:rPr>
            </w:pPr>
          </w:p>
        </w:tc>
      </w:tr>
    </w:tbl>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Holding Company Strategy </w:t>
      </w:r>
      <w:r>
        <w:rPr>
          <w:rFonts w:ascii="Arial" w:cs="Arial" w:eastAsia="Arial" w:hAnsi="Arial"/>
          <w:sz w:val="17"/>
          <w:szCs w:val="17"/>
          <w:color w:val="000000"/>
        </w:rPr>
        <w:t>In September 2026, the Company announced its intention to transition HHC from its current real estate model under</w:t>
      </w:r>
      <w:r>
        <w:rPr>
          <w:rFonts w:ascii="Arial" w:cs="Arial" w:eastAsia="Arial" w:hAnsi="Arial"/>
          <w:sz w:val="17"/>
          <w:szCs w:val="17"/>
          <w:b w:val="1"/>
          <w:bCs w:val="1"/>
          <w:color w:val="00497F"/>
        </w:rPr>
        <w:t xml:space="preserve"> </w:t>
      </w:r>
      <w:r>
        <w:rPr>
          <w:rFonts w:ascii="Arial" w:cs="Arial" w:eastAsia="Arial" w:hAnsi="Arial"/>
          <w:sz w:val="17"/>
          <w:szCs w:val="17"/>
          <w:color w:val="000000"/>
        </w:rPr>
        <w:t>which it owns substantially all of its assets and primarily funds development with its own capital to an asset-light real estate development and asset management platform. Under this strategy, the Company intends to monetize select real estate assets through asset sales and joint ventures, which may include the sale of interests in certain operating assets and the formation of joint ventures for portions of its residential MPC land holdings. The Company expects HHC to retain operational control of these assets and to continue to serve as developer, manager, and operator under long-term agreements. The Company also intends to raise third-party capital to fund future development, with HHC earning development, asset management, and performance fees, including as general partner of new real estate funds or other third-party capital vehicles. The Company expects to maintain its existing approach for its condominium developments, which are primarily funded through construction financing and buyer deposits.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timing, structure, and terms of any such transactions, and the amount of proceeds realized, will depend on market conditions, counterparty interest, and other factors. There can be no assurance that any such transactions will be completed on a timely basis or at all. The ability to complete such transactions, and the net proceeds realized, may also be affected by the terms of HHC's indebtedness, including the indentures governing its senior unsecured notes and the agreements governing its secured mortgages, which contain covenants and other provisions that may restrict the sale or transfer of interests in encumbered assets, require lender consent, or require the repayment of related debt, including any applicable prepayment penalties, yield maintenance premiums, or defeasance costs. In addition, a reduction in the cash flows retained by HHC following any such transactions could affect its ability to comply with the financial and other covenants under its debt agreements.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Segments </w:t>
      </w:r>
      <w:r>
        <w:rPr>
          <w:rFonts w:ascii="Arial" w:cs="Arial" w:eastAsia="Arial" w:hAnsi="Arial"/>
          <w:sz w:val="17"/>
          <w:szCs w:val="17"/>
          <w:color w:val="000000"/>
        </w:rPr>
        <w:t>Due to the recent timing of the Vantage Acquisition, the Company is continuing to evaluate the acquired operations and overall strategy,</w:t>
      </w:r>
      <w:r>
        <w:rPr>
          <w:rFonts w:ascii="Arial" w:cs="Arial" w:eastAsia="Arial" w:hAnsi="Arial"/>
          <w:sz w:val="17"/>
          <w:szCs w:val="17"/>
          <w:b w:val="1"/>
          <w:bCs w:val="1"/>
          <w:color w:val="00497F"/>
        </w:rPr>
        <w:t xml:space="preserve"> </w:t>
      </w:r>
      <w:r>
        <w:rPr>
          <w:rFonts w:ascii="Arial" w:cs="Arial" w:eastAsia="Arial" w:hAnsi="Arial"/>
          <w:sz w:val="17"/>
          <w:szCs w:val="17"/>
          <w:color w:val="000000"/>
        </w:rPr>
        <w:t>including the manner in which the Chief Operating Decision Maker reviews financial information and allocates resources. Accordingly, the results of the acquired business have not yet been separately reflected within the Company’s segment reporting disclosures as of September 30, 2026. The Company expects to finalize its segment reporting assessment as integration activities progress. We have separately disclosed the impact of Vantage on consolidated results below to enable investors to understand the contribution of the acquisition to the periods presented. As such, we continue to operate through three business segments: Operating Assets, MPCs, and Strategic Developments.</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00497F"/>
        </w:rPr>
        <w:t xml:space="preserve">Non-GAAP Measures </w:t>
      </w:r>
      <w:r>
        <w:rPr>
          <w:rFonts w:ascii="Arial" w:cs="Arial" w:eastAsia="Arial" w:hAnsi="Arial"/>
          <w:sz w:val="17"/>
          <w:szCs w:val="17"/>
          <w:color w:val="000000"/>
        </w:rPr>
        <w:t>In addition to the required presentations using GAAP, we use certain non-GAAP performance measures, such as NOI, Net</w:t>
      </w:r>
      <w:r>
        <w:rPr>
          <w:rFonts w:ascii="Arial" w:cs="Arial" w:eastAsia="Arial" w:hAnsi="Arial"/>
          <w:sz w:val="17"/>
          <w:szCs w:val="17"/>
          <w:b w:val="1"/>
          <w:bCs w:val="1"/>
          <w:color w:val="00497F"/>
        </w:rPr>
        <w:t xml:space="preserve"> </w:t>
      </w:r>
      <w:r>
        <w:rPr>
          <w:rFonts w:ascii="Arial" w:cs="Arial" w:eastAsia="Arial" w:hAnsi="Arial"/>
          <w:sz w:val="17"/>
          <w:szCs w:val="17"/>
          <w:color w:val="000000"/>
        </w:rPr>
        <w:t>Debt, and Accident year combined ratio. See the (1) Operating Assets, (2) Corporate Income, Expenses, and Other Items, and (3) Short- and Long-Term Liquidity sections below for the reconciliations of these non-GAAP to GAAP financial measures and statements indicating why management believes these non-GAAP financial measures provide useful information for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35"/>
        </w:trPr>
        <w:tc>
          <w:tcPr>
            <w:tcW w:w="688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40" w:type="dxa"/>
            <w:vAlign w:val="bottom"/>
          </w:tcPr>
          <w:p>
            <w:pPr>
              <w:ind w:left="284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880" w:type="dxa"/>
            <w:vAlign w:val="bottom"/>
          </w:tcPr>
          <w:p>
            <w:pPr>
              <w:spacing w:after="0"/>
              <w:rPr>
                <w:sz w:val="20"/>
                <w:szCs w:val="20"/>
                <w:color w:val="auto"/>
              </w:rPr>
            </w:pPr>
            <w:r>
              <w:rPr>
                <w:rFonts w:ascii="Arial" w:cs="Arial" w:eastAsia="Arial" w:hAnsi="Arial"/>
                <w:sz w:val="18"/>
                <w:szCs w:val="18"/>
                <w:b w:val="1"/>
                <w:bCs w:val="1"/>
                <w:color w:val="B6B6B6"/>
              </w:rPr>
              <w:t>OVERVIEW</w:t>
            </w:r>
          </w:p>
        </w:tc>
        <w:tc>
          <w:tcPr>
            <w:tcW w:w="4240" w:type="dxa"/>
            <w:vAlign w:val="bottom"/>
          </w:tcPr>
          <w:p>
            <w:pPr>
              <w:spacing w:after="0"/>
              <w:rPr>
                <w:sz w:val="21"/>
                <w:szCs w:val="21"/>
                <w:color w:val="auto"/>
              </w:rPr>
            </w:pPr>
          </w:p>
        </w:tc>
      </w:tr>
    </w:tbl>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Third Quarter 2026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Comparison of the three months ended September 30, 2026, to the three months ended September 30, 2025</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Company</w:t>
      </w:r>
    </w:p>
    <w:p>
      <w:pPr>
        <w:spacing w:after="0" w:line="23" w:lineRule="exact"/>
        <w:rPr>
          <w:sz w:val="20"/>
          <w:szCs w:val="20"/>
          <w:color w:val="auto"/>
        </w:rPr>
      </w:pPr>
    </w:p>
    <w:p>
      <w:pPr>
        <w:ind w:left="660" w:hanging="324"/>
        <w:spacing w:after="0" w:line="236" w:lineRule="auto"/>
        <w:rPr>
          <w:sz w:val="20"/>
          <w:szCs w:val="20"/>
          <w:color w:val="auto"/>
        </w:rPr>
      </w:pPr>
      <w:r>
        <w:rPr>
          <w:rFonts w:ascii="Arial" w:cs="Arial" w:eastAsia="Arial" w:hAnsi="Arial"/>
          <w:sz w:val="17"/>
          <w:szCs w:val="17"/>
          <w:color w:val="auto"/>
        </w:rPr>
        <w:t>– Net income attributable to common stockholders decreased to a loss of $1.1 million in the current quarter, compared to income of $119.5 million in the prior-year period. This decrease was primarily due to an increase in loss on sale of MUD receivables, a decrease in residential MPC land sales closed in Summerlin and Bridgeland, and a remeasurement loss related to the consolidation of the Floreo joint venture. These decreases were partially offset by net income attributable to Vantage.</w:t>
      </w:r>
    </w:p>
    <w:p>
      <w:pPr>
        <w:ind w:left="660" w:hanging="324"/>
        <w:spacing w:after="0" w:line="256" w:lineRule="auto"/>
        <w:rPr>
          <w:sz w:val="20"/>
          <w:szCs w:val="20"/>
          <w:color w:val="auto"/>
        </w:rPr>
      </w:pPr>
      <w:r>
        <w:rPr>
          <w:rFonts w:ascii="Arial" w:cs="Arial" w:eastAsia="Arial" w:hAnsi="Arial"/>
          <w:sz w:val="17"/>
          <w:szCs w:val="17"/>
          <w:color w:val="auto"/>
        </w:rPr>
        <w:t>– We continue to maintain a strong liquidity position with $2.9 billion of cash and cash equivalents, including cash held at Vantage, $515.0 million of undrawn capacity on our Secured Bridgeland Note, $985.8 million of undrawn lender commitments available to be drawn for property development, subject to certain restrictions, and limited near-term debt maturities, all as of September 30, 2026.</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Operating Assets NOI totaled $71.0 million in the current quarter, a $5.5 million increase compared to $65.6 million in the prior-year period.</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Operating Assets results reflect increases across all property types driven by strong leasing activity.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MPC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MPC EBT totaled $89.5 million in the current quarter, a $115.5 million decrease compared to $205.0 million in the prior-year period.</w:t>
      </w:r>
    </w:p>
    <w:p>
      <w:pPr>
        <w:spacing w:after="0" w:line="13" w:lineRule="exact"/>
        <w:rPr>
          <w:sz w:val="20"/>
          <w:szCs w:val="20"/>
          <w:color w:val="auto"/>
        </w:rPr>
      </w:pPr>
    </w:p>
    <w:p>
      <w:pPr>
        <w:ind w:left="660" w:right="20" w:hanging="324"/>
        <w:spacing w:after="0" w:line="257" w:lineRule="auto"/>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The decrease in EBT was primarily due to a decrease in residential MPC land sales closed in Summerlin and Bridgeland and a</w:t>
      </w:r>
      <w:r>
        <w:rPr>
          <w:rFonts w:ascii="Arial" w:cs="Arial" w:eastAsia="Arial" w:hAnsi="Arial"/>
          <w:sz w:val="17"/>
          <w:szCs w:val="17"/>
          <w:i w:val="1"/>
          <w:iCs w:val="1"/>
          <w:color w:val="auto"/>
        </w:rPr>
        <w:t xml:space="preserve"> </w:t>
      </w:r>
      <w:r>
        <w:rPr>
          <w:rFonts w:ascii="Arial" w:cs="Arial" w:eastAsia="Arial" w:hAnsi="Arial"/>
          <w:sz w:val="17"/>
          <w:szCs w:val="17"/>
          <w:color w:val="auto"/>
        </w:rPr>
        <w:t>remeasurement loss related to the consolidation of the Floreo joint venture.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Developments</w:t>
      </w:r>
    </w:p>
    <w:p>
      <w:pPr>
        <w:spacing w:after="0" w:line="23"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Strategic Developments EBT totaled $17.8 million in the current quarter, a $6.5 million increase compared to $11.3 million in the prior-year period.</w:t>
      </w:r>
    </w:p>
    <w:p>
      <w:pPr>
        <w:spacing w:after="0" w:line="1" w:lineRule="exact"/>
        <w:rPr>
          <w:sz w:val="20"/>
          <w:szCs w:val="20"/>
          <w:color w:val="auto"/>
        </w:rPr>
      </w:pPr>
    </w:p>
    <w:p>
      <w:pPr>
        <w:ind w:left="660" w:hanging="324"/>
        <w:spacing w:after="0" w:line="281" w:lineRule="auto"/>
        <w:rPr>
          <w:sz w:val="20"/>
          <w:szCs w:val="20"/>
          <w:color w:val="auto"/>
        </w:rPr>
      </w:pPr>
      <w:r>
        <w:rPr>
          <w:rFonts w:ascii="Arial" w:cs="Arial" w:eastAsia="Arial" w:hAnsi="Arial"/>
          <w:sz w:val="17"/>
          <w:szCs w:val="17"/>
          <w:color w:val="auto"/>
        </w:rPr>
        <w:t>– The increase in EBT was primarily due to an increase in equity earnings from unconsolidated ventures related to the Company’s share of a gain on the sale of a land parcel at our West End Alexandria joint venture in the current period.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Income, Expenses, and Other Items</w:t>
      </w:r>
    </w:p>
    <w:p>
      <w:pPr>
        <w:spacing w:after="0" w:line="23"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Net income includes pre-tax net income of $76.6 million related to the post-acquisition activity of Vantage. Refer to the Vantage Post-Acquisition Results section below for further discussion of this activity.</w:t>
      </w:r>
    </w:p>
    <w:p>
      <w:pPr>
        <w:spacing w:after="0" w:line="1" w:lineRule="exact"/>
        <w:rPr>
          <w:sz w:val="20"/>
          <w:szCs w:val="20"/>
          <w:color w:val="auto"/>
        </w:rPr>
      </w:pPr>
    </w:p>
    <w:p>
      <w:pPr>
        <w:ind w:left="660" w:hanging="324"/>
        <w:spacing w:after="0" w:line="259" w:lineRule="auto"/>
        <w:rPr>
          <w:sz w:val="20"/>
          <w:szCs w:val="20"/>
          <w:color w:val="auto"/>
        </w:rPr>
      </w:pPr>
      <w:r>
        <w:rPr>
          <w:rFonts w:ascii="Arial" w:cs="Arial" w:eastAsia="Arial" w:hAnsi="Arial"/>
          <w:sz w:val="17"/>
          <w:szCs w:val="17"/>
          <w:color w:val="auto"/>
        </w:rPr>
        <w:t>– Corporate income, expenses, and other items, excluding the Vantage pre-tax net income, included an increase in net expenses of $85.4 million primarily due to an increase in loss on sale of MUD receivables, lower interest income generated on lower Corporate cash balances following the Vantage Acquisition, and higher interest expense as a result of a higher balance and higher interest rates on the February 2026 Senior Notes. These increases in expenses were partially offset by a reduction in income tax expense.</w:t>
      </w:r>
    </w:p>
    <w:p>
      <w:pPr>
        <w:spacing w:after="0" w:line="200" w:lineRule="exact"/>
        <w:rPr>
          <w:sz w:val="20"/>
          <w:szCs w:val="20"/>
          <w:color w:val="auto"/>
        </w:rPr>
      </w:pPr>
    </w:p>
    <w:p>
      <w:pPr>
        <w:spacing w:after="0" w:line="361" w:lineRule="exact"/>
        <w:rPr>
          <w:sz w:val="20"/>
          <w:szCs w:val="20"/>
          <w:color w:val="auto"/>
        </w:rPr>
      </w:pPr>
    </w:p>
    <w:p>
      <w:pPr>
        <w:ind w:left="4960" w:hanging="446"/>
        <w:spacing w:after="0"/>
        <w:tabs>
          <w:tab w:leader="none" w:pos="4960"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Comparison of the nine months ended September 30, 2026, to the nine months ended September 30, 2025</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income attributable to common stockholders increased $47.6 million to $165.5 million in the nine months ended September 30, 2026, compared to $117.9 million in the prior-year period.</w:t>
      </w:r>
    </w:p>
    <w:p>
      <w:pPr>
        <w:ind w:left="660" w:right="20" w:hanging="324"/>
        <w:spacing w:after="0" w:line="253" w:lineRule="auto"/>
        <w:rPr>
          <w:sz w:val="20"/>
          <w:szCs w:val="20"/>
          <w:color w:val="auto"/>
        </w:rPr>
      </w:pPr>
      <w:r>
        <w:rPr>
          <w:rFonts w:ascii="Arial" w:cs="Arial" w:eastAsia="Arial" w:hAnsi="Arial"/>
          <w:sz w:val="17"/>
          <w:szCs w:val="17"/>
          <w:color w:val="auto"/>
        </w:rPr>
        <w:t>– Strategic Developments EBT increased $126.6 million, primarily due to the closing of condominium units at The Park Ward Village in the current period.</w:t>
      </w:r>
    </w:p>
    <w:p>
      <w:pPr>
        <w:ind w:left="660" w:right="20" w:hanging="324"/>
        <w:spacing w:after="0" w:line="248" w:lineRule="auto"/>
        <w:rPr>
          <w:sz w:val="20"/>
          <w:szCs w:val="20"/>
          <w:color w:val="auto"/>
        </w:rPr>
      </w:pPr>
      <w:r>
        <w:rPr>
          <w:rFonts w:ascii="Arial" w:cs="Arial" w:eastAsia="Arial" w:hAnsi="Arial"/>
          <w:sz w:val="17"/>
          <w:szCs w:val="17"/>
          <w:color w:val="auto"/>
        </w:rPr>
        <w:t>– Operating Assets EBT increased $31.7 million primarily due to an increase in gain on sale of real estate and an increase in rental revenues, net of operating costs due to increased leasing activity across our portfolio, partially offset by an increase in depreciation and amortization.</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Net income includes pre-tax net income of $55.8 million related to the post-acquisition activity of Vantage. Refer to the Vantage Post-Acquisition Results section below for further discussion of this activity.</w:t>
      </w:r>
    </w:p>
    <w:p>
      <w:pPr>
        <w:ind w:left="660" w:hanging="324"/>
        <w:spacing w:after="0" w:line="250" w:lineRule="auto"/>
        <w:rPr>
          <w:sz w:val="20"/>
          <w:szCs w:val="20"/>
          <w:color w:val="auto"/>
        </w:rPr>
      </w:pPr>
      <w:r>
        <w:rPr>
          <w:rFonts w:ascii="Arial" w:cs="Arial" w:eastAsia="Arial" w:hAnsi="Arial"/>
          <w:sz w:val="17"/>
          <w:szCs w:val="17"/>
          <w:color w:val="auto"/>
        </w:rPr>
        <w:t>– MPC EBT decreased $62.1 million, primarily due to a decrease in residential MPC land sales closed and lower builder price participation in Summerlin, and a remeasurement loss related to the consolidation of the Floreo joint venture. These decreases were partially offset by increases related to changes in deferred revenue, net of associated deferred costs, and SID bond assumptions in Summerlin, as well as increases in residential MPC land sales closed in The Woodlands Hills and Bridgeland.</w:t>
      </w:r>
    </w:p>
    <w:p>
      <w:pPr>
        <w:spacing w:after="0" w:line="2" w:lineRule="exact"/>
        <w:rPr>
          <w:sz w:val="20"/>
          <w:szCs w:val="20"/>
          <w:color w:val="auto"/>
        </w:rPr>
      </w:pPr>
    </w:p>
    <w:p>
      <w:pPr>
        <w:ind w:left="660" w:hanging="324"/>
        <w:spacing w:after="0" w:line="265" w:lineRule="auto"/>
        <w:rPr>
          <w:sz w:val="20"/>
          <w:szCs w:val="20"/>
          <w:color w:val="auto"/>
        </w:rPr>
      </w:pPr>
      <w:r>
        <w:rPr>
          <w:rFonts w:ascii="Arial" w:cs="Arial" w:eastAsia="Arial" w:hAnsi="Arial"/>
          <w:sz w:val="17"/>
          <w:szCs w:val="17"/>
          <w:color w:val="auto"/>
        </w:rPr>
        <w:t>– Corporate income, expenses, and other items, excluding the Vantage pre-tax net income, included an increase in net expenses of $105.4 million primarily due to an increase in loss on sale of MUD receivables, recognition of a loss on extinguishment of debt, and higher interest expense as a result of a higher balance and higher interest rates on the February 2026 Senior Notes.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Refer to the Third Quarter 2026 Highlights section above for information on the variances for the three months ended September 30, 2026.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See segment discussions for more detail about the changes described above.</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Segment EBT </w:t>
      </w:r>
      <w:r>
        <w:rPr>
          <w:rFonts w:ascii="Arial" w:cs="Arial" w:eastAsia="Arial" w:hAnsi="Arial"/>
          <w:sz w:val="17"/>
          <w:szCs w:val="17"/>
          <w:color w:val="000000"/>
        </w:rPr>
        <w:t>Segment EBT for Operating Assets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Borders>
              <w:top w:val="single" w:sz="8" w:color="auto"/>
            </w:tcBorders>
            <w:shd w:val="clear" w:color="auto" w:fill="D8D8D8"/>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3840" w:type="dxa"/>
            <w:vAlign w:val="bottom"/>
            <w:tcBorders>
              <w:top w:val="single" w:sz="8" w:color="auto"/>
            </w:tcBorders>
            <w:gridSpan w:val="7"/>
            <w:shd w:val="clear" w:color="auto" w:fill="DBDBDB"/>
          </w:tcPr>
          <w:p>
            <w:pPr>
              <w:ind w:left="40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Borders>
              <w:top w:val="single" w:sz="8" w:color="auto"/>
            </w:tcBorders>
            <w:shd w:val="clear" w:color="auto" w:fill="DBDBDB"/>
          </w:tcPr>
          <w:p>
            <w:pPr>
              <w:spacing w:after="0"/>
              <w:rPr>
                <w:sz w:val="19"/>
                <w:szCs w:val="19"/>
                <w:color w:val="auto"/>
              </w:rPr>
            </w:pPr>
          </w:p>
        </w:tc>
        <w:tc>
          <w:tcPr>
            <w:tcW w:w="3800" w:type="dxa"/>
            <w:vAlign w:val="bottom"/>
            <w:tcBorders>
              <w:top w:val="single" w:sz="8" w:color="auto"/>
            </w:tcBorders>
            <w:gridSpan w:val="6"/>
            <w:shd w:val="clear" w:color="auto" w:fill="DBDBDB"/>
          </w:tcPr>
          <w:p>
            <w:pPr>
              <w:jc w:val="right"/>
              <w:ind w:right="5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24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200" w:type="dxa"/>
            <w:vAlign w:val="bottom"/>
            <w:tcBorders>
              <w:top w:val="single" w:sz="8" w:color="auto"/>
              <w:bottom w:val="single" w:sz="8" w:color="auto"/>
            </w:tcBorders>
            <w:shd w:val="clear" w:color="auto" w:fill="DBDBDB"/>
          </w:tcPr>
          <w:p>
            <w:pPr>
              <w:spacing w:after="0"/>
              <w:rPr>
                <w:sz w:val="18"/>
                <w:szCs w:val="18"/>
                <w:color w:val="auto"/>
              </w:rPr>
            </w:pPr>
          </w:p>
        </w:tc>
        <w:tc>
          <w:tcPr>
            <w:tcW w:w="800" w:type="dxa"/>
            <w:vAlign w:val="bottom"/>
            <w:tcBorders>
              <w:top w:val="single" w:sz="8" w:color="auto"/>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bottom w:val="single" w:sz="8" w:color="auto"/>
            </w:tcBorders>
            <w:shd w:val="clear" w:color="auto" w:fill="DBDBDB"/>
          </w:tcPr>
          <w:p>
            <w:pPr>
              <w:spacing w:after="0"/>
              <w:rPr>
                <w:sz w:val="18"/>
                <w:szCs w:val="18"/>
                <w:color w:val="auto"/>
              </w:rPr>
            </w:pPr>
          </w:p>
        </w:tc>
        <w:tc>
          <w:tcPr>
            <w:tcW w:w="780" w:type="dxa"/>
            <w:vAlign w:val="bottom"/>
            <w:tcBorders>
              <w:top w:val="single" w:sz="8" w:color="auto"/>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2025</w:t>
            </w:r>
          </w:p>
        </w:tc>
        <w:tc>
          <w:tcPr>
            <w:tcW w:w="160" w:type="dxa"/>
            <w:vAlign w:val="bottom"/>
            <w:tcBorders>
              <w:top w:val="single" w:sz="8" w:color="auto"/>
              <w:bottom w:val="single" w:sz="8" w:color="auto"/>
            </w:tcBorders>
            <w:shd w:val="clear" w:color="auto" w:fill="DBDBDB"/>
          </w:tcPr>
          <w:p>
            <w:pPr>
              <w:spacing w:after="0"/>
              <w:rPr>
                <w:sz w:val="18"/>
                <w:szCs w:val="18"/>
                <w:color w:val="auto"/>
              </w:rPr>
            </w:pPr>
          </w:p>
        </w:tc>
        <w:tc>
          <w:tcPr>
            <w:tcW w:w="840" w:type="dxa"/>
            <w:vAlign w:val="bottom"/>
            <w:tcBorders>
              <w:top w:val="single" w:sz="8" w:color="auto"/>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97"/>
              </w:rPr>
              <w:t>$ Change</w:t>
            </w:r>
          </w:p>
        </w:tc>
        <w:tc>
          <w:tcPr>
            <w:tcW w:w="920" w:type="dxa"/>
            <w:vAlign w:val="bottom"/>
            <w:tcBorders>
              <w:top w:val="single" w:sz="8" w:color="auto"/>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 Change</w:t>
            </w:r>
          </w:p>
        </w:tc>
        <w:tc>
          <w:tcPr>
            <w:tcW w:w="100" w:type="dxa"/>
            <w:vAlign w:val="bottom"/>
            <w:tcBorders>
              <w:top w:val="single" w:sz="8" w:color="DBDBDB"/>
              <w:bottom w:val="single" w:sz="8" w:color="auto"/>
            </w:tcBorders>
            <w:shd w:val="clear" w:color="auto" w:fill="DBDBDB"/>
          </w:tcPr>
          <w:p>
            <w:pPr>
              <w:spacing w:after="0"/>
              <w:rPr>
                <w:sz w:val="18"/>
                <w:szCs w:val="18"/>
                <w:color w:val="auto"/>
              </w:rPr>
            </w:pPr>
          </w:p>
        </w:tc>
        <w:tc>
          <w:tcPr>
            <w:tcW w:w="160" w:type="dxa"/>
            <w:vAlign w:val="bottom"/>
            <w:tcBorders>
              <w:top w:val="single" w:sz="8" w:color="auto"/>
              <w:bottom w:val="single" w:sz="8" w:color="auto"/>
            </w:tcBorders>
            <w:shd w:val="clear" w:color="auto" w:fill="DBDBDB"/>
          </w:tcPr>
          <w:p>
            <w:pPr>
              <w:spacing w:after="0"/>
              <w:rPr>
                <w:sz w:val="18"/>
                <w:szCs w:val="18"/>
                <w:color w:val="auto"/>
              </w:rPr>
            </w:pPr>
          </w:p>
        </w:tc>
        <w:tc>
          <w:tcPr>
            <w:tcW w:w="820" w:type="dxa"/>
            <w:vAlign w:val="bottom"/>
            <w:tcBorders>
              <w:top w:val="single" w:sz="8" w:color="auto"/>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top w:val="single" w:sz="8" w:color="auto"/>
              <w:bottom w:val="single" w:sz="8" w:color="auto"/>
            </w:tcBorders>
            <w:shd w:val="clear" w:color="auto" w:fill="DBDBDB"/>
          </w:tcPr>
          <w:p>
            <w:pPr>
              <w:spacing w:after="0"/>
              <w:rPr>
                <w:sz w:val="18"/>
                <w:szCs w:val="18"/>
                <w:color w:val="auto"/>
              </w:rPr>
            </w:pPr>
          </w:p>
        </w:tc>
        <w:tc>
          <w:tcPr>
            <w:tcW w:w="820" w:type="dxa"/>
            <w:vAlign w:val="bottom"/>
            <w:tcBorders>
              <w:top w:val="single" w:sz="8" w:color="auto"/>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rPr>
              <w:t>2025</w:t>
            </w:r>
          </w:p>
        </w:tc>
        <w:tc>
          <w:tcPr>
            <w:tcW w:w="160" w:type="dxa"/>
            <w:vAlign w:val="bottom"/>
            <w:tcBorders>
              <w:top w:val="single" w:sz="8" w:color="auto"/>
              <w:bottom w:val="single" w:sz="8" w:color="auto"/>
            </w:tcBorders>
            <w:shd w:val="clear" w:color="auto" w:fill="DBDBDB"/>
          </w:tcPr>
          <w:p>
            <w:pPr>
              <w:spacing w:after="0"/>
              <w:rPr>
                <w:sz w:val="18"/>
                <w:szCs w:val="18"/>
                <w:color w:val="auto"/>
              </w:rPr>
            </w:pPr>
          </w:p>
        </w:tc>
        <w:tc>
          <w:tcPr>
            <w:tcW w:w="860" w:type="dxa"/>
            <w:vAlign w:val="bottom"/>
            <w:tcBorders>
              <w:top w:val="single" w:sz="8" w:color="auto"/>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97"/>
              </w:rPr>
              <w:t>$ Change</w:t>
            </w:r>
          </w:p>
        </w:tc>
        <w:tc>
          <w:tcPr>
            <w:tcW w:w="920" w:type="dxa"/>
            <w:vAlign w:val="bottom"/>
            <w:tcBorders>
              <w:top w:val="single" w:sz="8" w:color="auto"/>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 Change</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Rental revenue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115,851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111,377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4,474</w:t>
            </w:r>
          </w:p>
        </w:tc>
        <w:tc>
          <w:tcPr>
            <w:tcW w:w="92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343,600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330,849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12,751</w:t>
            </w:r>
          </w:p>
        </w:tc>
        <w:tc>
          <w:tcPr>
            <w:tcW w:w="92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5,760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17,173</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16,781</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121,611</w:t>
            </w:r>
          </w:p>
        </w:tc>
        <w:tc>
          <w:tcPr>
            <w:tcW w:w="2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117,182</w:t>
            </w:r>
          </w:p>
        </w:tc>
        <w:tc>
          <w:tcPr>
            <w:tcW w:w="1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4,429</w:t>
            </w:r>
          </w:p>
        </w:tc>
        <w:tc>
          <w:tcPr>
            <w:tcW w:w="92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360,773</w:t>
            </w: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347,630</w:t>
            </w: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13,143</w:t>
            </w:r>
          </w:p>
        </w:tc>
        <w:tc>
          <w:tcPr>
            <w:tcW w:w="92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371"/>
        </w:trPr>
        <w:tc>
          <w:tcPr>
            <w:tcW w:w="3240" w:type="dxa"/>
            <w:vAlign w:val="bottom"/>
          </w:tcPr>
          <w:p>
            <w:pPr>
              <w:ind w:left="20"/>
              <w:spacing w:after="0"/>
              <w:rPr>
                <w:sz w:val="20"/>
                <w:szCs w:val="20"/>
                <w:color w:val="auto"/>
              </w:rPr>
            </w:pPr>
            <w:r>
              <w:rPr>
                <w:rFonts w:ascii="Arial" w:cs="Arial" w:eastAsia="Arial" w:hAnsi="Arial"/>
                <w:sz w:val="16"/>
                <w:szCs w:val="16"/>
                <w:color w:val="auto"/>
              </w:rPr>
              <w:t>Operating costs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(35,479)</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(37,052)</w:t>
            </w:r>
          </w:p>
        </w:tc>
        <w:tc>
          <w:tcPr>
            <w:tcW w:w="1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1,573</w:t>
            </w:r>
          </w:p>
        </w:tc>
        <w:tc>
          <w:tcPr>
            <w:tcW w:w="92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(106,860)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(105,449)</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(1,411)</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Rental property real estate taxes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(12,839)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(15,006)</w:t>
            </w:r>
          </w:p>
        </w:tc>
        <w:tc>
          <w:tcPr>
            <w:tcW w:w="1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2,167</w:t>
            </w:r>
          </w:p>
        </w:tc>
        <w:tc>
          <w:tcPr>
            <w:tcW w:w="9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(42,839)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(44,507)</w:t>
            </w: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1,668</w:t>
            </w:r>
          </w:p>
        </w:tc>
        <w:tc>
          <w:tcPr>
            <w:tcW w:w="92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recovery of doubtful accounts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(48,524)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(51,713)</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(149,969)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(149,997)</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 (loss)</w:t>
            </w:r>
          </w:p>
        </w:tc>
        <w:tc>
          <w:tcPr>
            <w:tcW w:w="2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73,087</w:t>
            </w:r>
          </w:p>
        </w:tc>
        <w:tc>
          <w:tcPr>
            <w:tcW w:w="2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65,469</w:t>
            </w:r>
          </w:p>
        </w:tc>
        <w:tc>
          <w:tcPr>
            <w:tcW w:w="1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7,618</w:t>
            </w: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210,804</w:t>
            </w: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197,633</w:t>
            </w: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13,171</w:t>
            </w:r>
          </w:p>
        </w:tc>
        <w:tc>
          <w:tcPr>
            <w:tcW w:w="92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(43,503)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(43,411)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(141,109)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(128,839)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(12,270)</w:t>
            </w: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(39,284)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(34,006)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(5,278)</w:t>
            </w: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(110,664)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(102,397)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(8,267)</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2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72</w:t>
            </w:r>
          </w:p>
        </w:tc>
        <w:tc>
          <w:tcPr>
            <w:tcW w:w="2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w:t>
            </w: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(436)</w:t>
            </w: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801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(1,237)</w:t>
            </w: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63"/>
        </w:trPr>
        <w:tc>
          <w:tcPr>
            <w:tcW w:w="3240" w:type="dxa"/>
            <w:vAlign w:val="bottom"/>
          </w:tcPr>
          <w:p>
            <w:pPr>
              <w:ind w:left="20"/>
              <w:spacing w:after="0" w:line="163" w:lineRule="exact"/>
              <w:rPr>
                <w:sz w:val="20"/>
                <w:szCs w:val="20"/>
                <w:color w:val="auto"/>
              </w:rPr>
            </w:pPr>
            <w:r>
              <w:rPr>
                <w:rFonts w:ascii="Arial" w:cs="Arial" w:eastAsia="Arial" w:hAnsi="Arial"/>
                <w:sz w:val="16"/>
                <w:szCs w:val="16"/>
                <w:color w:val="auto"/>
              </w:rPr>
              <w:t>Equity in earnings (losses) from</w:t>
            </w:r>
          </w:p>
        </w:tc>
        <w:tc>
          <w:tcPr>
            <w:tcW w:w="20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531</w:t>
            </w:r>
          </w:p>
        </w:tc>
        <w:tc>
          <w:tcPr>
            <w:tcW w:w="24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396</w:t>
            </w:r>
          </w:p>
        </w:tc>
        <w:tc>
          <w:tcPr>
            <w:tcW w:w="1020" w:type="dxa"/>
            <w:vAlign w:val="bottom"/>
            <w:gridSpan w:val="2"/>
            <w:vMerge w:val="restart"/>
          </w:tcPr>
          <w:p>
            <w:pPr>
              <w:ind w:left="64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7,202</w:t>
            </w:r>
          </w:p>
        </w:tc>
        <w:tc>
          <w:tcPr>
            <w:tcW w:w="22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4,453</w:t>
            </w:r>
          </w:p>
        </w:tc>
        <w:tc>
          <w:tcPr>
            <w:tcW w:w="160" w:type="dxa"/>
            <w:vAlign w:val="bottom"/>
          </w:tcPr>
          <w:p>
            <w:pPr>
              <w:spacing w:after="0"/>
              <w:rPr>
                <w:sz w:val="14"/>
                <w:szCs w:val="14"/>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2,749</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unconsolidated ventures</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40" w:type="dxa"/>
            <w:vAlign w:val="bottom"/>
          </w:tcPr>
          <w:p>
            <w:pPr>
              <w:ind w:left="20"/>
              <w:spacing w:after="0" w:line="163" w:lineRule="exact"/>
              <w:rPr>
                <w:sz w:val="20"/>
                <w:szCs w:val="20"/>
                <w:color w:val="auto"/>
              </w:rPr>
            </w:pPr>
            <w:r>
              <w:rPr>
                <w:rFonts w:ascii="Arial" w:cs="Arial" w:eastAsia="Arial" w:hAnsi="Arial"/>
                <w:sz w:val="16"/>
                <w:szCs w:val="16"/>
                <w:color w:val="auto"/>
              </w:rPr>
              <w:t>Gain (loss) on sale or disposal of real estate</w:t>
            </w:r>
          </w:p>
        </w:tc>
        <w:tc>
          <w:tcPr>
            <w:tcW w:w="20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429</w:t>
            </w:r>
          </w:p>
        </w:tc>
        <w:tc>
          <w:tcPr>
            <w:tcW w:w="24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4,385</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(3,956)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52,229</w:t>
            </w:r>
          </w:p>
        </w:tc>
        <w:tc>
          <w:tcPr>
            <w:tcW w:w="22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14,363</w:t>
            </w:r>
          </w:p>
        </w:tc>
        <w:tc>
          <w:tcPr>
            <w:tcW w:w="160" w:type="dxa"/>
            <w:vAlign w:val="bottom"/>
          </w:tcPr>
          <w:p>
            <w:pPr>
              <w:spacing w:after="0"/>
              <w:rPr>
                <w:sz w:val="14"/>
                <w:szCs w:val="14"/>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37,866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and other assets, net</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Gain (loss) on extinguishment of debt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 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60" w:hanging="446"/>
        <w:spacing w:after="0"/>
        <w:tabs>
          <w:tab w:leader="none" w:pos="49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three months ended September 30, 2026: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Operating Assets segment EBT decreased $1.9 million compared to the prior-year period primarily due to the following: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Gain on sale of real estate decreased $4.0 million primarily due to the sale of two land parcels and a retail space in Ward Village in 2025.</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Interest expense increased $5.3 million primarily due to changes in our property-level debt portfolio.</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These decreases to EBT were partially offset by the following: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Rental revenues, net of Operating costs increased $6.0 million primarily due to increased leasing activity across our portfolio.</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Rental property real estate taxes decreased $2.2 million primarily due to reductions in assessed values.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nine months ended September 30, 2026: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Operating Assets segment EBT increased $31.7 million compared to the prior-year period primarily due to the following:</w:t>
      </w:r>
    </w:p>
    <w:p>
      <w:pPr>
        <w:spacing w:after="0" w:line="23"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Gain on sale of real estate increased $37.9 million primarily due to the sale of two multifamily properties in The Woodlands in 2026, compared to the sale of four land parcels and retail spaces in Ward Village in 2025.</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Rental revenues, net of Operating costs increased $11.3 million primarily due to increased leasing activity across our portfolio.</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These increases to EBT were partially offset by the following:</w:t>
      </w:r>
    </w:p>
    <w:p>
      <w:pPr>
        <w:spacing w:after="0" w:line="23" w:lineRule="exact"/>
        <w:rPr>
          <w:sz w:val="20"/>
          <w:szCs w:val="20"/>
          <w:color w:val="auto"/>
        </w:rPr>
      </w:pPr>
    </w:p>
    <w:p>
      <w:pPr>
        <w:ind w:left="660" w:hanging="324"/>
        <w:spacing w:after="0" w:line="264" w:lineRule="auto"/>
        <w:rPr>
          <w:sz w:val="20"/>
          <w:szCs w:val="20"/>
          <w:color w:val="auto"/>
        </w:rPr>
      </w:pPr>
      <w:r>
        <w:rPr>
          <w:rFonts w:ascii="Arial" w:cs="Arial" w:eastAsia="Arial" w:hAnsi="Arial"/>
          <w:sz w:val="17"/>
          <w:szCs w:val="17"/>
          <w:color w:val="auto"/>
        </w:rPr>
        <w:t>– Depreciation and amortization increased $12.3 million primarily due to accelerated depreciation of a Ward Village retail property which was decommissioned in the second quarter of 2026 to allow for the construction of future condo towers.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Net Operating Income </w:t>
      </w:r>
      <w:r>
        <w:rPr>
          <w:rFonts w:ascii="Arial" w:cs="Arial" w:eastAsia="Arial" w:hAnsi="Arial"/>
          <w:sz w:val="17"/>
          <w:szCs w:val="17"/>
          <w:color w:val="000000"/>
        </w:rPr>
        <w:t>In addition to the required presentations using GAAP, we use certain non-GAAP performance measures, as we believe</w:t>
      </w:r>
      <w:r>
        <w:rPr>
          <w:rFonts w:ascii="Arial" w:cs="Arial" w:eastAsia="Arial" w:hAnsi="Arial"/>
          <w:sz w:val="17"/>
          <w:szCs w:val="17"/>
          <w:b w:val="1"/>
          <w:bCs w:val="1"/>
          <w:color w:val="00497F"/>
        </w:rPr>
        <w:t xml:space="preserve"> </w:t>
      </w:r>
      <w:r>
        <w:rPr>
          <w:rFonts w:ascii="Arial" w:cs="Arial" w:eastAsia="Arial" w:hAnsi="Arial"/>
          <w:sz w:val="17"/>
          <w:szCs w:val="17"/>
          <w:color w:val="000000"/>
        </w:rPr>
        <w:t>these measures improve the understanding of our operational results and make comparisons of operating results among peer companies more meaningful. Management continually evaluates the usefulness, relevance, limitations and calculation of our reported non-GAAP performance measures to determine how best to provide relevant information to the public, and thus such reported measures could change.</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define NOI as operating revenues (rental income, tenant recoveries, and other revenue)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believe that NOI is a useful supplemental measure of the performance of our Operating Assets segment because it provides a performance measure that reflects the revenues and expenses directly associated with owning and operating real estate properties. We use NOI to evaluate our operating performance on a property-by-property basis because NOI allows us to evaluate the impact that property-specific factors such as rental and occupancy rates, tenant mix, and operating costs have on our operating results, gross margins, and investment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60" w:hanging="446"/>
        <w:spacing w:after="0"/>
        <w:tabs>
          <w:tab w:leader="none" w:pos="49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Operating Assets segment EBT to Operating Assets NOI is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Borders>
              <w:top w:val="single" w:sz="8" w:color="auto"/>
            </w:tcBorders>
            <w:shd w:val="clear" w:color="auto" w:fill="D8D8D8"/>
          </w:tcPr>
          <w:p>
            <w:pPr>
              <w:spacing w:after="0"/>
              <w:rPr>
                <w:sz w:val="19"/>
                <w:szCs w:val="19"/>
                <w:color w:val="auto"/>
              </w:rPr>
            </w:pPr>
          </w:p>
        </w:tc>
        <w:tc>
          <w:tcPr>
            <w:tcW w:w="180" w:type="dxa"/>
            <w:vAlign w:val="bottom"/>
            <w:tcBorders>
              <w:top w:val="single" w:sz="8" w:color="auto"/>
            </w:tcBorders>
            <w:shd w:val="clear" w:color="auto" w:fill="D8D8D8"/>
          </w:tcPr>
          <w:p>
            <w:pPr>
              <w:spacing w:after="0"/>
              <w:rPr>
                <w:sz w:val="19"/>
                <w:szCs w:val="19"/>
                <w:color w:val="auto"/>
              </w:rPr>
            </w:pPr>
          </w:p>
        </w:tc>
        <w:tc>
          <w:tcPr>
            <w:tcW w:w="3680" w:type="dxa"/>
            <w:vAlign w:val="bottom"/>
            <w:tcBorders>
              <w:top w:val="single" w:sz="8" w:color="auto"/>
            </w:tcBorders>
            <w:gridSpan w:val="7"/>
            <w:shd w:val="clear" w:color="auto" w:fill="D8D8D8"/>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Borders>
              <w:top w:val="single" w:sz="8" w:color="auto"/>
            </w:tcBorders>
            <w:shd w:val="clear" w:color="auto" w:fill="D8D8D8"/>
          </w:tcPr>
          <w:p>
            <w:pPr>
              <w:spacing w:after="0"/>
              <w:rPr>
                <w:sz w:val="19"/>
                <w:szCs w:val="19"/>
                <w:color w:val="auto"/>
              </w:rPr>
            </w:pPr>
          </w:p>
        </w:tc>
        <w:tc>
          <w:tcPr>
            <w:tcW w:w="3700" w:type="dxa"/>
            <w:vAlign w:val="bottom"/>
            <w:tcBorders>
              <w:top w:val="single" w:sz="8" w:color="auto"/>
            </w:tcBorders>
            <w:gridSpan w:val="6"/>
            <w:shd w:val="clear" w:color="auto" w:fill="D8D8D8"/>
          </w:tcPr>
          <w:p>
            <w:pPr>
              <w:jc w:val="center"/>
              <w:ind w:right="1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50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180" w:type="dxa"/>
            <w:vAlign w:val="bottom"/>
            <w:tcBorders>
              <w:top w:val="single" w:sz="8" w:color="auto"/>
              <w:bottom w:val="single" w:sz="8" w:color="auto"/>
            </w:tcBorders>
            <w:shd w:val="clear" w:color="auto" w:fill="D8D8D8"/>
          </w:tcPr>
          <w:p>
            <w:pPr>
              <w:spacing w:after="0"/>
              <w:rPr>
                <w:sz w:val="18"/>
                <w:szCs w:val="18"/>
                <w:color w:val="auto"/>
              </w:rPr>
            </w:pPr>
          </w:p>
        </w:tc>
        <w:tc>
          <w:tcPr>
            <w:tcW w:w="740" w:type="dxa"/>
            <w:vAlign w:val="bottom"/>
            <w:tcBorders>
              <w:top w:val="single" w:sz="8" w:color="auto"/>
              <w:bottom w:val="single" w:sz="8" w:color="auto"/>
            </w:tcBorders>
            <w:shd w:val="clear" w:color="auto" w:fill="D8D8D8"/>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720" w:type="dxa"/>
            <w:vAlign w:val="bottom"/>
            <w:tcBorders>
              <w:top w:val="single" w:sz="8" w:color="auto"/>
              <w:bottom w:val="single" w:sz="8" w:color="auto"/>
            </w:tcBorders>
            <w:shd w:val="clear" w:color="auto" w:fill="D8D8D8"/>
          </w:tcPr>
          <w:p>
            <w:pPr>
              <w:jc w:val="right"/>
              <w:ind w:right="19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auto"/>
              <w:bottom w:val="single" w:sz="8" w:color="auto"/>
            </w:tcBorders>
            <w:shd w:val="clear" w:color="auto" w:fill="D8D8D8"/>
          </w:tcPr>
          <w:p>
            <w:pPr>
              <w:spacing w:after="0"/>
              <w:rPr>
                <w:sz w:val="18"/>
                <w:szCs w:val="18"/>
                <w:color w:val="auto"/>
              </w:rPr>
            </w:pPr>
          </w:p>
        </w:tc>
        <w:tc>
          <w:tcPr>
            <w:tcW w:w="860" w:type="dxa"/>
            <w:vAlign w:val="bottom"/>
            <w:tcBorders>
              <w:top w:val="single" w:sz="8" w:color="auto"/>
              <w:bottom w:val="single" w:sz="8" w:color="auto"/>
            </w:tcBorders>
            <w:shd w:val="clear" w:color="auto" w:fill="D8D8D8"/>
          </w:tcPr>
          <w:p>
            <w:pPr>
              <w:jc w:val="right"/>
              <w:ind w:right="59"/>
              <w:spacing w:after="0"/>
              <w:rPr>
                <w:sz w:val="20"/>
                <w:szCs w:val="20"/>
                <w:color w:val="auto"/>
              </w:rPr>
            </w:pPr>
            <w:r>
              <w:rPr>
                <w:rFonts w:ascii="Arial" w:cs="Arial" w:eastAsia="Arial" w:hAnsi="Arial"/>
                <w:sz w:val="16"/>
                <w:szCs w:val="16"/>
                <w:color w:val="auto"/>
              </w:rPr>
              <w:t>$ Change</w:t>
            </w:r>
          </w:p>
        </w:tc>
        <w:tc>
          <w:tcPr>
            <w:tcW w:w="920" w:type="dxa"/>
            <w:vAlign w:val="bottom"/>
            <w:tcBorders>
              <w:top w:val="single" w:sz="8" w:color="auto"/>
              <w:bottom w:val="single" w:sz="8" w:color="auto"/>
            </w:tcBorders>
            <w:shd w:val="clear" w:color="auto" w:fill="D8D8D8"/>
          </w:tcPr>
          <w:p>
            <w:pPr>
              <w:jc w:val="right"/>
              <w:ind w:right="19"/>
              <w:spacing w:after="0"/>
              <w:rPr>
                <w:sz w:val="20"/>
                <w:szCs w:val="20"/>
                <w:color w:val="auto"/>
              </w:rPr>
            </w:pPr>
            <w:r>
              <w:rPr>
                <w:rFonts w:ascii="Arial" w:cs="Arial" w:eastAsia="Arial" w:hAnsi="Arial"/>
                <w:sz w:val="16"/>
                <w:szCs w:val="16"/>
                <w:color w:val="auto"/>
              </w:rPr>
              <w:t>% Change</w:t>
            </w:r>
          </w:p>
        </w:tc>
        <w:tc>
          <w:tcPr>
            <w:tcW w:w="120" w:type="dxa"/>
            <w:vAlign w:val="bottom"/>
            <w:tcBorders>
              <w:top w:val="single" w:sz="8" w:color="D8D8D8"/>
              <w:bottom w:val="single" w:sz="8" w:color="auto"/>
            </w:tcBorders>
            <w:shd w:val="clear" w:color="auto" w:fill="D8D8D8"/>
          </w:tcPr>
          <w:p>
            <w:pPr>
              <w:spacing w:after="0"/>
              <w:rPr>
                <w:sz w:val="18"/>
                <w:szCs w:val="18"/>
                <w:color w:val="auto"/>
              </w:rPr>
            </w:pPr>
          </w:p>
        </w:tc>
        <w:tc>
          <w:tcPr>
            <w:tcW w:w="180" w:type="dxa"/>
            <w:vAlign w:val="bottom"/>
            <w:tcBorders>
              <w:top w:val="single" w:sz="8" w:color="auto"/>
              <w:bottom w:val="single" w:sz="8" w:color="auto"/>
            </w:tcBorders>
            <w:shd w:val="clear" w:color="auto" w:fill="D8D8D8"/>
          </w:tcPr>
          <w:p>
            <w:pPr>
              <w:spacing w:after="0"/>
              <w:rPr>
                <w:sz w:val="18"/>
                <w:szCs w:val="18"/>
                <w:color w:val="auto"/>
              </w:rPr>
            </w:pPr>
          </w:p>
        </w:tc>
        <w:tc>
          <w:tcPr>
            <w:tcW w:w="760" w:type="dxa"/>
            <w:vAlign w:val="bottom"/>
            <w:tcBorders>
              <w:top w:val="single" w:sz="8" w:color="auto"/>
              <w:bottom w:val="single" w:sz="8" w:color="auto"/>
            </w:tcBorders>
            <w:shd w:val="clear" w:color="auto" w:fill="D8D8D8"/>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740" w:type="dxa"/>
            <w:vAlign w:val="bottom"/>
            <w:tcBorders>
              <w:top w:val="single" w:sz="8" w:color="auto"/>
              <w:bottom w:val="single" w:sz="8" w:color="auto"/>
            </w:tcBorders>
            <w:shd w:val="clear" w:color="auto" w:fill="D8D8D8"/>
          </w:tcPr>
          <w:p>
            <w:pPr>
              <w:jc w:val="right"/>
              <w:ind w:right="21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auto"/>
              <w:bottom w:val="single" w:sz="8" w:color="auto"/>
            </w:tcBorders>
            <w:shd w:val="clear" w:color="auto" w:fill="D8D8D8"/>
          </w:tcPr>
          <w:p>
            <w:pPr>
              <w:spacing w:after="0"/>
              <w:rPr>
                <w:sz w:val="18"/>
                <w:szCs w:val="18"/>
                <w:color w:val="auto"/>
              </w:rPr>
            </w:pPr>
          </w:p>
        </w:tc>
        <w:tc>
          <w:tcPr>
            <w:tcW w:w="880" w:type="dxa"/>
            <w:vAlign w:val="bottom"/>
            <w:tcBorders>
              <w:top w:val="single" w:sz="8" w:color="auto"/>
              <w:bottom w:val="single" w:sz="8" w:color="auto"/>
            </w:tcBorders>
            <w:shd w:val="clear" w:color="auto" w:fill="D8D8D8"/>
          </w:tcPr>
          <w:p>
            <w:pPr>
              <w:jc w:val="right"/>
              <w:ind w:right="99"/>
              <w:spacing w:after="0"/>
              <w:rPr>
                <w:sz w:val="20"/>
                <w:szCs w:val="20"/>
                <w:color w:val="auto"/>
              </w:rPr>
            </w:pPr>
            <w:r>
              <w:rPr>
                <w:rFonts w:ascii="Arial" w:cs="Arial" w:eastAsia="Arial" w:hAnsi="Arial"/>
                <w:sz w:val="16"/>
                <w:szCs w:val="16"/>
                <w:color w:val="auto"/>
                <w:w w:val="97"/>
              </w:rPr>
              <w:t>$ Change</w:t>
            </w:r>
          </w:p>
        </w:tc>
        <w:tc>
          <w:tcPr>
            <w:tcW w:w="1000" w:type="dxa"/>
            <w:vAlign w:val="bottom"/>
            <w:tcBorders>
              <w:top w:val="single" w:sz="8" w:color="auto"/>
              <w:bottom w:val="single" w:sz="8" w:color="auto"/>
            </w:tcBorders>
            <w:shd w:val="clear" w:color="auto" w:fill="D8D8D8"/>
          </w:tcPr>
          <w:p>
            <w:pPr>
              <w:jc w:val="right"/>
              <w:ind w:right="59"/>
              <w:spacing w:after="0"/>
              <w:rPr>
                <w:sz w:val="20"/>
                <w:szCs w:val="20"/>
                <w:color w:val="auto"/>
              </w:rPr>
            </w:pPr>
            <w:r>
              <w:rPr>
                <w:rFonts w:ascii="Arial" w:cs="Arial" w:eastAsia="Arial" w:hAnsi="Arial"/>
                <w:sz w:val="16"/>
                <w:szCs w:val="16"/>
                <w:color w:val="auto"/>
              </w:rPr>
              <w:t>% Change</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Operating Assets segment EBT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(9,097)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(7,238)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(1,859)</w:t>
            </w: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17,184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(14,466)</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31,650</w:t>
            </w:r>
          </w:p>
        </w:tc>
        <w:tc>
          <w:tcPr>
            <w:tcW w:w="10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43,503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43,411</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141,109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128,839</w:t>
            </w: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12,270</w:t>
            </w:r>
          </w:p>
        </w:tc>
        <w:tc>
          <w:tcPr>
            <w:tcW w:w="100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rPr>
                <w:sz w:val="20"/>
                <w:szCs w:val="20"/>
                <w:color w:val="auto"/>
              </w:rPr>
            </w:pPr>
            <w:r>
              <w:rPr>
                <w:rFonts w:ascii="Arial" w:cs="Arial" w:eastAsia="Arial" w:hAnsi="Arial"/>
                <w:sz w:val="16"/>
                <w:szCs w:val="16"/>
                <w:color w:val="auto"/>
              </w:rPr>
              <w:t>Interest (income) expense,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39,284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34,006</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5,278</w:t>
            </w:r>
          </w:p>
        </w:tc>
        <w:tc>
          <w:tcPr>
            <w:tcW w:w="9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110,664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102,397</w:t>
            </w: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8,267</w:t>
            </w:r>
          </w:p>
        </w:tc>
        <w:tc>
          <w:tcPr>
            <w:tcW w:w="100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63"/>
        </w:trPr>
        <w:tc>
          <w:tcPr>
            <w:tcW w:w="3500" w:type="dxa"/>
            <w:vAlign w:val="bottom"/>
          </w:tcPr>
          <w:p>
            <w:pPr>
              <w:ind w:left="140"/>
              <w:spacing w:after="0" w:line="163" w:lineRule="exact"/>
              <w:rPr>
                <w:sz w:val="20"/>
                <w:szCs w:val="20"/>
                <w:color w:val="auto"/>
              </w:rPr>
            </w:pPr>
            <w:r>
              <w:rPr>
                <w:rFonts w:ascii="Arial" w:cs="Arial" w:eastAsia="Arial" w:hAnsi="Arial"/>
                <w:sz w:val="16"/>
                <w:szCs w:val="16"/>
                <w:color w:val="auto"/>
              </w:rPr>
              <w:t>Equity in (earnings) losses from</w:t>
            </w: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(531)</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1040" w:type="dxa"/>
            <w:vAlign w:val="bottom"/>
            <w:gridSpan w:val="2"/>
            <w:vMerge w:val="restart"/>
          </w:tcPr>
          <w:p>
            <w:pPr>
              <w:ind w:left="66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(7,202)</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(4,453)</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(2,749)</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5"/>
        </w:trPr>
        <w:tc>
          <w:tcPr>
            <w:tcW w:w="3500" w:type="dxa"/>
            <w:vAlign w:val="bottom"/>
          </w:tcPr>
          <w:p>
            <w:pPr>
              <w:ind w:left="140"/>
              <w:spacing w:after="0"/>
              <w:rPr>
                <w:sz w:val="20"/>
                <w:szCs w:val="20"/>
                <w:color w:val="auto"/>
              </w:rPr>
            </w:pPr>
            <w:r>
              <w:rPr>
                <w:rFonts w:ascii="Arial" w:cs="Arial" w:eastAsia="Arial" w:hAnsi="Arial"/>
                <w:sz w:val="16"/>
                <w:szCs w:val="16"/>
                <w:color w:val="auto"/>
              </w:rPr>
              <w:t>unconsolidated ventures</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00" w:type="dxa"/>
            <w:vAlign w:val="bottom"/>
          </w:tcPr>
          <w:p>
            <w:pPr>
              <w:ind w:left="140"/>
              <w:spacing w:after="0" w:line="163" w:lineRule="exact"/>
              <w:rPr>
                <w:sz w:val="20"/>
                <w:szCs w:val="20"/>
                <w:color w:val="auto"/>
              </w:rPr>
            </w:pPr>
            <w:r>
              <w:rPr>
                <w:rFonts w:ascii="Arial" w:cs="Arial" w:eastAsia="Arial" w:hAnsi="Arial"/>
                <w:sz w:val="16"/>
                <w:szCs w:val="16"/>
                <w:color w:val="auto"/>
              </w:rPr>
              <w:t>(Gain) loss on sale or disposal of real estate</w:t>
            </w: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(429)</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(4,385)</w:t>
            </w:r>
          </w:p>
        </w:tc>
        <w:tc>
          <w:tcPr>
            <w:tcW w:w="120" w:type="dxa"/>
            <w:vAlign w:val="bottom"/>
          </w:tcPr>
          <w:p>
            <w:pPr>
              <w:spacing w:after="0"/>
              <w:rPr>
                <w:sz w:val="14"/>
                <w:szCs w:val="14"/>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3,956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(52,229)</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(14,363)</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(37,866)</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500" w:type="dxa"/>
            <w:vAlign w:val="bottom"/>
          </w:tcPr>
          <w:p>
            <w:pPr>
              <w:ind w:left="140"/>
              <w:spacing w:after="0"/>
              <w:rPr>
                <w:sz w:val="20"/>
                <w:szCs w:val="20"/>
                <w:color w:val="auto"/>
              </w:rPr>
            </w:pPr>
            <w:r>
              <w:rPr>
                <w:rFonts w:ascii="Arial" w:cs="Arial" w:eastAsia="Arial" w:hAnsi="Arial"/>
                <w:sz w:val="16"/>
                <w:szCs w:val="16"/>
                <w:color w:val="auto"/>
              </w:rPr>
              <w:t>and other assets, net</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rPr>
                <w:sz w:val="20"/>
                <w:szCs w:val="20"/>
                <w:color w:val="auto"/>
              </w:rPr>
            </w:pPr>
            <w:r>
              <w:rPr>
                <w:rFonts w:ascii="Arial" w:cs="Arial" w:eastAsia="Arial" w:hAnsi="Arial"/>
                <w:sz w:val="16"/>
                <w:szCs w:val="16"/>
                <w:color w:val="auto"/>
              </w:rPr>
              <w:t>(Gain) loss on extinguishment of debt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920" w:type="dxa"/>
            <w:vAlign w:val="bottom"/>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842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rPr>
                <w:sz w:val="20"/>
                <w:szCs w:val="20"/>
                <w:color w:val="auto"/>
              </w:rPr>
            </w:pPr>
            <w:r>
              <w:rPr>
                <w:rFonts w:ascii="Arial" w:cs="Arial" w:eastAsia="Arial" w:hAnsi="Arial"/>
                <w:sz w:val="16"/>
                <w:szCs w:val="16"/>
                <w:color w:val="auto"/>
              </w:rPr>
              <w:t>Impact of straight-line rent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(2,070)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(1,874)</w:t>
            </w:r>
          </w:p>
        </w:tc>
        <w:tc>
          <w:tcPr>
            <w:tcW w:w="104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(5,707)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(3,978)</w:t>
            </w:r>
          </w:p>
        </w:tc>
        <w:tc>
          <w:tcPr>
            <w:tcW w:w="10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Assets NOI</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205,185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196,444</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Operating Assets NOI by property type: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Borders>
              <w:top w:val="single" w:sz="8" w:color="auto"/>
            </w:tcBorders>
            <w:shd w:val="clear" w:color="auto" w:fill="D8D8D8"/>
          </w:tcPr>
          <w:p>
            <w:pPr>
              <w:spacing w:after="0"/>
              <w:rPr>
                <w:sz w:val="19"/>
                <w:szCs w:val="19"/>
                <w:color w:val="auto"/>
              </w:rPr>
            </w:pPr>
          </w:p>
        </w:tc>
        <w:tc>
          <w:tcPr>
            <w:tcW w:w="200" w:type="dxa"/>
            <w:vAlign w:val="bottom"/>
            <w:tcBorders>
              <w:top w:val="single" w:sz="8" w:color="auto"/>
            </w:tcBorders>
            <w:shd w:val="clear" w:color="auto" w:fill="D8D8D8"/>
          </w:tcPr>
          <w:p>
            <w:pPr>
              <w:spacing w:after="0"/>
              <w:rPr>
                <w:sz w:val="19"/>
                <w:szCs w:val="19"/>
                <w:color w:val="auto"/>
              </w:rPr>
            </w:pPr>
          </w:p>
        </w:tc>
        <w:tc>
          <w:tcPr>
            <w:tcW w:w="4080" w:type="dxa"/>
            <w:vAlign w:val="bottom"/>
            <w:tcBorders>
              <w:top w:val="single" w:sz="8" w:color="auto"/>
            </w:tcBorders>
            <w:gridSpan w:val="7"/>
            <w:shd w:val="clear" w:color="auto" w:fill="D8D8D8"/>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top w:val="single" w:sz="8" w:color="auto"/>
            </w:tcBorders>
            <w:shd w:val="clear" w:color="auto" w:fill="D8D8D8"/>
          </w:tcPr>
          <w:p>
            <w:pPr>
              <w:spacing w:after="0"/>
              <w:rPr>
                <w:sz w:val="19"/>
                <w:szCs w:val="19"/>
                <w:color w:val="auto"/>
              </w:rPr>
            </w:pPr>
          </w:p>
        </w:tc>
        <w:tc>
          <w:tcPr>
            <w:tcW w:w="4020" w:type="dxa"/>
            <w:vAlign w:val="bottom"/>
            <w:tcBorders>
              <w:top w:val="single" w:sz="8" w:color="auto"/>
            </w:tcBorders>
            <w:gridSpan w:val="6"/>
            <w:shd w:val="clear" w:color="auto" w:fill="D8D8D8"/>
          </w:tcPr>
          <w:p>
            <w:pPr>
              <w:jc w:val="right"/>
              <w:ind w:right="69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274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760" w:type="dxa"/>
            <w:vAlign w:val="bottom"/>
            <w:tcBorders>
              <w:top w:val="single" w:sz="8" w:color="auto"/>
              <w:bottom w:val="single" w:sz="8" w:color="auto"/>
            </w:tcBorders>
            <w:shd w:val="clear" w:color="auto" w:fill="D8D8D8"/>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top w:val="single" w:sz="8" w:color="auto"/>
              <w:bottom w:val="single" w:sz="8" w:color="auto"/>
            </w:tcBorders>
            <w:shd w:val="clear" w:color="auto" w:fill="D8D8D8"/>
          </w:tcPr>
          <w:p>
            <w:pPr>
              <w:spacing w:after="0"/>
              <w:rPr>
                <w:sz w:val="18"/>
                <w:szCs w:val="18"/>
                <w:color w:val="auto"/>
              </w:rPr>
            </w:pPr>
          </w:p>
        </w:tc>
        <w:tc>
          <w:tcPr>
            <w:tcW w:w="740" w:type="dxa"/>
            <w:vAlign w:val="bottom"/>
            <w:tcBorders>
              <w:top w:val="single" w:sz="8" w:color="auto"/>
              <w:bottom w:val="single" w:sz="8" w:color="auto"/>
            </w:tcBorders>
            <w:shd w:val="clear" w:color="auto" w:fill="D8D8D8"/>
          </w:tcPr>
          <w:p>
            <w:pPr>
              <w:jc w:val="right"/>
              <w:ind w:right="219"/>
              <w:spacing w:after="0"/>
              <w:rPr>
                <w:sz w:val="20"/>
                <w:szCs w:val="20"/>
                <w:color w:val="auto"/>
              </w:rPr>
            </w:pPr>
            <w:r>
              <w:rPr>
                <w:rFonts w:ascii="Arial" w:cs="Arial" w:eastAsia="Arial" w:hAnsi="Arial"/>
                <w:sz w:val="16"/>
                <w:szCs w:val="16"/>
                <w:color w:val="auto"/>
              </w:rPr>
              <w:t>2025</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940" w:type="dxa"/>
            <w:vAlign w:val="bottom"/>
            <w:tcBorders>
              <w:top w:val="single" w:sz="8" w:color="auto"/>
              <w:bottom w:val="single" w:sz="8" w:color="auto"/>
            </w:tcBorders>
            <w:shd w:val="clear" w:color="auto" w:fill="D8D8D8"/>
          </w:tcPr>
          <w:p>
            <w:pPr>
              <w:jc w:val="right"/>
              <w:ind w:right="139"/>
              <w:spacing w:after="0"/>
              <w:rPr>
                <w:sz w:val="20"/>
                <w:szCs w:val="20"/>
                <w:color w:val="auto"/>
              </w:rPr>
            </w:pPr>
            <w:r>
              <w:rPr>
                <w:rFonts w:ascii="Arial" w:cs="Arial" w:eastAsia="Arial" w:hAnsi="Arial"/>
                <w:sz w:val="16"/>
                <w:szCs w:val="16"/>
                <w:color w:val="auto"/>
              </w:rPr>
              <w:t>$ Change</w:t>
            </w:r>
          </w:p>
        </w:tc>
        <w:tc>
          <w:tcPr>
            <w:tcW w:w="1060" w:type="dxa"/>
            <w:vAlign w:val="bottom"/>
            <w:tcBorders>
              <w:top w:val="single" w:sz="8" w:color="auto"/>
              <w:bottom w:val="single" w:sz="8" w:color="auto"/>
            </w:tcBorders>
            <w:shd w:val="clear" w:color="auto" w:fill="D8D8D8"/>
          </w:tcPr>
          <w:p>
            <w:pPr>
              <w:jc w:val="right"/>
              <w:ind w:right="119"/>
              <w:spacing w:after="0"/>
              <w:rPr>
                <w:sz w:val="20"/>
                <w:szCs w:val="20"/>
                <w:color w:val="auto"/>
              </w:rPr>
            </w:pPr>
            <w:r>
              <w:rPr>
                <w:rFonts w:ascii="Arial" w:cs="Arial" w:eastAsia="Arial" w:hAnsi="Arial"/>
                <w:sz w:val="16"/>
                <w:szCs w:val="16"/>
                <w:color w:val="auto"/>
              </w:rPr>
              <w:t>% Change</w:t>
            </w:r>
          </w:p>
        </w:tc>
        <w:tc>
          <w:tcPr>
            <w:tcW w:w="100" w:type="dxa"/>
            <w:vAlign w:val="bottom"/>
            <w:tcBorders>
              <w:top w:val="single" w:sz="8" w:color="D8D8D8"/>
              <w:bottom w:val="single" w:sz="8" w:color="auto"/>
            </w:tcBorders>
            <w:shd w:val="clear" w:color="auto" w:fill="D8D8D8"/>
          </w:tcPr>
          <w:p>
            <w:pPr>
              <w:spacing w:after="0"/>
              <w:rPr>
                <w:sz w:val="18"/>
                <w:szCs w:val="18"/>
                <w:color w:val="auto"/>
              </w:rPr>
            </w:pP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780" w:type="dxa"/>
            <w:vAlign w:val="bottom"/>
            <w:tcBorders>
              <w:top w:val="single" w:sz="8" w:color="auto"/>
              <w:bottom w:val="single" w:sz="8" w:color="auto"/>
            </w:tcBorders>
            <w:shd w:val="clear" w:color="auto" w:fill="D8D8D8"/>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top w:val="single" w:sz="8" w:color="auto"/>
              <w:bottom w:val="single" w:sz="8" w:color="auto"/>
            </w:tcBorders>
            <w:shd w:val="clear" w:color="auto" w:fill="D8D8D8"/>
          </w:tcPr>
          <w:p>
            <w:pPr>
              <w:spacing w:after="0"/>
              <w:rPr>
                <w:sz w:val="18"/>
                <w:szCs w:val="18"/>
                <w:color w:val="auto"/>
              </w:rPr>
            </w:pPr>
          </w:p>
        </w:tc>
        <w:tc>
          <w:tcPr>
            <w:tcW w:w="780" w:type="dxa"/>
            <w:vAlign w:val="bottom"/>
            <w:tcBorders>
              <w:top w:val="single" w:sz="8" w:color="auto"/>
              <w:bottom w:val="single" w:sz="8" w:color="auto"/>
            </w:tcBorders>
            <w:shd w:val="clear" w:color="auto" w:fill="D8D8D8"/>
          </w:tcPr>
          <w:p>
            <w:pPr>
              <w:jc w:val="right"/>
              <w:ind w:right="239"/>
              <w:spacing w:after="0"/>
              <w:rPr>
                <w:sz w:val="20"/>
                <w:szCs w:val="20"/>
                <w:color w:val="auto"/>
              </w:rPr>
            </w:pPr>
            <w:r>
              <w:rPr>
                <w:rFonts w:ascii="Arial" w:cs="Arial" w:eastAsia="Arial" w:hAnsi="Arial"/>
                <w:sz w:val="16"/>
                <w:szCs w:val="16"/>
                <w:color w:val="auto"/>
              </w:rPr>
              <w:t>2025</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940" w:type="dxa"/>
            <w:vAlign w:val="bottom"/>
            <w:tcBorders>
              <w:top w:val="single" w:sz="8" w:color="auto"/>
              <w:bottom w:val="single" w:sz="8" w:color="auto"/>
            </w:tcBorders>
            <w:shd w:val="clear" w:color="auto" w:fill="D8D8D8"/>
          </w:tcPr>
          <w:p>
            <w:pPr>
              <w:jc w:val="right"/>
              <w:ind w:right="139"/>
              <w:spacing w:after="0"/>
              <w:rPr>
                <w:sz w:val="20"/>
                <w:szCs w:val="20"/>
                <w:color w:val="auto"/>
              </w:rPr>
            </w:pPr>
            <w:r>
              <w:rPr>
                <w:rFonts w:ascii="Arial" w:cs="Arial" w:eastAsia="Arial" w:hAnsi="Arial"/>
                <w:sz w:val="16"/>
                <w:szCs w:val="16"/>
                <w:color w:val="auto"/>
              </w:rPr>
              <w:t>$ Change</w:t>
            </w:r>
          </w:p>
        </w:tc>
        <w:tc>
          <w:tcPr>
            <w:tcW w:w="1060" w:type="dxa"/>
            <w:vAlign w:val="bottom"/>
            <w:tcBorders>
              <w:top w:val="single" w:sz="8" w:color="auto"/>
              <w:bottom w:val="single" w:sz="8" w:color="auto"/>
            </w:tcBorders>
            <w:shd w:val="clear" w:color="auto" w:fill="D8D8D8"/>
          </w:tcPr>
          <w:p>
            <w:pPr>
              <w:jc w:val="right"/>
              <w:ind w:right="119"/>
              <w:spacing w:after="0"/>
              <w:rPr>
                <w:sz w:val="20"/>
                <w:szCs w:val="20"/>
                <w:color w:val="auto"/>
              </w:rPr>
            </w:pPr>
            <w:r>
              <w:rPr>
                <w:rFonts w:ascii="Arial" w:cs="Arial" w:eastAsia="Arial" w:hAnsi="Arial"/>
                <w:sz w:val="16"/>
                <w:szCs w:val="16"/>
                <w:color w:val="auto"/>
              </w:rPr>
              <w:t>% Change</w:t>
            </w: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Office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38,831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34,030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4,801</w:t>
            </w:r>
          </w:p>
        </w:tc>
        <w:tc>
          <w:tcPr>
            <w:tcW w:w="10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108,708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102,092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6,616</w:t>
            </w:r>
          </w:p>
        </w:tc>
        <w:tc>
          <w:tcPr>
            <w:tcW w:w="106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color w:val="auto"/>
              </w:rPr>
              <w:t>Retail</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14,175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13,698</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477</w:t>
            </w:r>
          </w:p>
        </w:tc>
        <w:tc>
          <w:tcPr>
            <w:tcW w:w="106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42,029</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40,902</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1,127</w:t>
            </w:r>
          </w:p>
        </w:tc>
        <w:tc>
          <w:tcPr>
            <w:tcW w:w="106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color w:val="auto"/>
              </w:rPr>
              <w:t>Multifamily</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15,983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14,419</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1,564</w:t>
            </w:r>
          </w:p>
        </w:tc>
        <w:tc>
          <w:tcPr>
            <w:tcW w:w="106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46,238</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43,678</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2,560</w:t>
            </w:r>
          </w:p>
        </w:tc>
        <w:tc>
          <w:tcPr>
            <w:tcW w:w="106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1,838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1,621</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217</w:t>
            </w:r>
          </w:p>
        </w:tc>
        <w:tc>
          <w:tcPr>
            <w:tcW w:w="10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5,246</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4,594</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652</w:t>
            </w:r>
          </w:p>
        </w:tc>
        <w:tc>
          <w:tcPr>
            <w:tcW w:w="10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Dispositions (a)</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2,964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5,178</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Assets NOI</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71,028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5,458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205,185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196,444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8,741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  Properties that were sold are shown separately for all periods presented.</w:t>
      </w:r>
    </w:p>
    <w:p>
      <w:pPr>
        <w:spacing w:after="0" w:line="24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Operating Assets NOI increased $5.5 million for the three months ended September 30, 2026, and $8.7 million for the nine months ended September 30, 2026, compared to the prior-year periods with increases across all property types primarily driven by strong leasing activity.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60" w:hanging="446"/>
        <w:spacing w:after="0"/>
        <w:tabs>
          <w:tab w:leader="none" w:pos="49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Master Planned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Segment EBT </w:t>
      </w:r>
      <w:r>
        <w:rPr>
          <w:rFonts w:ascii="Arial" w:cs="Arial" w:eastAsia="Arial" w:hAnsi="Arial"/>
          <w:sz w:val="17"/>
          <w:szCs w:val="17"/>
          <w:color w:val="000000"/>
        </w:rPr>
        <w:t>The following table presents segment EBT for MPC: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Borders>
              <w:top w:val="single" w:sz="8" w:color="auto"/>
            </w:tcBorders>
            <w:shd w:val="clear" w:color="auto" w:fill="D8D8D8"/>
          </w:tcPr>
          <w:p>
            <w:pPr>
              <w:spacing w:after="0"/>
              <w:rPr>
                <w:sz w:val="19"/>
                <w:szCs w:val="19"/>
                <w:color w:val="auto"/>
              </w:rPr>
            </w:pPr>
          </w:p>
        </w:tc>
        <w:tc>
          <w:tcPr>
            <w:tcW w:w="200" w:type="dxa"/>
            <w:vAlign w:val="bottom"/>
            <w:tcBorders>
              <w:top w:val="single" w:sz="8" w:color="auto"/>
            </w:tcBorders>
            <w:shd w:val="clear" w:color="auto" w:fill="D8D8D8"/>
          </w:tcPr>
          <w:p>
            <w:pPr>
              <w:spacing w:after="0"/>
              <w:rPr>
                <w:sz w:val="19"/>
                <w:szCs w:val="19"/>
                <w:color w:val="auto"/>
              </w:rPr>
            </w:pPr>
          </w:p>
        </w:tc>
        <w:tc>
          <w:tcPr>
            <w:tcW w:w="3780" w:type="dxa"/>
            <w:vAlign w:val="bottom"/>
            <w:tcBorders>
              <w:top w:val="single" w:sz="8" w:color="auto"/>
            </w:tcBorders>
            <w:gridSpan w:val="7"/>
            <w:shd w:val="clear" w:color="auto" w:fill="D8D8D8"/>
          </w:tcPr>
          <w:p>
            <w:pPr>
              <w:jc w:val="center"/>
              <w:ind w:right="30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Borders>
              <w:top w:val="single" w:sz="8" w:color="auto"/>
            </w:tcBorders>
            <w:shd w:val="clear" w:color="auto" w:fill="D8D8D8"/>
          </w:tcPr>
          <w:p>
            <w:pPr>
              <w:spacing w:after="0"/>
              <w:rPr>
                <w:sz w:val="19"/>
                <w:szCs w:val="19"/>
                <w:color w:val="auto"/>
              </w:rPr>
            </w:pPr>
          </w:p>
        </w:tc>
        <w:tc>
          <w:tcPr>
            <w:tcW w:w="3560" w:type="dxa"/>
            <w:vAlign w:val="bottom"/>
            <w:tcBorders>
              <w:top w:val="single" w:sz="8" w:color="auto"/>
            </w:tcBorders>
            <w:gridSpan w:val="6"/>
            <w:shd w:val="clear" w:color="auto" w:fill="D8D8D8"/>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54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740" w:type="dxa"/>
            <w:vAlign w:val="bottom"/>
            <w:tcBorders>
              <w:top w:val="single" w:sz="8" w:color="auto"/>
              <w:bottom w:val="single" w:sz="8" w:color="auto"/>
            </w:tcBorders>
            <w:shd w:val="clear" w:color="auto" w:fill="D8D8D8"/>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760" w:type="dxa"/>
            <w:vAlign w:val="bottom"/>
            <w:tcBorders>
              <w:top w:val="single" w:sz="8" w:color="auto"/>
              <w:bottom w:val="single" w:sz="8" w:color="auto"/>
            </w:tcBorders>
            <w:shd w:val="clear" w:color="auto" w:fill="D8D8D8"/>
          </w:tcPr>
          <w:p>
            <w:pPr>
              <w:jc w:val="right"/>
              <w:ind w:right="219"/>
              <w:spacing w:after="0"/>
              <w:rPr>
                <w:sz w:val="20"/>
                <w:szCs w:val="20"/>
                <w:color w:val="auto"/>
              </w:rPr>
            </w:pPr>
            <w:r>
              <w:rPr>
                <w:rFonts w:ascii="Arial" w:cs="Arial" w:eastAsia="Arial" w:hAnsi="Arial"/>
                <w:sz w:val="16"/>
                <w:szCs w:val="16"/>
                <w:color w:val="auto"/>
              </w:rPr>
              <w:t>2025</w:t>
            </w:r>
          </w:p>
        </w:tc>
        <w:tc>
          <w:tcPr>
            <w:tcW w:w="140" w:type="dxa"/>
            <w:vAlign w:val="bottom"/>
            <w:tcBorders>
              <w:top w:val="single" w:sz="8" w:color="auto"/>
              <w:bottom w:val="single" w:sz="8" w:color="auto"/>
            </w:tcBorders>
            <w:shd w:val="clear" w:color="auto" w:fill="D8D8D8"/>
          </w:tcPr>
          <w:p>
            <w:pPr>
              <w:spacing w:after="0"/>
              <w:rPr>
                <w:sz w:val="18"/>
                <w:szCs w:val="18"/>
                <w:color w:val="auto"/>
              </w:rPr>
            </w:pPr>
          </w:p>
        </w:tc>
        <w:tc>
          <w:tcPr>
            <w:tcW w:w="940" w:type="dxa"/>
            <w:vAlign w:val="bottom"/>
            <w:tcBorders>
              <w:top w:val="single" w:sz="8" w:color="auto"/>
              <w:bottom w:val="single" w:sz="8" w:color="auto"/>
            </w:tcBorders>
            <w:shd w:val="clear" w:color="auto" w:fill="D8D8D8"/>
          </w:tcPr>
          <w:p>
            <w:pPr>
              <w:jc w:val="right"/>
              <w:ind w:right="119"/>
              <w:spacing w:after="0"/>
              <w:rPr>
                <w:sz w:val="20"/>
                <w:szCs w:val="20"/>
                <w:color w:val="auto"/>
              </w:rPr>
            </w:pPr>
            <w:r>
              <w:rPr>
                <w:rFonts w:ascii="Arial" w:cs="Arial" w:eastAsia="Arial" w:hAnsi="Arial"/>
                <w:sz w:val="16"/>
                <w:szCs w:val="16"/>
                <w:color w:val="auto"/>
              </w:rPr>
              <w:t>$ Change</w:t>
            </w:r>
          </w:p>
        </w:tc>
        <w:tc>
          <w:tcPr>
            <w:tcW w:w="90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 Change</w:t>
            </w:r>
          </w:p>
        </w:tc>
        <w:tc>
          <w:tcPr>
            <w:tcW w:w="100" w:type="dxa"/>
            <w:vAlign w:val="bottom"/>
            <w:tcBorders>
              <w:top w:val="single" w:sz="8" w:color="D8D8D8"/>
              <w:bottom w:val="single" w:sz="8" w:color="auto"/>
            </w:tcBorders>
            <w:shd w:val="clear" w:color="auto" w:fill="D8D8D8"/>
          </w:tcPr>
          <w:p>
            <w:pPr>
              <w:spacing w:after="0"/>
              <w:rPr>
                <w:sz w:val="18"/>
                <w:szCs w:val="18"/>
                <w:color w:val="auto"/>
              </w:rPr>
            </w:pPr>
          </w:p>
        </w:tc>
        <w:tc>
          <w:tcPr>
            <w:tcW w:w="160" w:type="dxa"/>
            <w:vAlign w:val="bottom"/>
            <w:tcBorders>
              <w:top w:val="single" w:sz="8" w:color="auto"/>
              <w:bottom w:val="single" w:sz="8" w:color="auto"/>
            </w:tcBorders>
            <w:shd w:val="clear" w:color="auto" w:fill="D8D8D8"/>
          </w:tcPr>
          <w:p>
            <w:pPr>
              <w:spacing w:after="0"/>
              <w:rPr>
                <w:sz w:val="18"/>
                <w:szCs w:val="18"/>
                <w:color w:val="auto"/>
              </w:rPr>
            </w:pPr>
          </w:p>
        </w:tc>
        <w:tc>
          <w:tcPr>
            <w:tcW w:w="780" w:type="dxa"/>
            <w:vAlign w:val="bottom"/>
            <w:tcBorders>
              <w:top w:val="single" w:sz="8" w:color="auto"/>
              <w:bottom w:val="single" w:sz="8" w:color="auto"/>
            </w:tcBorders>
            <w:shd w:val="clear" w:color="auto" w:fill="D8D8D8"/>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top w:val="single" w:sz="8" w:color="auto"/>
              <w:bottom w:val="single" w:sz="8" w:color="auto"/>
            </w:tcBorders>
            <w:shd w:val="clear" w:color="auto" w:fill="D8D8D8"/>
          </w:tcPr>
          <w:p>
            <w:pPr>
              <w:spacing w:after="0"/>
              <w:rPr>
                <w:sz w:val="18"/>
                <w:szCs w:val="18"/>
                <w:color w:val="auto"/>
              </w:rPr>
            </w:pPr>
          </w:p>
        </w:tc>
        <w:tc>
          <w:tcPr>
            <w:tcW w:w="780" w:type="dxa"/>
            <w:vAlign w:val="bottom"/>
            <w:tcBorders>
              <w:top w:val="single" w:sz="8" w:color="auto"/>
              <w:bottom w:val="single" w:sz="8" w:color="auto"/>
            </w:tcBorders>
            <w:shd w:val="clear" w:color="auto" w:fill="D8D8D8"/>
          </w:tcPr>
          <w:p>
            <w:pPr>
              <w:jc w:val="right"/>
              <w:ind w:right="199"/>
              <w:spacing w:after="0"/>
              <w:rPr>
                <w:sz w:val="20"/>
                <w:szCs w:val="20"/>
                <w:color w:val="auto"/>
              </w:rPr>
            </w:pPr>
            <w:r>
              <w:rPr>
                <w:rFonts w:ascii="Arial" w:cs="Arial" w:eastAsia="Arial" w:hAnsi="Arial"/>
                <w:sz w:val="16"/>
                <w:szCs w:val="16"/>
                <w:color w:val="auto"/>
              </w:rPr>
              <w:t>2025</w:t>
            </w:r>
          </w:p>
        </w:tc>
        <w:tc>
          <w:tcPr>
            <w:tcW w:w="22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D8D8D8"/>
          </w:tcPr>
          <w:p>
            <w:pPr>
              <w:jc w:val="right"/>
              <w:ind w:right="59"/>
              <w:spacing w:after="0"/>
              <w:rPr>
                <w:sz w:val="20"/>
                <w:szCs w:val="20"/>
                <w:color w:val="auto"/>
              </w:rPr>
            </w:pPr>
            <w:r>
              <w:rPr>
                <w:rFonts w:ascii="Arial" w:cs="Arial" w:eastAsia="Arial" w:hAnsi="Arial"/>
                <w:sz w:val="16"/>
                <w:szCs w:val="16"/>
                <w:color w:val="auto"/>
                <w:w w:val="99"/>
              </w:rPr>
              <w:t>Change</w:t>
            </w:r>
          </w:p>
        </w:tc>
        <w:tc>
          <w:tcPr>
            <w:tcW w:w="90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 Change</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6"/>
                <w:szCs w:val="16"/>
                <w:color w:val="auto"/>
              </w:rPr>
              <w:t>Master Planned Communities land sales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133,657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248,467</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(114,810)</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404,166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445,150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(40,984)</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Builder price participation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11,366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16,012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(4,646)</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26,916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39,437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(12,521)</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7,096</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12,764</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149,825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271,575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(121,750)</w:t>
            </w: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443,846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499,730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(55,884)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71"/>
        </w:trPr>
        <w:tc>
          <w:tcPr>
            <w:tcW w:w="3540" w:type="dxa"/>
            <w:vAlign w:val="bottom"/>
          </w:tcPr>
          <w:p>
            <w:pPr>
              <w:ind w:left="20"/>
              <w:spacing w:after="0"/>
              <w:rPr>
                <w:sz w:val="20"/>
                <w:szCs w:val="20"/>
                <w:color w:val="auto"/>
              </w:rPr>
            </w:pPr>
            <w:r>
              <w:rPr>
                <w:rFonts w:ascii="Arial" w:cs="Arial" w:eastAsia="Arial" w:hAnsi="Arial"/>
                <w:sz w:val="16"/>
                <w:szCs w:val="16"/>
                <w:color w:val="auto"/>
              </w:rPr>
              <w:t>Master Planned Communities cost of sales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(46,242)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(78,280)</w:t>
            </w:r>
          </w:p>
        </w:tc>
        <w:tc>
          <w:tcPr>
            <w:tcW w:w="1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32,038</w:t>
            </w:r>
          </w:p>
        </w:tc>
        <w:tc>
          <w:tcPr>
            <w:tcW w:w="90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(140,041)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(148,672)</w:t>
            </w:r>
          </w:p>
        </w:tc>
        <w:tc>
          <w:tcPr>
            <w:tcW w:w="22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8,631</w:t>
            </w:r>
          </w:p>
        </w:tc>
        <w:tc>
          <w:tcPr>
            <w:tcW w:w="90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costs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(16,197)</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(4,892)</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(11,305)</w:t>
            </w:r>
          </w:p>
        </w:tc>
        <w:tc>
          <w:tcPr>
            <w:tcW w:w="100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(40,665)</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(30,399)</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(62,439)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(83,172)</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20,733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(180,706)</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(179,071)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 (loss)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87,386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188,403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(101,017)</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263,140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320,659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(57,519)</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w:t>
            </w:r>
          </w:p>
        </w:tc>
        <w:tc>
          <w:tcPr>
            <w:tcW w:w="9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(441)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24,366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19,414</w:t>
            </w:r>
          </w:p>
        </w:tc>
        <w:tc>
          <w:tcPr>
            <w:tcW w:w="14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4,952</w:t>
            </w:r>
          </w:p>
        </w:tc>
        <w:tc>
          <w:tcPr>
            <w:tcW w:w="90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70,090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54,307</w:t>
            </w:r>
          </w:p>
        </w:tc>
        <w:tc>
          <w:tcPr>
            <w:tcW w:w="22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15,783</w:t>
            </w:r>
          </w:p>
        </w:tc>
        <w:tc>
          <w:tcPr>
            <w:tcW w:w="90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1,860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1,806</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3"/>
        </w:trPr>
        <w:tc>
          <w:tcPr>
            <w:tcW w:w="3540" w:type="dxa"/>
            <w:vAlign w:val="bottom"/>
          </w:tcPr>
          <w:p>
            <w:pPr>
              <w:ind w:left="20"/>
              <w:spacing w:after="0" w:line="163" w:lineRule="exact"/>
              <w:rPr>
                <w:sz w:val="20"/>
                <w:szCs w:val="20"/>
                <w:color w:val="auto"/>
              </w:rPr>
            </w:pPr>
            <w:r>
              <w:rPr>
                <w:rFonts w:ascii="Arial" w:cs="Arial" w:eastAsia="Arial" w:hAnsi="Arial"/>
                <w:sz w:val="16"/>
                <w:szCs w:val="16"/>
                <w:color w:val="auto"/>
              </w:rPr>
              <w:t>Equity in earnings (losses) from unconsolidated</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(22,010)</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(2,721)</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(19,289)</w:t>
            </w:r>
          </w:p>
        </w:tc>
        <w:tc>
          <w:tcPr>
            <w:tcW w:w="1000" w:type="dxa"/>
            <w:vAlign w:val="bottom"/>
            <w:gridSpan w:val="2"/>
            <w:vMerge w:val="restart"/>
          </w:tcPr>
          <w:p>
            <w:pPr>
              <w:ind w:left="6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(26,114)</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(7,780)</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(18,334)</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ventures</w:t>
            </w: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tcPr>
          <w:p>
            <w:pPr>
              <w:ind w:left="20"/>
              <w:spacing w:after="0" w:line="163" w:lineRule="exact"/>
              <w:rPr>
                <w:sz w:val="20"/>
                <w:szCs w:val="20"/>
                <w:color w:val="auto"/>
              </w:rPr>
            </w:pPr>
            <w:r>
              <w:rPr>
                <w:rFonts w:ascii="Arial" w:cs="Arial" w:eastAsia="Arial" w:hAnsi="Arial"/>
                <w:sz w:val="16"/>
                <w:szCs w:val="16"/>
                <w:color w:val="auto"/>
              </w:rPr>
              <w:t>Gain (loss) on sale or disposal of real estate and</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ind w:left="6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3,750</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(3,750)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 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89,476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205,005</w:t>
            </w: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(115,529)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308,535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370,681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(62,146)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MPC segment EBT by MPC: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Borders>
              <w:top w:val="single" w:sz="8" w:color="auto"/>
            </w:tcBorders>
            <w:shd w:val="clear" w:color="auto" w:fill="D8D8D8"/>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4120" w:type="dxa"/>
            <w:vAlign w:val="bottom"/>
            <w:tcBorders>
              <w:top w:val="single" w:sz="8" w:color="auto"/>
            </w:tcBorders>
            <w:gridSpan w:val="7"/>
            <w:shd w:val="clear" w:color="auto" w:fill="DBDBDB"/>
          </w:tcPr>
          <w:p>
            <w:pPr>
              <w:jc w:val="center"/>
              <w:ind w:right="2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top w:val="single" w:sz="8" w:color="auto"/>
            </w:tcBorders>
            <w:shd w:val="clear" w:color="auto" w:fill="DBDBDB"/>
          </w:tcPr>
          <w:p>
            <w:pPr>
              <w:spacing w:after="0"/>
              <w:rPr>
                <w:sz w:val="19"/>
                <w:szCs w:val="19"/>
                <w:color w:val="auto"/>
              </w:rPr>
            </w:pPr>
          </w:p>
        </w:tc>
        <w:tc>
          <w:tcPr>
            <w:tcW w:w="4000" w:type="dxa"/>
            <w:vAlign w:val="bottom"/>
            <w:tcBorders>
              <w:top w:val="single" w:sz="8" w:color="auto"/>
            </w:tcBorders>
            <w:gridSpan w:val="6"/>
            <w:shd w:val="clear" w:color="auto" w:fill="DBDBDB"/>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272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200" w:type="dxa"/>
            <w:vAlign w:val="bottom"/>
            <w:tcBorders>
              <w:top w:val="single" w:sz="8" w:color="auto"/>
              <w:bottom w:val="single" w:sz="8" w:color="auto"/>
            </w:tcBorders>
            <w:shd w:val="clear" w:color="auto" w:fill="DBDBDB"/>
          </w:tcPr>
          <w:p>
            <w:pPr>
              <w:spacing w:after="0"/>
              <w:rPr>
                <w:sz w:val="18"/>
                <w:szCs w:val="18"/>
                <w:color w:val="auto"/>
              </w:rPr>
            </w:pPr>
          </w:p>
        </w:tc>
        <w:tc>
          <w:tcPr>
            <w:tcW w:w="780" w:type="dxa"/>
            <w:vAlign w:val="bottom"/>
            <w:tcBorders>
              <w:top w:val="single" w:sz="8" w:color="auto"/>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bottom w:val="single" w:sz="8" w:color="auto"/>
            </w:tcBorders>
            <w:shd w:val="clear" w:color="auto" w:fill="DBDBDB"/>
          </w:tcPr>
          <w:p>
            <w:pPr>
              <w:spacing w:after="0"/>
              <w:rPr>
                <w:sz w:val="18"/>
                <w:szCs w:val="18"/>
                <w:color w:val="auto"/>
              </w:rPr>
            </w:pPr>
          </w:p>
        </w:tc>
        <w:tc>
          <w:tcPr>
            <w:tcW w:w="800" w:type="dxa"/>
            <w:vAlign w:val="bottom"/>
            <w:tcBorders>
              <w:top w:val="single" w:sz="8" w:color="auto"/>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rPr>
              <w:t>2025</w:t>
            </w:r>
          </w:p>
        </w:tc>
        <w:tc>
          <w:tcPr>
            <w:tcW w:w="180" w:type="dxa"/>
            <w:vAlign w:val="bottom"/>
            <w:tcBorders>
              <w:top w:val="single" w:sz="8" w:color="auto"/>
              <w:bottom w:val="single" w:sz="8" w:color="auto"/>
            </w:tcBorders>
            <w:shd w:val="clear" w:color="auto" w:fill="DBDBDB"/>
          </w:tcPr>
          <w:p>
            <w:pPr>
              <w:spacing w:after="0"/>
              <w:rPr>
                <w:sz w:val="18"/>
                <w:szCs w:val="18"/>
                <w:color w:val="auto"/>
              </w:rPr>
            </w:pPr>
          </w:p>
        </w:tc>
        <w:tc>
          <w:tcPr>
            <w:tcW w:w="980" w:type="dxa"/>
            <w:vAlign w:val="bottom"/>
            <w:tcBorders>
              <w:top w:val="single" w:sz="8" w:color="auto"/>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 Change</w:t>
            </w:r>
          </w:p>
        </w:tc>
        <w:tc>
          <w:tcPr>
            <w:tcW w:w="1040" w:type="dxa"/>
            <w:vAlign w:val="bottom"/>
            <w:tcBorders>
              <w:top w:val="single" w:sz="8" w:color="auto"/>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 Change</w:t>
            </w:r>
          </w:p>
        </w:tc>
        <w:tc>
          <w:tcPr>
            <w:tcW w:w="10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auto"/>
              <w:bottom w:val="single" w:sz="8" w:color="auto"/>
            </w:tcBorders>
            <w:shd w:val="clear" w:color="auto" w:fill="DBDBDB"/>
          </w:tcPr>
          <w:p>
            <w:pPr>
              <w:spacing w:after="0"/>
              <w:rPr>
                <w:sz w:val="18"/>
                <w:szCs w:val="18"/>
                <w:color w:val="auto"/>
              </w:rPr>
            </w:pPr>
          </w:p>
        </w:tc>
        <w:tc>
          <w:tcPr>
            <w:tcW w:w="780" w:type="dxa"/>
            <w:vAlign w:val="bottom"/>
            <w:tcBorders>
              <w:top w:val="single" w:sz="8" w:color="auto"/>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top w:val="single" w:sz="8" w:color="auto"/>
              <w:bottom w:val="single" w:sz="8" w:color="auto"/>
            </w:tcBorders>
            <w:shd w:val="clear" w:color="auto" w:fill="DBDBDB"/>
          </w:tcPr>
          <w:p>
            <w:pPr>
              <w:spacing w:after="0"/>
              <w:rPr>
                <w:sz w:val="18"/>
                <w:szCs w:val="18"/>
                <w:color w:val="auto"/>
              </w:rPr>
            </w:pPr>
          </w:p>
        </w:tc>
        <w:tc>
          <w:tcPr>
            <w:tcW w:w="780" w:type="dxa"/>
            <w:vAlign w:val="bottom"/>
            <w:tcBorders>
              <w:top w:val="single" w:sz="8" w:color="auto"/>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2025</w:t>
            </w:r>
          </w:p>
        </w:tc>
        <w:tc>
          <w:tcPr>
            <w:tcW w:w="180" w:type="dxa"/>
            <w:vAlign w:val="bottom"/>
            <w:tcBorders>
              <w:top w:val="single" w:sz="8" w:color="auto"/>
              <w:bottom w:val="single" w:sz="8" w:color="auto"/>
            </w:tcBorders>
            <w:shd w:val="clear" w:color="auto" w:fill="DBDBDB"/>
          </w:tcPr>
          <w:p>
            <w:pPr>
              <w:spacing w:after="0"/>
              <w:rPr>
                <w:sz w:val="18"/>
                <w:szCs w:val="18"/>
                <w:color w:val="auto"/>
              </w:rPr>
            </w:pPr>
          </w:p>
        </w:tc>
        <w:tc>
          <w:tcPr>
            <w:tcW w:w="940" w:type="dxa"/>
            <w:vAlign w:val="bottom"/>
            <w:tcBorders>
              <w:top w:val="single" w:sz="8" w:color="auto"/>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 Change</w:t>
            </w:r>
          </w:p>
        </w:tc>
        <w:tc>
          <w:tcPr>
            <w:tcW w:w="1060" w:type="dxa"/>
            <w:vAlign w:val="bottom"/>
            <w:tcBorders>
              <w:top w:val="single" w:sz="8" w:color="auto"/>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 Change</w:t>
            </w: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Bridgeland</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15,968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24,881</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(8,913)</w:t>
            </w: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73,946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63,044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10,902</w:t>
            </w:r>
          </w:p>
        </w:tc>
        <w:tc>
          <w:tcPr>
            <w:tcW w:w="10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Floreo (a)</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(22,008)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(637)</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(21,371)</w:t>
            </w: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(26,287)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(721)</w:t>
            </w: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(25,566)</w:t>
            </w: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Summerlin</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92,608</w:t>
            </w:r>
          </w:p>
        </w:tc>
        <w:tc>
          <w:tcPr>
            <w:tcW w:w="2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182,879</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(90,271)</w:t>
            </w: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249,917</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308,203</w:t>
            </w: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(58,286)</w:t>
            </w: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Teravalis (a)</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w:t>
            </w:r>
          </w:p>
        </w:tc>
        <w:tc>
          <w:tcPr>
            <w:tcW w:w="1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04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(988)</w:t>
            </w: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The Woodlands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(1,637)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(2,663)</w:t>
            </w:r>
          </w:p>
        </w:tc>
        <w:tc>
          <w:tcPr>
            <w:tcW w:w="1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1,026</w:t>
            </w:r>
          </w:p>
        </w:tc>
        <w:tc>
          <w:tcPr>
            <w:tcW w:w="104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(785)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(3,750)</w:t>
            </w:r>
          </w:p>
        </w:tc>
        <w:tc>
          <w:tcPr>
            <w:tcW w:w="1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2,965</w:t>
            </w:r>
          </w:p>
        </w:tc>
        <w:tc>
          <w:tcPr>
            <w:tcW w:w="106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17"/>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 Woodlands Hills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4,808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883</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3,925</w:t>
            </w:r>
          </w:p>
        </w:tc>
        <w:tc>
          <w:tcPr>
            <w:tcW w:w="1140" w:type="dxa"/>
            <w:vAlign w:val="bottom"/>
            <w:tcBorders>
              <w:bottom w:val="single" w:sz="8" w:color="auto"/>
            </w:tcBorders>
            <w:gridSpan w:val="2"/>
          </w:tcPr>
          <w:p>
            <w:pPr>
              <w:ind w:left="78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12,767</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4,893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7,874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161 %</w:t>
            </w:r>
          </w:p>
        </w:tc>
      </w:tr>
      <w:tr>
        <w:trPr>
          <w:trHeight w:val="21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 EBT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89,476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205,005</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(115,529)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308,535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370,681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(62,146)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bl>
    <w:p>
      <w:pPr>
        <w:spacing w:after="0" w:line="107" w:lineRule="exact"/>
        <w:rPr>
          <w:sz w:val="20"/>
          <w:szCs w:val="20"/>
          <w:color w:val="auto"/>
        </w:rPr>
      </w:pPr>
    </w:p>
    <w:p>
      <w:pPr>
        <w:jc w:val="both"/>
        <w:ind w:left="340" w:hanging="332"/>
        <w:spacing w:after="0" w:line="271" w:lineRule="auto"/>
        <w:tabs>
          <w:tab w:leader="none" w:pos="3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Certain amounts related to Floreo previously disclosed under the Teravalis MPC have been recast for all periods presented to reflect Floreo as a separate, comparative line item following the consolidation of Floreo in July 2026. Floreo EBT activity for the periods presented includes the Company’s share of equity earnings prior to consolidation and 100% of Floreo EBT post consolidation. Refer to Note 10 - </w:t>
      </w:r>
      <w:r>
        <w:rPr>
          <w:rFonts w:ascii="Arial" w:cs="Arial" w:eastAsia="Arial" w:hAnsi="Arial"/>
          <w:sz w:val="16"/>
          <w:szCs w:val="16"/>
          <w:i w:val="1"/>
          <w:iCs w:val="1"/>
          <w:color w:val="auto"/>
        </w:rPr>
        <w:t>Acquisitions and Dispositions of Real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Estate Assets </w:t>
      </w:r>
      <w:r>
        <w:rPr>
          <w:rFonts w:ascii="Arial" w:cs="Arial" w:eastAsia="Arial" w:hAnsi="Arial"/>
          <w:sz w:val="16"/>
          <w:szCs w:val="16"/>
          <w:color w:val="auto"/>
        </w:rPr>
        <w:t>in the Notes to Condensed Consolidated Financial Statements under Item 1 of this Quarterly Report for additional information.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three months ended September 30, 2026: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MPC segment EBT decreased $115.5 million compared to the prior-year period primarily due to the following:</w:t>
      </w:r>
    </w:p>
    <w:p>
      <w:pPr>
        <w:spacing w:after="0" w:line="23" w:lineRule="exact"/>
        <w:rPr>
          <w:sz w:val="20"/>
          <w:szCs w:val="20"/>
          <w:color w:val="auto"/>
        </w:rPr>
      </w:pPr>
    </w:p>
    <w:p>
      <w:pPr>
        <w:ind w:left="660" w:hanging="324"/>
        <w:spacing w:after="0" w:line="250" w:lineRule="auto"/>
        <w:rPr>
          <w:sz w:val="20"/>
          <w:szCs w:val="20"/>
          <w:color w:val="auto"/>
        </w:rPr>
      </w:pPr>
      <w:r>
        <w:rPr>
          <w:rFonts w:ascii="Arial" w:cs="Arial" w:eastAsia="Arial" w:hAnsi="Arial"/>
          <w:sz w:val="17"/>
          <w:szCs w:val="17"/>
          <w:color w:val="auto"/>
        </w:rPr>
        <w:t>– MPC sales, net of MPC cost of sales decreased $82.8 million primarily due to a decrease in residential MPC land sales closed in Summerlin and Bridgeland. These decreases were partially offset by increases related to changes in deferred revenue, net of associated deferred costs, and SID bond assumptions in Summerlin as well as an increase in residential MPC land sales closed in The Woodlands Hills. See the Master Planned Communities Land Sales and Residential and Commercial Land Sales Closed tables below for additional information on land sales activity in the period.</w:t>
      </w:r>
    </w:p>
    <w:p>
      <w:pPr>
        <w:ind w:left="660" w:hanging="324"/>
        <w:spacing w:after="0" w:line="257" w:lineRule="auto"/>
        <w:rPr>
          <w:sz w:val="20"/>
          <w:szCs w:val="20"/>
          <w:color w:val="auto"/>
        </w:rPr>
      </w:pPr>
      <w:r>
        <w:rPr>
          <w:rFonts w:ascii="Arial" w:cs="Arial" w:eastAsia="Arial" w:hAnsi="Arial"/>
          <w:sz w:val="17"/>
          <w:szCs w:val="17"/>
          <w:color w:val="auto"/>
        </w:rPr>
        <w:t xml:space="preserve">– Equity earnings decreased $19.3 million primarily due to the recognition of a $19.4 million loss upon remeasurement of the Floreo equity method investment to its acquisition-date fair value immediately prior to consolidation. Refer to Note 10 - </w:t>
      </w:r>
      <w:r>
        <w:rPr>
          <w:rFonts w:ascii="Arial" w:cs="Arial" w:eastAsia="Arial" w:hAnsi="Arial"/>
          <w:sz w:val="17"/>
          <w:szCs w:val="17"/>
          <w:i w:val="1"/>
          <w:iCs w:val="1"/>
          <w:color w:val="auto"/>
        </w:rPr>
        <w:t>Acquisitions and Dispositions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Real Estate Assets </w:t>
      </w:r>
      <w:r>
        <w:rPr>
          <w:rFonts w:ascii="Arial" w:cs="Arial" w:eastAsia="Arial" w:hAnsi="Arial"/>
          <w:sz w:val="17"/>
          <w:szCs w:val="17"/>
          <w:color w:val="auto"/>
        </w:rPr>
        <w:t>in the Notes to Condensed Consolidated Financial Statements under Item 1 of this Quarterly Report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4960" w:hanging="446"/>
        <w:spacing w:after="0"/>
        <w:tabs>
          <w:tab w:leader="none" w:pos="496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8" w:name="page59"/>
    <w:bookmarkEnd w:id="58"/>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ind w:left="660" w:hanging="324"/>
        <w:spacing w:after="0" w:line="301" w:lineRule="auto"/>
        <w:rPr>
          <w:sz w:val="20"/>
          <w:szCs w:val="20"/>
          <w:color w:val="auto"/>
        </w:rPr>
      </w:pPr>
      <w:r>
        <w:rPr>
          <w:rFonts w:ascii="Arial" w:cs="Arial" w:eastAsia="Arial" w:hAnsi="Arial"/>
          <w:sz w:val="17"/>
          <w:szCs w:val="17"/>
          <w:color w:val="auto"/>
        </w:rPr>
        <w:t>– Operating costs increased $11.3 million primarily due to higher real estate taxes in Bridgeland and Summerlin, as well as higher allocated overhead costs, including additional operating expenses following the Floreo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nine months ended September 30, 2026: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MPC segment EBT decreased $62.1 million compared to the prior-year period primarily due to the following:</w:t>
      </w:r>
    </w:p>
    <w:p>
      <w:pPr>
        <w:spacing w:after="0" w:line="23"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MPC sales, net of MPC cost of sales decreased $32.4 million primarily due to a decrease in residential MPC land sales closed in Summerlin. This decrease was partially offset by increases related to changes in deferred revenue, net of associated deferred costs, and SID bond assumptions in Summerlin, as well as increases in residential MPC land sales closed in The Woodlands Hills and Bridgeland, and in commercial MPC land sales closed in The Woodlands and Bridgeland.</w:t>
      </w:r>
    </w:p>
    <w:p>
      <w:pPr>
        <w:spacing w:after="0" w:line="2"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Equity earnings decreased $18.3 million primarily due to the recognition of a $19.4 million loss upon remeasurement of the Floreo equity method investment to its acquisition-date fair value immediately prior to consolidation.</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Builder price participation decreased $12.5 million as fewer homes were closed with sales prices over the predetermined breakpoint necessary for participation revenue, primarily in Summerlin and Bridgeland.</w:t>
      </w:r>
    </w:p>
    <w:p>
      <w:pPr>
        <w:ind w:left="660" w:right="20" w:hanging="324"/>
        <w:spacing w:after="0" w:line="253" w:lineRule="auto"/>
        <w:rPr>
          <w:sz w:val="20"/>
          <w:szCs w:val="20"/>
          <w:color w:val="auto"/>
        </w:rPr>
      </w:pPr>
      <w:r>
        <w:rPr>
          <w:rFonts w:ascii="Arial" w:cs="Arial" w:eastAsia="Arial" w:hAnsi="Arial"/>
          <w:sz w:val="17"/>
          <w:szCs w:val="17"/>
          <w:color w:val="auto"/>
        </w:rPr>
        <w:t>– Operating costs increased $10.3 million primarily due to higher real estate taxes in Bridgeland and Summerlin, as well as higher allocated overhead costs, including additional operating expenses following the Floreo consolidation.</w:t>
      </w:r>
    </w:p>
    <w:p>
      <w:pPr>
        <w:ind w:left="660" w:hanging="324"/>
        <w:spacing w:after="0" w:line="264" w:lineRule="auto"/>
        <w:rPr>
          <w:sz w:val="20"/>
          <w:szCs w:val="20"/>
          <w:color w:val="auto"/>
        </w:rPr>
      </w:pPr>
      <w:r>
        <w:rPr>
          <w:rFonts w:ascii="Arial" w:cs="Arial" w:eastAsia="Arial" w:hAnsi="Arial"/>
          <w:sz w:val="17"/>
          <w:szCs w:val="17"/>
          <w:color w:val="auto"/>
        </w:rPr>
        <w:t>– Interest income increased $15.8 million primarily due to increased investment in ongoing development in Summerlin and Bridgeland, which increased capitalized interest, as well as higher interest earned on money market dividends.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00497F"/>
        </w:rPr>
        <w:t xml:space="preserve">Master Planned Communities Land Sales </w:t>
      </w:r>
      <w:r>
        <w:rPr>
          <w:rFonts w:ascii="Arial" w:cs="Arial" w:eastAsia="Arial" w:hAnsi="Arial"/>
          <w:sz w:val="17"/>
          <w:szCs w:val="17"/>
          <w:color w:val="000000"/>
        </w:rPr>
        <w:t>The following table presents the detail of MPC land sales recognized for the three and nine months</w:t>
      </w:r>
      <w:r>
        <w:rPr>
          <w:rFonts w:ascii="Arial" w:cs="Arial" w:eastAsia="Arial" w:hAnsi="Arial"/>
          <w:sz w:val="17"/>
          <w:szCs w:val="17"/>
          <w:b w:val="1"/>
          <w:bCs w:val="1"/>
          <w:color w:val="00497F"/>
        </w:rPr>
        <w:t xml:space="preserve"> </w:t>
      </w:r>
      <w:r>
        <w:rPr>
          <w:rFonts w:ascii="Arial" w:cs="Arial" w:eastAsia="Arial" w:hAnsi="Arial"/>
          <w:sz w:val="17"/>
          <w:szCs w:val="17"/>
          <w:color w:val="000000"/>
        </w:rPr>
        <w:t>ended September 30, 2026, and 2025. Total net recognized (deferred) revenue includes revenues recognized in the current period which are related to sales closed in prior periods, offset by revenues deferred on sales closed in the current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Borders>
              <w:top w:val="single" w:sz="8" w:color="auto"/>
              <w:bottom w:val="single" w:sz="8" w:color="auto"/>
            </w:tcBorders>
            <w:vMerge w:val="restart"/>
            <w:shd w:val="clear" w:color="auto" w:fill="DBDBDB"/>
          </w:tcPr>
          <w:p>
            <w:pPr>
              <w:ind w:left="20"/>
              <w:spacing w:after="0"/>
              <w:rPr>
                <w:sz w:val="20"/>
                <w:szCs w:val="20"/>
                <w:color w:val="auto"/>
              </w:rPr>
            </w:pPr>
            <w:r>
              <w:rPr>
                <w:rFonts w:ascii="Arial" w:cs="Arial" w:eastAsia="Arial" w:hAnsi="Arial"/>
                <w:sz w:val="17"/>
                <w:szCs w:val="17"/>
                <w:color w:val="auto"/>
              </w:rPr>
              <w:t>thousands except percentages</w:t>
            </w: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3920" w:type="dxa"/>
            <w:vAlign w:val="bottom"/>
            <w:tcBorders>
              <w:top w:val="single" w:sz="8" w:color="auto"/>
              <w:bottom w:val="single" w:sz="8" w:color="auto"/>
            </w:tcBorders>
            <w:gridSpan w:val="6"/>
            <w:shd w:val="clear" w:color="auto" w:fill="DBDBDB"/>
          </w:tcPr>
          <w:p>
            <w:pPr>
              <w:jc w:val="right"/>
              <w:ind w:right="595"/>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top w:val="single" w:sz="8" w:color="auto"/>
              <w:bottom w:val="single" w:sz="8" w:color="auto"/>
            </w:tcBorders>
            <w:shd w:val="clear" w:color="auto" w:fill="DBDBDB"/>
          </w:tcPr>
          <w:p>
            <w:pPr>
              <w:spacing w:after="0"/>
              <w:rPr>
                <w:sz w:val="19"/>
                <w:szCs w:val="19"/>
                <w:color w:val="auto"/>
              </w:rPr>
            </w:pPr>
          </w:p>
        </w:tc>
        <w:tc>
          <w:tcPr>
            <w:tcW w:w="3980" w:type="dxa"/>
            <w:vAlign w:val="bottom"/>
            <w:tcBorders>
              <w:top w:val="single" w:sz="8" w:color="auto"/>
              <w:bottom w:val="single" w:sz="8" w:color="auto"/>
            </w:tcBorders>
            <w:gridSpan w:val="6"/>
            <w:shd w:val="clear" w:color="auto" w:fill="DBDBDB"/>
          </w:tcPr>
          <w:p>
            <w:pPr>
              <w:jc w:val="right"/>
              <w:ind w:right="675"/>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vMerge w:val="continue"/>
            <w:shd w:val="clear" w:color="auto" w:fill="DBDBDB"/>
          </w:tcPr>
          <w:p>
            <w:pPr>
              <w:spacing w:after="0"/>
              <w:rPr>
                <w:sz w:val="18"/>
                <w:szCs w:val="18"/>
                <w:color w:val="auto"/>
              </w:rPr>
            </w:pPr>
          </w:p>
        </w:tc>
        <w:tc>
          <w:tcPr>
            <w:tcW w:w="180" w:type="dxa"/>
            <w:vAlign w:val="bottom"/>
            <w:tcBorders>
              <w:bottom w:val="single" w:sz="8" w:color="auto"/>
            </w:tcBorders>
            <w:shd w:val="clear" w:color="auto" w:fill="D8D8D8"/>
          </w:tcPr>
          <w:p>
            <w:pPr>
              <w:spacing w:after="0"/>
              <w:rPr>
                <w:sz w:val="18"/>
                <w:szCs w:val="18"/>
                <w:color w:val="auto"/>
              </w:rPr>
            </w:pPr>
          </w:p>
        </w:tc>
        <w:tc>
          <w:tcPr>
            <w:tcW w:w="760" w:type="dxa"/>
            <w:vAlign w:val="bottom"/>
            <w:tcBorders>
              <w:bottom w:val="single" w:sz="8" w:color="auto"/>
            </w:tcBorders>
            <w:shd w:val="clear" w:color="auto" w:fill="D8D8D8"/>
          </w:tcPr>
          <w:p>
            <w:pPr>
              <w:jc w:val="right"/>
              <w:ind w:right="215"/>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shd w:val="clear" w:color="auto" w:fill="D8D8D8"/>
          </w:tcPr>
          <w:p>
            <w:pPr>
              <w:spacing w:after="0"/>
              <w:rPr>
                <w:sz w:val="18"/>
                <w:szCs w:val="18"/>
                <w:color w:val="auto"/>
              </w:rPr>
            </w:pPr>
          </w:p>
        </w:tc>
        <w:tc>
          <w:tcPr>
            <w:tcW w:w="760" w:type="dxa"/>
            <w:vAlign w:val="bottom"/>
            <w:tcBorders>
              <w:bottom w:val="single" w:sz="8" w:color="auto"/>
            </w:tcBorders>
            <w:shd w:val="clear" w:color="auto" w:fill="D8D8D8"/>
          </w:tcPr>
          <w:p>
            <w:pPr>
              <w:jc w:val="right"/>
              <w:ind w:right="215"/>
              <w:spacing w:after="0"/>
              <w:rPr>
                <w:sz w:val="20"/>
                <w:szCs w:val="20"/>
                <w:color w:val="auto"/>
              </w:rPr>
            </w:pPr>
            <w:r>
              <w:rPr>
                <w:rFonts w:ascii="Arial" w:cs="Arial" w:eastAsia="Arial" w:hAnsi="Arial"/>
                <w:sz w:val="16"/>
                <w:szCs w:val="16"/>
                <w:color w:val="auto"/>
              </w:rPr>
              <w:t>2025</w:t>
            </w:r>
          </w:p>
        </w:tc>
        <w:tc>
          <w:tcPr>
            <w:tcW w:w="140" w:type="dxa"/>
            <w:vAlign w:val="bottom"/>
            <w:tcBorders>
              <w:bottom w:val="single" w:sz="8" w:color="auto"/>
            </w:tcBorders>
            <w:shd w:val="clear" w:color="auto" w:fill="D8D8D8"/>
          </w:tcPr>
          <w:p>
            <w:pPr>
              <w:spacing w:after="0"/>
              <w:rPr>
                <w:sz w:val="18"/>
                <w:szCs w:val="18"/>
                <w:color w:val="auto"/>
              </w:rPr>
            </w:pPr>
          </w:p>
        </w:tc>
        <w:tc>
          <w:tcPr>
            <w:tcW w:w="1020" w:type="dxa"/>
            <w:vAlign w:val="bottom"/>
            <w:tcBorders>
              <w:bottom w:val="single" w:sz="8" w:color="auto"/>
            </w:tcBorders>
            <w:shd w:val="clear" w:color="auto" w:fill="D8D8D8"/>
          </w:tcPr>
          <w:p>
            <w:pPr>
              <w:jc w:val="right"/>
              <w:ind w:right="195"/>
              <w:spacing w:after="0"/>
              <w:rPr>
                <w:sz w:val="20"/>
                <w:szCs w:val="20"/>
                <w:color w:val="auto"/>
              </w:rPr>
            </w:pPr>
            <w:r>
              <w:rPr>
                <w:rFonts w:ascii="Arial" w:cs="Arial" w:eastAsia="Arial" w:hAnsi="Arial"/>
                <w:sz w:val="16"/>
                <w:szCs w:val="16"/>
                <w:color w:val="auto"/>
              </w:rPr>
              <w:t>$ Change</w:t>
            </w:r>
          </w:p>
        </w:tc>
        <w:tc>
          <w:tcPr>
            <w:tcW w:w="1060" w:type="dxa"/>
            <w:vAlign w:val="bottom"/>
            <w:tcBorders>
              <w:bottom w:val="single" w:sz="8" w:color="auto"/>
            </w:tcBorders>
            <w:shd w:val="clear" w:color="auto" w:fill="D8D8D8"/>
          </w:tcPr>
          <w:p>
            <w:pPr>
              <w:jc w:val="right"/>
              <w:ind w:right="115"/>
              <w:spacing w:after="0"/>
              <w:rPr>
                <w:sz w:val="20"/>
                <w:szCs w:val="20"/>
                <w:color w:val="auto"/>
              </w:rPr>
            </w:pPr>
            <w:r>
              <w:rPr>
                <w:rFonts w:ascii="Arial" w:cs="Arial" w:eastAsia="Arial" w:hAnsi="Arial"/>
                <w:sz w:val="16"/>
                <w:szCs w:val="16"/>
                <w:color w:val="auto"/>
              </w:rPr>
              <w:t>% Change</w:t>
            </w:r>
          </w:p>
        </w:tc>
        <w:tc>
          <w:tcPr>
            <w:tcW w:w="2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ind w:right="175"/>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ind w:left="100"/>
              <w:spacing w:after="0"/>
              <w:rPr>
                <w:sz w:val="20"/>
                <w:szCs w:val="20"/>
                <w:color w:val="auto"/>
              </w:rPr>
            </w:pPr>
            <w:r>
              <w:rPr>
                <w:rFonts w:ascii="Arial" w:cs="Arial" w:eastAsia="Arial" w:hAnsi="Arial"/>
                <w:sz w:val="16"/>
                <w:szCs w:val="16"/>
                <w:color w:val="auto"/>
              </w:rPr>
              <w:t>2025</w:t>
            </w:r>
          </w:p>
        </w:tc>
        <w:tc>
          <w:tcPr>
            <w:tcW w:w="16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6"/>
                <w:szCs w:val="16"/>
                <w:color w:val="auto"/>
              </w:rPr>
              <w:t>$ Change</w:t>
            </w:r>
          </w:p>
        </w:tc>
        <w:tc>
          <w:tcPr>
            <w:tcW w:w="1080" w:type="dxa"/>
            <w:vAlign w:val="bottom"/>
            <w:tcBorders>
              <w:bottom w:val="single" w:sz="8" w:color="auto"/>
            </w:tcBorders>
            <w:shd w:val="clear" w:color="auto" w:fill="DBDBDB"/>
          </w:tcPr>
          <w:p>
            <w:pPr>
              <w:jc w:val="right"/>
              <w:ind w:right="115"/>
              <w:spacing w:after="0"/>
              <w:rPr>
                <w:sz w:val="20"/>
                <w:szCs w:val="20"/>
                <w:color w:val="auto"/>
              </w:rPr>
            </w:pPr>
            <w:r>
              <w:rPr>
                <w:rFonts w:ascii="Arial" w:cs="Arial" w:eastAsia="Arial" w:hAnsi="Arial"/>
                <w:sz w:val="16"/>
                <w:szCs w:val="16"/>
                <w:color w:val="auto"/>
              </w:rPr>
              <w:t>% Change</w:t>
            </w:r>
          </w:p>
        </w:tc>
        <w:tc>
          <w:tcPr>
            <w:tcW w:w="0" w:type="dxa"/>
            <w:vAlign w:val="bottom"/>
          </w:tcPr>
          <w:p>
            <w:pPr>
              <w:spacing w:after="0"/>
              <w:rPr>
                <w:sz w:val="1"/>
                <w:szCs w:val="1"/>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7"/>
                <w:szCs w:val="17"/>
                <w:color w:val="auto"/>
              </w:rPr>
              <w:t>Total residential land sales closed</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133,452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274,298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(140,846)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375,786</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493,028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(117,242)</w:t>
            </w: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7"/>
                <w:szCs w:val="17"/>
                <w:color w:val="auto"/>
              </w:rPr>
              <w:t>Total commercial land sales closed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NM</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8,983</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8,983</w:t>
            </w:r>
          </w:p>
        </w:tc>
        <w:tc>
          <w:tcPr>
            <w:tcW w:w="10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5"/>
        </w:trPr>
        <w:tc>
          <w:tcPr>
            <w:tcW w:w="2960" w:type="dxa"/>
            <w:vAlign w:val="bottom"/>
          </w:tcPr>
          <w:p>
            <w:pPr>
              <w:ind w:left="20"/>
              <w:spacing w:after="0"/>
              <w:rPr>
                <w:sz w:val="20"/>
                <w:szCs w:val="20"/>
                <w:color w:val="auto"/>
              </w:rPr>
            </w:pPr>
            <w:r>
              <w:rPr>
                <w:rFonts w:ascii="Arial" w:cs="Arial" w:eastAsia="Arial" w:hAnsi="Arial"/>
                <w:sz w:val="17"/>
                <w:szCs w:val="17"/>
                <w:color w:val="auto"/>
              </w:rPr>
              <w:t>Net recognized (deferred) revenue:</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140"/>
              <w:spacing w:after="0"/>
              <w:rPr>
                <w:sz w:val="20"/>
                <w:szCs w:val="20"/>
                <w:color w:val="auto"/>
              </w:rPr>
            </w:pPr>
            <w:r>
              <w:rPr>
                <w:rFonts w:ascii="Arial" w:cs="Arial" w:eastAsia="Arial" w:hAnsi="Arial"/>
                <w:sz w:val="17"/>
                <w:szCs w:val="17"/>
                <w:color w:val="auto"/>
              </w:rPr>
              <w:t>Bridgeland</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241</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20"/>
                <w:szCs w:val="20"/>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123</w:t>
            </w:r>
          </w:p>
        </w:tc>
        <w:tc>
          <w:tcPr>
            <w:tcW w:w="1060" w:type="dxa"/>
            <w:vAlign w:val="bottom"/>
          </w:tcPr>
          <w:p>
            <w:pPr>
              <w:jc w:val="right"/>
              <w:spacing w:after="0"/>
              <w:rPr>
                <w:sz w:val="20"/>
                <w:szCs w:val="20"/>
                <w:color w:val="auto"/>
              </w:rPr>
            </w:pPr>
            <w:r>
              <w:rPr>
                <w:rFonts w:ascii="Arial" w:cs="Arial" w:eastAsia="Arial" w:hAnsi="Arial"/>
                <w:sz w:val="17"/>
                <w:szCs w:val="17"/>
                <w:color w:val="auto"/>
              </w:rPr>
              <w:t>104 %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1,162</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1,494</w:t>
            </w:r>
          </w:p>
        </w:tc>
        <w:tc>
          <w:tcPr>
            <w:tcW w:w="16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(332)</w:t>
            </w: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7"/>
                <w:szCs w:val="17"/>
                <w:color w:val="auto"/>
              </w:rPr>
              <w:t>Floreo</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21</w:t>
            </w:r>
          </w:p>
        </w:tc>
        <w:tc>
          <w:tcPr>
            <w:tcW w:w="1060" w:type="dxa"/>
            <w:vAlign w:val="bottom"/>
          </w:tcPr>
          <w:p>
            <w:pPr>
              <w:jc w:val="right"/>
              <w:spacing w:after="0"/>
              <w:rPr>
                <w:sz w:val="20"/>
                <w:szCs w:val="20"/>
                <w:color w:val="auto"/>
              </w:rPr>
            </w:pPr>
            <w:r>
              <w:rPr>
                <w:rFonts w:ascii="Arial" w:cs="Arial" w:eastAsia="Arial" w:hAnsi="Arial"/>
                <w:sz w:val="17"/>
                <w:szCs w:val="17"/>
                <w:color w:val="auto"/>
              </w:rPr>
              <w:t>NM</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21</w:t>
            </w:r>
          </w:p>
        </w:tc>
        <w:tc>
          <w:tcPr>
            <w:tcW w:w="10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7"/>
                <w:szCs w:val="17"/>
                <w:color w:val="auto"/>
              </w:rPr>
              <w:t>The Woodlands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133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171</w:t>
            </w:r>
          </w:p>
        </w:tc>
        <w:tc>
          <w:tcPr>
            <w:tcW w:w="14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(38)</w:t>
            </w: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573</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16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381</w:t>
            </w:r>
          </w:p>
        </w:tc>
        <w:tc>
          <w:tcPr>
            <w:tcW w:w="1080" w:type="dxa"/>
            <w:vAlign w:val="bottom"/>
          </w:tcPr>
          <w:p>
            <w:pPr>
              <w:jc w:val="right"/>
              <w:spacing w:after="0"/>
              <w:rPr>
                <w:sz w:val="20"/>
                <w:szCs w:val="20"/>
                <w:color w:val="auto"/>
              </w:rPr>
            </w:pPr>
            <w:r>
              <w:rPr>
                <w:rFonts w:ascii="Arial" w:cs="Arial" w:eastAsia="Arial" w:hAnsi="Arial"/>
                <w:sz w:val="17"/>
                <w:szCs w:val="17"/>
                <w:color w:val="auto"/>
              </w:rPr>
              <w:t>198 %</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7"/>
                <w:szCs w:val="17"/>
                <w:color w:val="auto"/>
              </w:rPr>
              <w:t>The Woodlands Hills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NM</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15</w:t>
            </w:r>
          </w:p>
        </w:tc>
        <w:tc>
          <w:tcPr>
            <w:tcW w:w="10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Summerlin</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(6,460)</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(26,201)</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19,741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75 %</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2,608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(52,352)</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54,960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157"/>
        </w:trPr>
        <w:tc>
          <w:tcPr>
            <w:tcW w:w="2960" w:type="dxa"/>
            <w:vAlign w:val="bottom"/>
          </w:tcPr>
          <w:p>
            <w:pPr>
              <w:ind w:left="20"/>
              <w:spacing w:after="0" w:line="158" w:lineRule="exact"/>
              <w:rPr>
                <w:sz w:val="20"/>
                <w:szCs w:val="20"/>
                <w:color w:val="auto"/>
              </w:rPr>
            </w:pPr>
            <w:r>
              <w:rPr>
                <w:rFonts w:ascii="Arial" w:cs="Arial" w:eastAsia="Arial" w:hAnsi="Arial"/>
                <w:sz w:val="17"/>
                <w:szCs w:val="17"/>
                <w:color w:val="auto"/>
              </w:rPr>
              <w:t>Total net recognized (deferred)</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(6,065)</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(25,912)</w:t>
            </w:r>
          </w:p>
        </w:tc>
        <w:tc>
          <w:tcPr>
            <w:tcW w:w="140" w:type="dxa"/>
            <w:vAlign w:val="bottom"/>
          </w:tcPr>
          <w:p>
            <w:pPr>
              <w:spacing w:after="0"/>
              <w:rPr>
                <w:sz w:val="13"/>
                <w:szCs w:val="13"/>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7"/>
                <w:szCs w:val="17"/>
                <w:color w:val="auto"/>
              </w:rPr>
              <w:t>19,847</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77 %</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4,379</w:t>
            </w:r>
          </w:p>
        </w:tc>
        <w:tc>
          <w:tcPr>
            <w:tcW w:w="240" w:type="dxa"/>
            <w:vAlign w:val="bottom"/>
          </w:tcPr>
          <w:p>
            <w:pPr>
              <w:spacing w:after="0"/>
              <w:rPr>
                <w:sz w:val="13"/>
                <w:szCs w:val="13"/>
                <w:color w:val="auto"/>
              </w:rPr>
            </w:pP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(50,666)</w:t>
            </w:r>
          </w:p>
        </w:tc>
        <w:tc>
          <w:tcPr>
            <w:tcW w:w="160" w:type="dxa"/>
            <w:vAlign w:val="bottom"/>
          </w:tcPr>
          <w:p>
            <w:pPr>
              <w:spacing w:after="0"/>
              <w:rPr>
                <w:sz w:val="13"/>
                <w:szCs w:val="13"/>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7"/>
                <w:szCs w:val="17"/>
                <w:color w:val="auto"/>
              </w:rPr>
              <w:t>55,045</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Special Improvement District revenue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6,270</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6,189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15,018</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2,788</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12,230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7"/>
                <w:szCs w:val="17"/>
                <w:color w:val="auto"/>
              </w:rPr>
              <w:t>Master Planned Communities land</w:t>
            </w: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133,657</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248,467</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ind w:right="35"/>
              <w:spacing w:after="0"/>
              <w:rPr>
                <w:sz w:val="20"/>
                <w:szCs w:val="20"/>
                <w:color w:val="auto"/>
              </w:rPr>
            </w:pPr>
            <w:r>
              <w:rPr>
                <w:rFonts w:ascii="Arial" w:cs="Arial" w:eastAsia="Arial" w:hAnsi="Arial"/>
                <w:sz w:val="17"/>
                <w:szCs w:val="17"/>
                <w:color w:val="auto"/>
              </w:rPr>
              <w:t>(114,810)</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404,166</w:t>
            </w:r>
          </w:p>
        </w:tc>
        <w:tc>
          <w:tcPr>
            <w:tcW w:w="24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445,150</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ind w:right="15"/>
              <w:spacing w:after="0"/>
              <w:rPr>
                <w:sz w:val="20"/>
                <w:szCs w:val="20"/>
                <w:color w:val="auto"/>
              </w:rPr>
            </w:pPr>
            <w:r>
              <w:rPr>
                <w:rFonts w:ascii="Arial" w:cs="Arial" w:eastAsia="Arial" w:hAnsi="Arial"/>
                <w:sz w:val="17"/>
                <w:szCs w:val="17"/>
                <w:color w:val="auto"/>
              </w:rPr>
              <w:t>(40,984)</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sales</w:t>
            </w:r>
          </w:p>
        </w:tc>
        <w:tc>
          <w:tcPr>
            <w:tcW w:w="1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60" w:hanging="446"/>
        <w:spacing w:after="0"/>
        <w:tabs>
          <w:tab w:leader="none" w:pos="49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00497F"/>
        </w:rPr>
        <w:t xml:space="preserve">Residential and Commercial Land Sales Closed </w:t>
      </w:r>
      <w:r>
        <w:rPr>
          <w:rFonts w:ascii="Arial" w:cs="Arial" w:eastAsia="Arial" w:hAnsi="Arial"/>
          <w:sz w:val="17"/>
          <w:szCs w:val="17"/>
          <w:color w:val="000000"/>
        </w:rPr>
        <w:t>The following tables detail our residential and commercial land sales closed for the three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nine months ended September 30, 2026 and 2025:</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60" w:type="dxa"/>
            <w:vAlign w:val="bottom"/>
            <w:tcBorders>
              <w:top w:val="single" w:sz="8" w:color="auto"/>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spacing w:after="0"/>
              <w:rPr>
                <w:sz w:val="21"/>
                <w:szCs w:val="21"/>
                <w:color w:val="auto"/>
              </w:rPr>
            </w:pPr>
          </w:p>
        </w:tc>
        <w:tc>
          <w:tcPr>
            <w:tcW w:w="3700" w:type="dxa"/>
            <w:vAlign w:val="bottom"/>
            <w:tcBorders>
              <w:top w:val="single" w:sz="8" w:color="auto"/>
              <w:bottom w:val="single" w:sz="8" w:color="auto"/>
            </w:tcBorders>
            <w:gridSpan w:val="6"/>
            <w:shd w:val="clear" w:color="auto" w:fill="DBDBDB"/>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920" w:type="dxa"/>
            <w:vAlign w:val="bottom"/>
            <w:tcBorders>
              <w:top w:val="single" w:sz="8" w:color="auto"/>
              <w:bottom w:val="single" w:sz="8" w:color="auto"/>
            </w:tcBorders>
            <w:shd w:val="clear" w:color="auto" w:fill="DBDBDB"/>
          </w:tcPr>
          <w:p>
            <w:pPr>
              <w:spacing w:after="0"/>
              <w:rPr>
                <w:sz w:val="21"/>
                <w:szCs w:val="21"/>
                <w:color w:val="auto"/>
              </w:rPr>
            </w:pP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spacing w:after="0"/>
              <w:rPr>
                <w:sz w:val="21"/>
                <w:szCs w:val="21"/>
                <w:color w:val="auto"/>
              </w:rPr>
            </w:pPr>
          </w:p>
        </w:tc>
      </w:tr>
      <w:tr>
        <w:trPr>
          <w:trHeight w:val="223"/>
        </w:trPr>
        <w:tc>
          <w:tcPr>
            <w:tcW w:w="38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20" w:type="dxa"/>
            <w:vAlign w:val="bottom"/>
            <w:gridSpan w:val="4"/>
            <w:shd w:val="clear" w:color="auto" w:fill="DBDBDB"/>
          </w:tcPr>
          <w:p>
            <w:pPr>
              <w:ind w:left="480"/>
              <w:spacing w:after="0"/>
              <w:rPr>
                <w:sz w:val="20"/>
                <w:szCs w:val="20"/>
                <w:color w:val="auto"/>
              </w:rPr>
            </w:pPr>
            <w:r>
              <w:rPr>
                <w:rFonts w:ascii="Arial" w:cs="Arial" w:eastAsia="Arial" w:hAnsi="Arial"/>
                <w:sz w:val="17"/>
                <w:szCs w:val="17"/>
                <w:b w:val="1"/>
                <w:bCs w:val="1"/>
                <w:color w:val="auto"/>
              </w:rPr>
              <w:t>Land Sales</w:t>
            </w:r>
          </w:p>
        </w:tc>
        <w:tc>
          <w:tcPr>
            <w:tcW w:w="2420" w:type="dxa"/>
            <w:vAlign w:val="bottom"/>
            <w:gridSpan w:val="3"/>
            <w:shd w:val="clear" w:color="auto" w:fill="DBDBDB"/>
          </w:tcPr>
          <w:p>
            <w:pPr>
              <w:ind w:left="720"/>
              <w:spacing w:after="0"/>
              <w:rPr>
                <w:sz w:val="20"/>
                <w:szCs w:val="20"/>
                <w:color w:val="auto"/>
              </w:rPr>
            </w:pPr>
            <w:r>
              <w:rPr>
                <w:rFonts w:ascii="Arial" w:cs="Arial" w:eastAsia="Arial" w:hAnsi="Arial"/>
                <w:sz w:val="17"/>
                <w:szCs w:val="17"/>
                <w:b w:val="1"/>
                <w:bCs w:val="1"/>
                <w:color w:val="auto"/>
              </w:rPr>
              <w:t>Acres Sold</w:t>
            </w:r>
          </w:p>
        </w:tc>
        <w:tc>
          <w:tcPr>
            <w:tcW w:w="280" w:type="dxa"/>
            <w:vAlign w:val="bottom"/>
            <w:shd w:val="clear" w:color="auto" w:fill="DBDBDB"/>
          </w:tcPr>
          <w:p>
            <w:pPr>
              <w:spacing w:after="0"/>
              <w:rPr>
                <w:sz w:val="19"/>
                <w:szCs w:val="19"/>
                <w:color w:val="auto"/>
              </w:rPr>
            </w:pPr>
          </w:p>
        </w:tc>
        <w:tc>
          <w:tcPr>
            <w:tcW w:w="2200" w:type="dxa"/>
            <w:vAlign w:val="bottom"/>
            <w:gridSpan w:val="3"/>
            <w:shd w:val="clear" w:color="auto" w:fill="DBDBDB"/>
          </w:tcPr>
          <w:p>
            <w:pPr>
              <w:jc w:val="right"/>
              <w:ind w:right="215"/>
              <w:spacing w:after="0"/>
              <w:rPr>
                <w:sz w:val="20"/>
                <w:szCs w:val="20"/>
                <w:color w:val="auto"/>
              </w:rPr>
            </w:pPr>
            <w:r>
              <w:rPr>
                <w:rFonts w:ascii="Arial" w:cs="Arial" w:eastAsia="Arial" w:hAnsi="Arial"/>
                <w:sz w:val="17"/>
                <w:szCs w:val="17"/>
                <w:b w:val="1"/>
                <w:bCs w:val="1"/>
                <w:color w:val="auto"/>
                <w:w w:val="99"/>
              </w:rPr>
              <w:t>Average Price Per Acre</w:t>
            </w:r>
          </w:p>
        </w:tc>
      </w:tr>
      <w:tr>
        <w:trPr>
          <w:trHeight w:val="223"/>
        </w:trPr>
        <w:tc>
          <w:tcPr>
            <w:tcW w:w="386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acres sold</w:t>
            </w: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ind w:right="295"/>
              <w:spacing w:after="0"/>
              <w:rPr>
                <w:sz w:val="20"/>
                <w:szCs w:val="20"/>
                <w:color w:val="auto"/>
              </w:rPr>
            </w:pPr>
            <w:r>
              <w:rPr>
                <w:rFonts w:ascii="Arial" w:cs="Arial" w:eastAsia="Arial" w:hAnsi="Arial"/>
                <w:sz w:val="17"/>
                <w:szCs w:val="17"/>
                <w:b w:val="1"/>
                <w:bCs w:val="1"/>
                <w:color w:val="auto"/>
              </w:rPr>
              <w:t>2026</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ind w:right="295"/>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DBDBDB"/>
              <w:bottom w:val="single" w:sz="8" w:color="auto"/>
            </w:tcBorders>
            <w:shd w:val="clear" w:color="auto" w:fill="DBDBDB"/>
          </w:tcPr>
          <w:p>
            <w:pPr>
              <w:spacing w:after="0"/>
              <w:rPr>
                <w:sz w:val="19"/>
                <w:szCs w:val="19"/>
                <w:color w:val="auto"/>
              </w:rPr>
            </w:pPr>
          </w:p>
        </w:tc>
        <w:tc>
          <w:tcPr>
            <w:tcW w:w="130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2026</w:t>
            </w:r>
          </w:p>
        </w:tc>
        <w:tc>
          <w:tcPr>
            <w:tcW w:w="1020" w:type="dxa"/>
            <w:vAlign w:val="bottom"/>
            <w:tcBorders>
              <w:top w:val="single" w:sz="8" w:color="auto"/>
              <w:bottom w:val="single" w:sz="8" w:color="auto"/>
            </w:tcBorders>
            <w:shd w:val="clear" w:color="auto" w:fill="DBDBDB"/>
          </w:tcPr>
          <w:p>
            <w:pPr>
              <w:jc w:val="right"/>
              <w:ind w:right="275"/>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DBDBDB"/>
              <w:bottom w:val="single" w:sz="8" w:color="auto"/>
            </w:tcBorders>
            <w:shd w:val="clear" w:color="auto" w:fill="DBDBDB"/>
          </w:tcPr>
          <w:p>
            <w:pPr>
              <w:spacing w:after="0"/>
              <w:rPr>
                <w:sz w:val="19"/>
                <w:szCs w:val="19"/>
                <w:color w:val="auto"/>
              </w:rPr>
            </w:pP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2026</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2025</w:t>
            </w:r>
          </w:p>
        </w:tc>
      </w:tr>
      <w:tr>
        <w:trPr>
          <w:trHeight w:val="214"/>
        </w:trPr>
        <w:tc>
          <w:tcPr>
            <w:tcW w:w="3860" w:type="dxa"/>
            <w:vAlign w:val="bottom"/>
          </w:tcPr>
          <w:p>
            <w:pPr>
              <w:ind w:left="20"/>
              <w:spacing w:after="0"/>
              <w:rPr>
                <w:sz w:val="20"/>
                <w:szCs w:val="20"/>
                <w:color w:val="auto"/>
              </w:rPr>
            </w:pPr>
            <w:r>
              <w:rPr>
                <w:rFonts w:ascii="Arial" w:cs="Arial" w:eastAsia="Arial" w:hAnsi="Arial"/>
                <w:sz w:val="17"/>
                <w:szCs w:val="17"/>
                <w:b w:val="1"/>
                <w:bCs w:val="1"/>
                <w:color w:val="00497F"/>
              </w:rPr>
              <w:t>Residential Land Sales Closed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Bridgeland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5"/>
        </w:trPr>
        <w:tc>
          <w:tcPr>
            <w:tcW w:w="3860" w:type="dxa"/>
            <w:vAlign w:val="bottom"/>
          </w:tcPr>
          <w:p>
            <w:pPr>
              <w:ind w:left="240"/>
              <w:spacing w:after="0"/>
              <w:rPr>
                <w:sz w:val="20"/>
                <w:szCs w:val="20"/>
                <w:color w:val="auto"/>
              </w:rPr>
            </w:pPr>
            <w:r>
              <w:rPr>
                <w:rFonts w:ascii="Arial" w:cs="Arial" w:eastAsia="Arial" w:hAnsi="Arial"/>
                <w:sz w:val="17"/>
                <w:szCs w:val="17"/>
                <w:color w:val="auto"/>
              </w:rPr>
              <w:t>Single family</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16,960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19,856</w:t>
            </w:r>
          </w:p>
        </w:tc>
        <w:tc>
          <w:tcPr>
            <w:tcW w:w="100" w:type="dxa"/>
            <w:vAlign w:val="bottom"/>
          </w:tcPr>
          <w:p>
            <w:pPr>
              <w:spacing w:after="0"/>
              <w:rPr>
                <w:sz w:val="20"/>
                <w:szCs w:val="20"/>
                <w:color w:val="auto"/>
              </w:rPr>
            </w:pPr>
          </w:p>
        </w:tc>
        <w:tc>
          <w:tcPr>
            <w:tcW w:w="1300" w:type="dxa"/>
            <w:vAlign w:val="bottom"/>
          </w:tcPr>
          <w:p>
            <w:pPr>
              <w:jc w:val="right"/>
              <w:ind w:right="175"/>
              <w:spacing w:after="0"/>
              <w:rPr>
                <w:sz w:val="20"/>
                <w:szCs w:val="20"/>
                <w:color w:val="auto"/>
              </w:rPr>
            </w:pPr>
            <w:r>
              <w:rPr>
                <w:rFonts w:ascii="Arial" w:cs="Arial" w:eastAsia="Arial" w:hAnsi="Arial"/>
                <w:sz w:val="17"/>
                <w:szCs w:val="17"/>
                <w:b w:val="1"/>
                <w:bCs w:val="1"/>
                <w:color w:val="auto"/>
              </w:rPr>
              <w:t>23.6</w:t>
            </w:r>
          </w:p>
        </w:tc>
        <w:tc>
          <w:tcPr>
            <w:tcW w:w="102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719</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704</w:t>
            </w:r>
          </w:p>
        </w:tc>
      </w:tr>
      <w:tr>
        <w:trPr>
          <w:trHeight w:val="278"/>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Summerlin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7"/>
                <w:szCs w:val="17"/>
                <w:color w:val="auto"/>
              </w:rPr>
              <w:t>Superpad sites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108,963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248,190</w:t>
            </w:r>
          </w:p>
        </w:tc>
        <w:tc>
          <w:tcPr>
            <w:tcW w:w="100" w:type="dxa"/>
            <w:vAlign w:val="bottom"/>
          </w:tcPr>
          <w:p>
            <w:pPr>
              <w:spacing w:after="0"/>
              <w:rPr>
                <w:sz w:val="19"/>
                <w:szCs w:val="19"/>
                <w:color w:val="auto"/>
              </w:rPr>
            </w:pPr>
          </w:p>
        </w:tc>
        <w:tc>
          <w:tcPr>
            <w:tcW w:w="1300" w:type="dxa"/>
            <w:vAlign w:val="bottom"/>
          </w:tcPr>
          <w:p>
            <w:pPr>
              <w:jc w:val="right"/>
              <w:ind w:right="175"/>
              <w:spacing w:after="0"/>
              <w:rPr>
                <w:sz w:val="20"/>
                <w:szCs w:val="20"/>
                <w:color w:val="auto"/>
              </w:rPr>
            </w:pPr>
            <w:r>
              <w:rPr>
                <w:rFonts w:ascii="Arial" w:cs="Arial" w:eastAsia="Arial" w:hAnsi="Arial"/>
                <w:sz w:val="17"/>
                <w:szCs w:val="17"/>
                <w:b w:val="1"/>
                <w:bCs w:val="1"/>
                <w:color w:val="auto"/>
              </w:rPr>
              <w:t>62.7</w:t>
            </w:r>
          </w:p>
        </w:tc>
        <w:tc>
          <w:tcPr>
            <w:tcW w:w="1020" w:type="dxa"/>
            <w:vAlign w:val="bottom"/>
          </w:tcPr>
          <w:p>
            <w:pPr>
              <w:jc w:val="right"/>
              <w:spacing w:after="0"/>
              <w:rPr>
                <w:sz w:val="20"/>
                <w:szCs w:val="20"/>
                <w:color w:val="auto"/>
              </w:rPr>
            </w:pPr>
            <w:r>
              <w:rPr>
                <w:rFonts w:ascii="Arial" w:cs="Arial" w:eastAsia="Arial" w:hAnsi="Arial"/>
                <w:sz w:val="17"/>
                <w:szCs w:val="17"/>
                <w:color w:val="auto"/>
              </w:rPr>
              <w:t>318.3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1,738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780</w:t>
            </w:r>
          </w:p>
        </w:tc>
      </w:tr>
      <w:tr>
        <w:trPr>
          <w:trHeight w:val="235"/>
        </w:trPr>
        <w:tc>
          <w:tcPr>
            <w:tcW w:w="3860" w:type="dxa"/>
            <w:vAlign w:val="bottom"/>
          </w:tcPr>
          <w:p>
            <w:pPr>
              <w:ind w:left="220"/>
              <w:spacing w:after="0"/>
              <w:rPr>
                <w:sz w:val="20"/>
                <w:szCs w:val="20"/>
                <w:color w:val="auto"/>
              </w:rPr>
            </w:pPr>
            <w:r>
              <w:rPr>
                <w:rFonts w:ascii="Arial" w:cs="Arial" w:eastAsia="Arial" w:hAnsi="Arial"/>
                <w:sz w:val="17"/>
                <w:szCs w:val="17"/>
                <w:color w:val="auto"/>
              </w:rPr>
              <w:t>Custom lots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5,475</w:t>
            </w:r>
          </w:p>
        </w:tc>
        <w:tc>
          <w:tcPr>
            <w:tcW w:w="100" w:type="dxa"/>
            <w:vAlign w:val="bottom"/>
          </w:tcPr>
          <w:p>
            <w:pPr>
              <w:spacing w:after="0"/>
              <w:rPr>
                <w:sz w:val="20"/>
                <w:szCs w:val="20"/>
                <w:color w:val="auto"/>
              </w:rPr>
            </w:pPr>
          </w:p>
        </w:tc>
        <w:tc>
          <w:tcPr>
            <w:tcW w:w="1300" w:type="dxa"/>
            <w:vAlign w:val="bottom"/>
          </w:tcPr>
          <w:p>
            <w:pPr>
              <w:jc w:val="right"/>
              <w:ind w:right="17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7,821</w:t>
            </w:r>
          </w:p>
        </w:tc>
      </w:tr>
      <w:tr>
        <w:trPr>
          <w:trHeight w:val="278"/>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The Woodlands Hills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6"/>
        </w:trPr>
        <w:tc>
          <w:tcPr>
            <w:tcW w:w="3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Single family</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7,529</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14.7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r>
      <w:tr>
        <w:trPr>
          <w:trHeight w:val="22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residential land sales closed (a)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133,452</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274,298</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101.0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1,321</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w:t>
            </w:r>
          </w:p>
        </w:tc>
      </w:tr>
      <w:tr>
        <w:trPr>
          <w:trHeight w:val="196"/>
        </w:trPr>
        <w:tc>
          <w:tcPr>
            <w:tcW w:w="3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86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3700" w:type="dxa"/>
            <w:vAlign w:val="bottom"/>
            <w:tcBorders>
              <w:bottom w:val="single" w:sz="8" w:color="auto"/>
            </w:tcBorders>
            <w:gridSpan w:val="6"/>
            <w:shd w:val="clear" w:color="auto" w:fill="DBDBDB"/>
          </w:tcPr>
          <w:p>
            <w:pPr>
              <w:jc w:val="right"/>
              <w:spacing w:after="0"/>
              <w:rPr>
                <w:sz w:val="20"/>
                <w:szCs w:val="20"/>
                <w:color w:val="auto"/>
              </w:rPr>
            </w:pPr>
            <w:r>
              <w:rPr>
                <w:rFonts w:ascii="Arial" w:cs="Arial" w:eastAsia="Arial" w:hAnsi="Arial"/>
                <w:sz w:val="17"/>
                <w:szCs w:val="17"/>
                <w:b w:val="1"/>
                <w:bCs w:val="1"/>
                <w:color w:val="auto"/>
              </w:rPr>
              <w:t>Nine Months Ended September 30,</w:t>
            </w:r>
          </w:p>
        </w:tc>
        <w:tc>
          <w:tcPr>
            <w:tcW w:w="92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spacing w:after="0"/>
              <w:rPr>
                <w:sz w:val="19"/>
                <w:szCs w:val="19"/>
                <w:color w:val="auto"/>
              </w:rPr>
            </w:pPr>
          </w:p>
        </w:tc>
      </w:tr>
      <w:tr>
        <w:trPr>
          <w:trHeight w:val="223"/>
        </w:trPr>
        <w:tc>
          <w:tcPr>
            <w:tcW w:w="38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20" w:type="dxa"/>
            <w:vAlign w:val="bottom"/>
            <w:gridSpan w:val="4"/>
            <w:shd w:val="clear" w:color="auto" w:fill="DBDBDB"/>
          </w:tcPr>
          <w:p>
            <w:pPr>
              <w:ind w:left="480"/>
              <w:spacing w:after="0"/>
              <w:rPr>
                <w:sz w:val="20"/>
                <w:szCs w:val="20"/>
                <w:color w:val="auto"/>
              </w:rPr>
            </w:pPr>
            <w:r>
              <w:rPr>
                <w:rFonts w:ascii="Arial" w:cs="Arial" w:eastAsia="Arial" w:hAnsi="Arial"/>
                <w:sz w:val="17"/>
                <w:szCs w:val="17"/>
                <w:b w:val="1"/>
                <w:bCs w:val="1"/>
                <w:color w:val="auto"/>
              </w:rPr>
              <w:t>Land Sales</w:t>
            </w:r>
          </w:p>
        </w:tc>
        <w:tc>
          <w:tcPr>
            <w:tcW w:w="2420" w:type="dxa"/>
            <w:vAlign w:val="bottom"/>
            <w:gridSpan w:val="3"/>
            <w:shd w:val="clear" w:color="auto" w:fill="DBDBDB"/>
          </w:tcPr>
          <w:p>
            <w:pPr>
              <w:ind w:left="720"/>
              <w:spacing w:after="0"/>
              <w:rPr>
                <w:sz w:val="20"/>
                <w:szCs w:val="20"/>
                <w:color w:val="auto"/>
              </w:rPr>
            </w:pPr>
            <w:r>
              <w:rPr>
                <w:rFonts w:ascii="Arial" w:cs="Arial" w:eastAsia="Arial" w:hAnsi="Arial"/>
                <w:sz w:val="17"/>
                <w:szCs w:val="17"/>
                <w:b w:val="1"/>
                <w:bCs w:val="1"/>
                <w:color w:val="auto"/>
              </w:rPr>
              <w:t>Acres Sold</w:t>
            </w:r>
          </w:p>
        </w:tc>
        <w:tc>
          <w:tcPr>
            <w:tcW w:w="280" w:type="dxa"/>
            <w:vAlign w:val="bottom"/>
            <w:shd w:val="clear" w:color="auto" w:fill="DBDBDB"/>
          </w:tcPr>
          <w:p>
            <w:pPr>
              <w:spacing w:after="0"/>
              <w:rPr>
                <w:sz w:val="19"/>
                <w:szCs w:val="19"/>
                <w:color w:val="auto"/>
              </w:rPr>
            </w:pPr>
          </w:p>
        </w:tc>
        <w:tc>
          <w:tcPr>
            <w:tcW w:w="2200" w:type="dxa"/>
            <w:vAlign w:val="bottom"/>
            <w:gridSpan w:val="3"/>
            <w:shd w:val="clear" w:color="auto" w:fill="DBDBDB"/>
          </w:tcPr>
          <w:p>
            <w:pPr>
              <w:jc w:val="right"/>
              <w:ind w:right="215"/>
              <w:spacing w:after="0"/>
              <w:rPr>
                <w:sz w:val="20"/>
                <w:szCs w:val="20"/>
                <w:color w:val="auto"/>
              </w:rPr>
            </w:pPr>
            <w:r>
              <w:rPr>
                <w:rFonts w:ascii="Arial" w:cs="Arial" w:eastAsia="Arial" w:hAnsi="Arial"/>
                <w:sz w:val="17"/>
                <w:szCs w:val="17"/>
                <w:b w:val="1"/>
                <w:bCs w:val="1"/>
                <w:color w:val="auto"/>
                <w:w w:val="99"/>
              </w:rPr>
              <w:t>Average Price Per Acre</w:t>
            </w:r>
          </w:p>
        </w:tc>
      </w:tr>
      <w:tr>
        <w:trPr>
          <w:trHeight w:val="223"/>
        </w:trPr>
        <w:tc>
          <w:tcPr>
            <w:tcW w:w="386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acres sold</w:t>
            </w: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ind w:right="295"/>
              <w:spacing w:after="0"/>
              <w:rPr>
                <w:sz w:val="20"/>
                <w:szCs w:val="20"/>
                <w:color w:val="auto"/>
              </w:rPr>
            </w:pPr>
            <w:r>
              <w:rPr>
                <w:rFonts w:ascii="Arial" w:cs="Arial" w:eastAsia="Arial" w:hAnsi="Arial"/>
                <w:sz w:val="17"/>
                <w:szCs w:val="17"/>
                <w:b w:val="1"/>
                <w:bCs w:val="1"/>
                <w:color w:val="auto"/>
              </w:rPr>
              <w:t>2026</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ind w:right="295"/>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DBDBDB"/>
              <w:bottom w:val="single" w:sz="8" w:color="auto"/>
            </w:tcBorders>
            <w:shd w:val="clear" w:color="auto" w:fill="DBDBDB"/>
          </w:tcPr>
          <w:p>
            <w:pPr>
              <w:spacing w:after="0"/>
              <w:rPr>
                <w:sz w:val="19"/>
                <w:szCs w:val="19"/>
                <w:color w:val="auto"/>
              </w:rPr>
            </w:pPr>
          </w:p>
        </w:tc>
        <w:tc>
          <w:tcPr>
            <w:tcW w:w="130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2026</w:t>
            </w:r>
          </w:p>
        </w:tc>
        <w:tc>
          <w:tcPr>
            <w:tcW w:w="1020" w:type="dxa"/>
            <w:vAlign w:val="bottom"/>
            <w:tcBorders>
              <w:top w:val="single" w:sz="8" w:color="auto"/>
              <w:bottom w:val="single" w:sz="8" w:color="auto"/>
            </w:tcBorders>
            <w:shd w:val="clear" w:color="auto" w:fill="DBDBDB"/>
          </w:tcPr>
          <w:p>
            <w:pPr>
              <w:jc w:val="right"/>
              <w:ind w:right="275"/>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DBDBDB"/>
              <w:bottom w:val="single" w:sz="8" w:color="auto"/>
            </w:tcBorders>
            <w:shd w:val="clear" w:color="auto" w:fill="DBDBDB"/>
          </w:tcPr>
          <w:p>
            <w:pPr>
              <w:spacing w:after="0"/>
              <w:rPr>
                <w:sz w:val="19"/>
                <w:szCs w:val="19"/>
                <w:color w:val="auto"/>
              </w:rPr>
            </w:pP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2026</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2025</w:t>
            </w:r>
          </w:p>
        </w:tc>
      </w:tr>
      <w:tr>
        <w:trPr>
          <w:trHeight w:val="214"/>
        </w:trPr>
        <w:tc>
          <w:tcPr>
            <w:tcW w:w="3860" w:type="dxa"/>
            <w:vAlign w:val="bottom"/>
          </w:tcPr>
          <w:p>
            <w:pPr>
              <w:ind w:left="20"/>
              <w:spacing w:after="0"/>
              <w:rPr>
                <w:sz w:val="20"/>
                <w:szCs w:val="20"/>
                <w:color w:val="auto"/>
              </w:rPr>
            </w:pPr>
            <w:r>
              <w:rPr>
                <w:rFonts w:ascii="Arial" w:cs="Arial" w:eastAsia="Arial" w:hAnsi="Arial"/>
                <w:sz w:val="17"/>
                <w:szCs w:val="17"/>
                <w:b w:val="1"/>
                <w:bCs w:val="1"/>
                <w:color w:val="00497F"/>
              </w:rPr>
              <w:t>Residential Land Sales Closed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Bridgeland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5"/>
        </w:trPr>
        <w:tc>
          <w:tcPr>
            <w:tcW w:w="3860" w:type="dxa"/>
            <w:vAlign w:val="bottom"/>
          </w:tcPr>
          <w:p>
            <w:pPr>
              <w:ind w:left="240"/>
              <w:spacing w:after="0"/>
              <w:rPr>
                <w:sz w:val="20"/>
                <w:szCs w:val="20"/>
                <w:color w:val="auto"/>
              </w:rPr>
            </w:pPr>
            <w:r>
              <w:rPr>
                <w:rFonts w:ascii="Arial" w:cs="Arial" w:eastAsia="Arial" w:hAnsi="Arial"/>
                <w:sz w:val="17"/>
                <w:szCs w:val="17"/>
                <w:color w:val="auto"/>
              </w:rPr>
              <w:t>Single family</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82,201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68,345</w:t>
            </w:r>
          </w:p>
        </w:tc>
        <w:tc>
          <w:tcPr>
            <w:tcW w:w="100" w:type="dxa"/>
            <w:vAlign w:val="bottom"/>
          </w:tcPr>
          <w:p>
            <w:pPr>
              <w:spacing w:after="0"/>
              <w:rPr>
                <w:sz w:val="20"/>
                <w:szCs w:val="20"/>
                <w:color w:val="auto"/>
              </w:rPr>
            </w:pPr>
          </w:p>
        </w:tc>
        <w:tc>
          <w:tcPr>
            <w:tcW w:w="1300" w:type="dxa"/>
            <w:vAlign w:val="bottom"/>
          </w:tcPr>
          <w:p>
            <w:pPr>
              <w:jc w:val="right"/>
              <w:ind w:right="175"/>
              <w:spacing w:after="0"/>
              <w:rPr>
                <w:sz w:val="20"/>
                <w:szCs w:val="20"/>
                <w:color w:val="auto"/>
              </w:rPr>
            </w:pPr>
            <w:r>
              <w:rPr>
                <w:rFonts w:ascii="Arial" w:cs="Arial" w:eastAsia="Arial" w:hAnsi="Arial"/>
                <w:sz w:val="17"/>
                <w:szCs w:val="17"/>
                <w:b w:val="1"/>
                <w:bCs w:val="1"/>
                <w:color w:val="auto"/>
              </w:rPr>
              <w:t>115.7</w:t>
            </w:r>
          </w:p>
        </w:tc>
        <w:tc>
          <w:tcPr>
            <w:tcW w:w="1020" w:type="dxa"/>
            <w:vAlign w:val="bottom"/>
          </w:tcPr>
          <w:p>
            <w:pPr>
              <w:jc w:val="right"/>
              <w:spacing w:after="0"/>
              <w:rPr>
                <w:sz w:val="20"/>
                <w:szCs w:val="20"/>
                <w:color w:val="auto"/>
              </w:rPr>
            </w:pPr>
            <w:r>
              <w:rPr>
                <w:rFonts w:ascii="Arial" w:cs="Arial" w:eastAsia="Arial" w:hAnsi="Arial"/>
                <w:sz w:val="17"/>
                <w:szCs w:val="17"/>
                <w:color w:val="auto"/>
              </w:rPr>
              <w:t>105.5</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710</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648</w:t>
            </w:r>
          </w:p>
        </w:tc>
      </w:tr>
      <w:tr>
        <w:trPr>
          <w:trHeight w:val="278"/>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Summerlin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7"/>
                <w:szCs w:val="17"/>
                <w:color w:val="auto"/>
              </w:rPr>
              <w:t>Superpad sites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257,432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400,046</w:t>
            </w:r>
          </w:p>
        </w:tc>
        <w:tc>
          <w:tcPr>
            <w:tcW w:w="100" w:type="dxa"/>
            <w:vAlign w:val="bottom"/>
          </w:tcPr>
          <w:p>
            <w:pPr>
              <w:spacing w:after="0"/>
              <w:rPr>
                <w:sz w:val="19"/>
                <w:szCs w:val="19"/>
                <w:color w:val="auto"/>
              </w:rPr>
            </w:pPr>
          </w:p>
        </w:tc>
        <w:tc>
          <w:tcPr>
            <w:tcW w:w="1300" w:type="dxa"/>
            <w:vAlign w:val="bottom"/>
          </w:tcPr>
          <w:p>
            <w:pPr>
              <w:jc w:val="right"/>
              <w:ind w:right="175"/>
              <w:spacing w:after="0"/>
              <w:rPr>
                <w:sz w:val="20"/>
                <w:szCs w:val="20"/>
                <w:color w:val="auto"/>
              </w:rPr>
            </w:pPr>
            <w:r>
              <w:rPr>
                <w:rFonts w:ascii="Arial" w:cs="Arial" w:eastAsia="Arial" w:hAnsi="Arial"/>
                <w:sz w:val="17"/>
                <w:szCs w:val="17"/>
                <w:b w:val="1"/>
                <w:bCs w:val="1"/>
                <w:color w:val="auto"/>
              </w:rPr>
              <w:t>148.6</w:t>
            </w:r>
          </w:p>
        </w:tc>
        <w:tc>
          <w:tcPr>
            <w:tcW w:w="1020" w:type="dxa"/>
            <w:vAlign w:val="bottom"/>
          </w:tcPr>
          <w:p>
            <w:pPr>
              <w:jc w:val="right"/>
              <w:spacing w:after="0"/>
              <w:rPr>
                <w:sz w:val="20"/>
                <w:szCs w:val="20"/>
                <w:color w:val="auto"/>
              </w:rPr>
            </w:pPr>
            <w:r>
              <w:rPr>
                <w:rFonts w:ascii="Arial" w:cs="Arial" w:eastAsia="Arial" w:hAnsi="Arial"/>
                <w:sz w:val="17"/>
                <w:szCs w:val="17"/>
                <w:color w:val="auto"/>
              </w:rPr>
              <w:t>412.3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1,732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970</w:t>
            </w:r>
          </w:p>
        </w:tc>
      </w:tr>
      <w:tr>
        <w:trPr>
          <w:trHeight w:val="235"/>
        </w:trPr>
        <w:tc>
          <w:tcPr>
            <w:tcW w:w="3860" w:type="dxa"/>
            <w:vAlign w:val="bottom"/>
          </w:tcPr>
          <w:p>
            <w:pPr>
              <w:ind w:left="220"/>
              <w:spacing w:after="0"/>
              <w:rPr>
                <w:sz w:val="20"/>
                <w:szCs w:val="20"/>
                <w:color w:val="auto"/>
              </w:rPr>
            </w:pPr>
            <w:r>
              <w:rPr>
                <w:rFonts w:ascii="Arial" w:cs="Arial" w:eastAsia="Arial" w:hAnsi="Arial"/>
                <w:sz w:val="17"/>
                <w:szCs w:val="17"/>
                <w:color w:val="auto"/>
              </w:rPr>
              <w:t>Custom lots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15,750</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20,175</w:t>
            </w:r>
          </w:p>
        </w:tc>
        <w:tc>
          <w:tcPr>
            <w:tcW w:w="100" w:type="dxa"/>
            <w:vAlign w:val="bottom"/>
          </w:tcPr>
          <w:p>
            <w:pPr>
              <w:spacing w:after="0"/>
              <w:rPr>
                <w:sz w:val="20"/>
                <w:szCs w:val="20"/>
                <w:color w:val="auto"/>
              </w:rPr>
            </w:pPr>
          </w:p>
        </w:tc>
        <w:tc>
          <w:tcPr>
            <w:tcW w:w="1300" w:type="dxa"/>
            <w:vAlign w:val="bottom"/>
          </w:tcPr>
          <w:p>
            <w:pPr>
              <w:jc w:val="right"/>
              <w:ind w:right="175"/>
              <w:spacing w:after="0"/>
              <w:rPr>
                <w:sz w:val="20"/>
                <w:szCs w:val="20"/>
                <w:color w:val="auto"/>
              </w:rPr>
            </w:pPr>
            <w:r>
              <w:rPr>
                <w:rFonts w:ascii="Arial" w:cs="Arial" w:eastAsia="Arial" w:hAnsi="Arial"/>
                <w:sz w:val="17"/>
                <w:szCs w:val="17"/>
                <w:b w:val="1"/>
                <w:bCs w:val="1"/>
                <w:color w:val="auto"/>
              </w:rPr>
              <w:t>2.2</w:t>
            </w:r>
          </w:p>
        </w:tc>
        <w:tc>
          <w:tcPr>
            <w:tcW w:w="10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7,159</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7,472</w:t>
            </w:r>
          </w:p>
        </w:tc>
      </w:tr>
      <w:tr>
        <w:trPr>
          <w:trHeight w:val="278"/>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The Woodlands Hills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6"/>
        </w:trPr>
        <w:tc>
          <w:tcPr>
            <w:tcW w:w="3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Single family</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20,403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4,462</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41.2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495</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w:t>
            </w:r>
          </w:p>
        </w:tc>
      </w:tr>
      <w:tr>
        <w:trPr>
          <w:trHeight w:val="22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residential land sales closed (a)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375,786</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493,028</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307.7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1,221</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w:t>
            </w:r>
          </w:p>
        </w:tc>
      </w:tr>
      <w:tr>
        <w:trPr>
          <w:trHeight w:val="417"/>
        </w:trPr>
        <w:tc>
          <w:tcPr>
            <w:tcW w:w="3860" w:type="dxa"/>
            <w:vAlign w:val="bottom"/>
          </w:tcPr>
          <w:p>
            <w:pPr>
              <w:ind w:left="20"/>
              <w:spacing w:after="0"/>
              <w:rPr>
                <w:sz w:val="20"/>
                <w:szCs w:val="20"/>
                <w:color w:val="auto"/>
              </w:rPr>
            </w:pPr>
            <w:r>
              <w:rPr>
                <w:rFonts w:ascii="Arial" w:cs="Arial" w:eastAsia="Arial" w:hAnsi="Arial"/>
                <w:sz w:val="17"/>
                <w:szCs w:val="17"/>
                <w:b w:val="1"/>
                <w:bCs w:val="1"/>
                <w:color w:val="00497F"/>
              </w:rPr>
              <w:t>Commercial Land Sales Closed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5"/>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Bridgeland</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2,176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5"/>
              <w:spacing w:after="0"/>
              <w:rPr>
                <w:sz w:val="20"/>
                <w:szCs w:val="20"/>
                <w:color w:val="auto"/>
              </w:rPr>
            </w:pPr>
            <w:r>
              <w:rPr>
                <w:rFonts w:ascii="Arial" w:cs="Arial" w:eastAsia="Arial" w:hAnsi="Arial"/>
                <w:sz w:val="17"/>
                <w:szCs w:val="17"/>
                <w:b w:val="1"/>
                <w:bCs w:val="1"/>
                <w:color w:val="auto"/>
              </w:rPr>
              <w:t>2.0</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1,088</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85"/>
        </w:trPr>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The Woodlands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6,807</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7.8</w:t>
            </w: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873</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commercial land sales closed (a)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8,983</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9.8</w:t>
            </w: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917</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94" w:lineRule="exact"/>
        <w:rPr>
          <w:sz w:val="20"/>
          <w:szCs w:val="20"/>
          <w:color w:val="auto"/>
        </w:rPr>
      </w:pPr>
    </w:p>
    <w:p>
      <w:pPr>
        <w:jc w:val="both"/>
        <w:ind w:left="340" w:hanging="332"/>
        <w:spacing w:after="0" w:line="275" w:lineRule="auto"/>
        <w:tabs>
          <w:tab w:leader="none" w:pos="335"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Excludes revenues recognized in the current period which are related to sales closed in prior periods and includes revenues deferred on sales closed in the current period. Refer to the Master Planned Communities Land Sales table above which reconciles total residential and commercial land sales closed to MPC land sales revenue recognized for the three and nine months ended September 30, 2026 and 2025.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MPC Land Inventory </w:t>
      </w:r>
      <w:r>
        <w:rPr>
          <w:rFonts w:ascii="Arial" w:cs="Arial" w:eastAsia="Arial" w:hAnsi="Arial"/>
          <w:sz w:val="17"/>
          <w:szCs w:val="17"/>
          <w:color w:val="000000"/>
        </w:rPr>
        <w:t>The following table summarizes MPC land inventory activity for the nine months ended September 30,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Borders>
              <w:top w:val="single" w:sz="8" w:color="auto"/>
            </w:tcBorders>
            <w:shd w:val="clear" w:color="auto" w:fill="D8D8D8"/>
          </w:tcPr>
          <w:p>
            <w:pPr>
              <w:spacing w:after="0"/>
              <w:rPr>
                <w:sz w:val="14"/>
                <w:szCs w:val="14"/>
                <w:color w:val="auto"/>
              </w:rPr>
            </w:pPr>
          </w:p>
        </w:tc>
        <w:tc>
          <w:tcPr>
            <w:tcW w:w="240" w:type="dxa"/>
            <w:vAlign w:val="bottom"/>
            <w:tcBorders>
              <w:top w:val="single" w:sz="8" w:color="auto"/>
            </w:tcBorders>
            <w:shd w:val="clear" w:color="auto" w:fill="D8D8D8"/>
          </w:tcPr>
          <w:p>
            <w:pPr>
              <w:spacing w:after="0"/>
              <w:rPr>
                <w:sz w:val="14"/>
                <w:szCs w:val="14"/>
                <w:color w:val="auto"/>
              </w:rPr>
            </w:pPr>
          </w:p>
        </w:tc>
        <w:tc>
          <w:tcPr>
            <w:tcW w:w="1000" w:type="dxa"/>
            <w:vAlign w:val="bottom"/>
            <w:tcBorders>
              <w:top w:val="single" w:sz="8" w:color="auto"/>
            </w:tcBorders>
            <w:shd w:val="clear" w:color="auto" w:fill="D8D8D8"/>
          </w:tcPr>
          <w:p>
            <w:pPr>
              <w:spacing w:after="0"/>
              <w:rPr>
                <w:sz w:val="14"/>
                <w:szCs w:val="14"/>
                <w:color w:val="auto"/>
              </w:rPr>
            </w:pPr>
          </w:p>
        </w:tc>
        <w:tc>
          <w:tcPr>
            <w:tcW w:w="240" w:type="dxa"/>
            <w:vAlign w:val="bottom"/>
            <w:tcBorders>
              <w:top w:val="single" w:sz="8" w:color="auto"/>
            </w:tcBorders>
            <w:shd w:val="clear" w:color="auto" w:fill="D8D8D8"/>
          </w:tcPr>
          <w:p>
            <w:pPr>
              <w:spacing w:after="0"/>
              <w:rPr>
                <w:sz w:val="14"/>
                <w:szCs w:val="14"/>
                <w:color w:val="auto"/>
              </w:rPr>
            </w:pPr>
          </w:p>
        </w:tc>
        <w:tc>
          <w:tcPr>
            <w:tcW w:w="840" w:type="dxa"/>
            <w:vAlign w:val="bottom"/>
            <w:tcBorders>
              <w:top w:val="single" w:sz="8" w:color="auto"/>
            </w:tcBorders>
            <w:shd w:val="clear" w:color="auto" w:fill="D8D8D8"/>
          </w:tcPr>
          <w:p>
            <w:pPr>
              <w:spacing w:after="0"/>
              <w:rPr>
                <w:sz w:val="14"/>
                <w:szCs w:val="14"/>
                <w:color w:val="auto"/>
              </w:rPr>
            </w:pPr>
          </w:p>
        </w:tc>
        <w:tc>
          <w:tcPr>
            <w:tcW w:w="180" w:type="dxa"/>
            <w:vAlign w:val="bottom"/>
            <w:tcBorders>
              <w:top w:val="single" w:sz="8" w:color="auto"/>
            </w:tcBorders>
            <w:shd w:val="clear" w:color="auto" w:fill="D8D8D8"/>
          </w:tcPr>
          <w:p>
            <w:pPr>
              <w:spacing w:after="0"/>
              <w:rPr>
                <w:sz w:val="14"/>
                <w:szCs w:val="14"/>
                <w:color w:val="auto"/>
              </w:rPr>
            </w:pPr>
          </w:p>
        </w:tc>
        <w:tc>
          <w:tcPr>
            <w:tcW w:w="1000" w:type="dxa"/>
            <w:vAlign w:val="bottom"/>
            <w:tcBorders>
              <w:top w:val="single" w:sz="8" w:color="auto"/>
            </w:tcBorders>
            <w:shd w:val="clear" w:color="auto" w:fill="D8D8D8"/>
          </w:tcPr>
          <w:p>
            <w:pPr>
              <w:spacing w:after="0"/>
              <w:rPr>
                <w:sz w:val="14"/>
                <w:szCs w:val="14"/>
                <w:color w:val="auto"/>
              </w:rPr>
            </w:pPr>
          </w:p>
        </w:tc>
        <w:tc>
          <w:tcPr>
            <w:tcW w:w="240" w:type="dxa"/>
            <w:vAlign w:val="bottom"/>
            <w:tcBorders>
              <w:top w:val="single" w:sz="8" w:color="auto"/>
            </w:tcBorders>
            <w:shd w:val="clear" w:color="auto" w:fill="D8D8D8"/>
          </w:tcPr>
          <w:p>
            <w:pPr>
              <w:spacing w:after="0"/>
              <w:rPr>
                <w:sz w:val="14"/>
                <w:szCs w:val="14"/>
                <w:color w:val="auto"/>
              </w:rPr>
            </w:pPr>
          </w:p>
        </w:tc>
        <w:tc>
          <w:tcPr>
            <w:tcW w:w="1040" w:type="dxa"/>
            <w:vAlign w:val="bottom"/>
            <w:tcBorders>
              <w:top w:val="single" w:sz="8" w:color="auto"/>
            </w:tcBorders>
            <w:shd w:val="clear" w:color="auto" w:fill="D8D8D8"/>
          </w:tcPr>
          <w:p>
            <w:pPr>
              <w:spacing w:after="0"/>
              <w:rPr>
                <w:sz w:val="14"/>
                <w:szCs w:val="14"/>
                <w:color w:val="auto"/>
              </w:rPr>
            </w:pPr>
          </w:p>
        </w:tc>
        <w:tc>
          <w:tcPr>
            <w:tcW w:w="180" w:type="dxa"/>
            <w:vAlign w:val="bottom"/>
            <w:tcBorders>
              <w:top w:val="single" w:sz="8" w:color="auto"/>
            </w:tcBorders>
            <w:shd w:val="clear" w:color="auto" w:fill="D8D8D8"/>
          </w:tcPr>
          <w:p>
            <w:pPr>
              <w:spacing w:after="0"/>
              <w:rPr>
                <w:sz w:val="14"/>
                <w:szCs w:val="14"/>
                <w:color w:val="auto"/>
              </w:rPr>
            </w:pPr>
          </w:p>
        </w:tc>
        <w:tc>
          <w:tcPr>
            <w:tcW w:w="1060" w:type="dxa"/>
            <w:vAlign w:val="bottom"/>
            <w:tcBorders>
              <w:top w:val="single" w:sz="8" w:color="auto"/>
            </w:tcBorders>
            <w:vMerge w:val="restart"/>
            <w:shd w:val="clear" w:color="auto" w:fill="D8D8D8"/>
          </w:tcPr>
          <w:p>
            <w:pPr>
              <w:jc w:val="right"/>
              <w:ind w:right="404"/>
              <w:spacing w:after="0"/>
              <w:rPr>
                <w:sz w:val="20"/>
                <w:szCs w:val="20"/>
                <w:color w:val="auto"/>
              </w:rPr>
            </w:pPr>
            <w:r>
              <w:rPr>
                <w:rFonts w:ascii="Arial" w:cs="Arial" w:eastAsia="Arial" w:hAnsi="Arial"/>
                <w:sz w:val="15"/>
                <w:szCs w:val="15"/>
                <w:b w:val="1"/>
                <w:bCs w:val="1"/>
                <w:color w:val="auto"/>
              </w:rPr>
              <w:t>The</w:t>
            </w:r>
          </w:p>
        </w:tc>
        <w:tc>
          <w:tcPr>
            <w:tcW w:w="180" w:type="dxa"/>
            <w:vAlign w:val="bottom"/>
            <w:tcBorders>
              <w:top w:val="single" w:sz="8" w:color="auto"/>
            </w:tcBorders>
            <w:shd w:val="clear" w:color="auto" w:fill="D8D8D8"/>
          </w:tcPr>
          <w:p>
            <w:pPr>
              <w:spacing w:after="0"/>
              <w:rPr>
                <w:sz w:val="14"/>
                <w:szCs w:val="14"/>
                <w:color w:val="auto"/>
              </w:rPr>
            </w:pPr>
          </w:p>
        </w:tc>
        <w:tc>
          <w:tcPr>
            <w:tcW w:w="1040" w:type="dxa"/>
            <w:vAlign w:val="bottom"/>
            <w:tcBorders>
              <w:top w:val="single" w:sz="8" w:color="auto"/>
            </w:tcBorders>
            <w:shd w:val="clear" w:color="auto" w:fill="D8D8D8"/>
          </w:tcPr>
          <w:p>
            <w:pPr>
              <w:jc w:val="center"/>
              <w:ind w:right="104"/>
              <w:spacing w:after="0" w:line="169" w:lineRule="exact"/>
              <w:rPr>
                <w:sz w:val="20"/>
                <w:szCs w:val="20"/>
                <w:color w:val="auto"/>
              </w:rPr>
            </w:pPr>
            <w:r>
              <w:rPr>
                <w:rFonts w:ascii="Arial" w:cs="Arial" w:eastAsia="Arial" w:hAnsi="Arial"/>
                <w:sz w:val="15"/>
                <w:szCs w:val="15"/>
                <w:b w:val="1"/>
                <w:bCs w:val="1"/>
                <w:color w:val="auto"/>
                <w:w w:val="97"/>
              </w:rPr>
              <w:t>The</w:t>
            </w:r>
          </w:p>
        </w:tc>
        <w:tc>
          <w:tcPr>
            <w:tcW w:w="200" w:type="dxa"/>
            <w:vAlign w:val="bottom"/>
            <w:tcBorders>
              <w:top w:val="single" w:sz="8" w:color="auto"/>
            </w:tcBorders>
            <w:shd w:val="clear" w:color="auto" w:fill="D8D8D8"/>
          </w:tcPr>
          <w:p>
            <w:pPr>
              <w:spacing w:after="0"/>
              <w:rPr>
                <w:sz w:val="14"/>
                <w:szCs w:val="14"/>
                <w:color w:val="auto"/>
              </w:rPr>
            </w:pPr>
          </w:p>
        </w:tc>
        <w:tc>
          <w:tcPr>
            <w:tcW w:w="960" w:type="dxa"/>
            <w:vAlign w:val="bottom"/>
            <w:tcBorders>
              <w:top w:val="single" w:sz="8" w:color="auto"/>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40" w:type="dxa"/>
            <w:vAlign w:val="bottom"/>
            <w:vMerge w:val="restart"/>
            <w:shd w:val="clear" w:color="auto" w:fill="D8D8D8"/>
          </w:tcPr>
          <w:p>
            <w:pPr>
              <w:ind w:left="20"/>
              <w:spacing w:after="0"/>
              <w:rPr>
                <w:sz w:val="20"/>
                <w:szCs w:val="20"/>
                <w:color w:val="auto"/>
              </w:rPr>
            </w:pPr>
            <w:r>
              <w:rPr>
                <w:rFonts w:ascii="Arial" w:cs="Arial" w:eastAsia="Arial" w:hAnsi="Arial"/>
                <w:sz w:val="15"/>
                <w:szCs w:val="15"/>
                <w:i w:val="1"/>
                <w:iCs w:val="1"/>
                <w:color w:val="auto"/>
              </w:rPr>
              <w:t>thousands</w:t>
            </w:r>
          </w:p>
        </w:tc>
        <w:tc>
          <w:tcPr>
            <w:tcW w:w="240" w:type="dxa"/>
            <w:vAlign w:val="bottom"/>
            <w:shd w:val="clear" w:color="auto" w:fill="D8D8D8"/>
          </w:tcPr>
          <w:p>
            <w:pPr>
              <w:spacing w:after="0"/>
              <w:rPr>
                <w:sz w:val="13"/>
                <w:szCs w:val="13"/>
                <w:color w:val="auto"/>
              </w:rPr>
            </w:pPr>
          </w:p>
        </w:tc>
        <w:tc>
          <w:tcPr>
            <w:tcW w:w="1000" w:type="dxa"/>
            <w:vAlign w:val="bottom"/>
            <w:vMerge w:val="restart"/>
            <w:shd w:val="clear" w:color="auto" w:fill="D8D8D8"/>
          </w:tcPr>
          <w:p>
            <w:pPr>
              <w:jc w:val="right"/>
              <w:ind w:right="104"/>
              <w:spacing w:after="0"/>
              <w:rPr>
                <w:sz w:val="20"/>
                <w:szCs w:val="20"/>
                <w:color w:val="auto"/>
              </w:rPr>
            </w:pPr>
            <w:r>
              <w:rPr>
                <w:rFonts w:ascii="Arial" w:cs="Arial" w:eastAsia="Arial" w:hAnsi="Arial"/>
                <w:sz w:val="15"/>
                <w:szCs w:val="15"/>
                <w:b w:val="1"/>
                <w:bCs w:val="1"/>
                <w:color w:val="auto"/>
              </w:rPr>
              <w:t>Bridgeland</w:t>
            </w:r>
          </w:p>
        </w:tc>
        <w:tc>
          <w:tcPr>
            <w:tcW w:w="240" w:type="dxa"/>
            <w:vAlign w:val="bottom"/>
            <w:shd w:val="clear" w:color="auto" w:fill="D8D8D8"/>
          </w:tcPr>
          <w:p>
            <w:pPr>
              <w:spacing w:after="0"/>
              <w:rPr>
                <w:sz w:val="13"/>
                <w:szCs w:val="13"/>
                <w:color w:val="auto"/>
              </w:rPr>
            </w:pPr>
          </w:p>
        </w:tc>
        <w:tc>
          <w:tcPr>
            <w:tcW w:w="840" w:type="dxa"/>
            <w:vAlign w:val="bottom"/>
            <w:vMerge w:val="restart"/>
            <w:shd w:val="clear" w:color="auto" w:fill="D8D8D8"/>
          </w:tcPr>
          <w:p>
            <w:pPr>
              <w:jc w:val="right"/>
              <w:ind w:right="224"/>
              <w:spacing w:after="0"/>
              <w:rPr>
                <w:sz w:val="20"/>
                <w:szCs w:val="20"/>
                <w:color w:val="auto"/>
              </w:rPr>
            </w:pPr>
            <w:r>
              <w:rPr>
                <w:rFonts w:ascii="Arial" w:cs="Arial" w:eastAsia="Arial" w:hAnsi="Arial"/>
                <w:sz w:val="15"/>
                <w:szCs w:val="15"/>
                <w:b w:val="1"/>
                <w:bCs w:val="1"/>
                <w:color w:val="auto"/>
              </w:rPr>
              <w:t>Floreo</w:t>
            </w:r>
          </w:p>
        </w:tc>
        <w:tc>
          <w:tcPr>
            <w:tcW w:w="180" w:type="dxa"/>
            <w:vAlign w:val="bottom"/>
            <w:shd w:val="clear" w:color="auto" w:fill="D8D8D8"/>
          </w:tcPr>
          <w:p>
            <w:pPr>
              <w:spacing w:after="0"/>
              <w:rPr>
                <w:sz w:val="13"/>
                <w:szCs w:val="13"/>
                <w:color w:val="auto"/>
              </w:rPr>
            </w:pPr>
          </w:p>
        </w:tc>
        <w:tc>
          <w:tcPr>
            <w:tcW w:w="1000" w:type="dxa"/>
            <w:vAlign w:val="bottom"/>
            <w:vMerge w:val="restart"/>
            <w:shd w:val="clear" w:color="auto" w:fill="D8D8D8"/>
          </w:tcPr>
          <w:p>
            <w:pPr>
              <w:jc w:val="right"/>
              <w:ind w:right="124"/>
              <w:spacing w:after="0"/>
              <w:rPr>
                <w:sz w:val="20"/>
                <w:szCs w:val="20"/>
                <w:color w:val="auto"/>
              </w:rPr>
            </w:pPr>
            <w:r>
              <w:rPr>
                <w:rFonts w:ascii="Arial" w:cs="Arial" w:eastAsia="Arial" w:hAnsi="Arial"/>
                <w:sz w:val="15"/>
                <w:szCs w:val="15"/>
                <w:b w:val="1"/>
                <w:bCs w:val="1"/>
                <w:color w:val="auto"/>
              </w:rPr>
              <w:t>Summerlin</w:t>
            </w:r>
          </w:p>
        </w:tc>
        <w:tc>
          <w:tcPr>
            <w:tcW w:w="240" w:type="dxa"/>
            <w:vAlign w:val="bottom"/>
            <w:shd w:val="clear" w:color="auto" w:fill="D8D8D8"/>
          </w:tcPr>
          <w:p>
            <w:pPr>
              <w:spacing w:after="0"/>
              <w:rPr>
                <w:sz w:val="13"/>
                <w:szCs w:val="13"/>
                <w:color w:val="auto"/>
              </w:rPr>
            </w:pPr>
          </w:p>
        </w:tc>
        <w:tc>
          <w:tcPr>
            <w:tcW w:w="1040" w:type="dxa"/>
            <w:vAlign w:val="bottom"/>
            <w:vMerge w:val="restart"/>
            <w:shd w:val="clear" w:color="auto" w:fill="D8D8D8"/>
          </w:tcPr>
          <w:p>
            <w:pPr>
              <w:jc w:val="right"/>
              <w:ind w:right="224"/>
              <w:spacing w:after="0"/>
              <w:rPr>
                <w:sz w:val="20"/>
                <w:szCs w:val="20"/>
                <w:color w:val="auto"/>
              </w:rPr>
            </w:pPr>
            <w:r>
              <w:rPr>
                <w:rFonts w:ascii="Arial" w:cs="Arial" w:eastAsia="Arial" w:hAnsi="Arial"/>
                <w:sz w:val="15"/>
                <w:szCs w:val="15"/>
                <w:b w:val="1"/>
                <w:bCs w:val="1"/>
                <w:color w:val="auto"/>
              </w:rPr>
              <w:t>Teravalis</w:t>
            </w:r>
          </w:p>
        </w:tc>
        <w:tc>
          <w:tcPr>
            <w:tcW w:w="180" w:type="dxa"/>
            <w:vAlign w:val="bottom"/>
            <w:shd w:val="clear" w:color="auto" w:fill="D8D8D8"/>
          </w:tcPr>
          <w:p>
            <w:pPr>
              <w:spacing w:after="0"/>
              <w:rPr>
                <w:sz w:val="13"/>
                <w:szCs w:val="13"/>
                <w:color w:val="auto"/>
              </w:rPr>
            </w:pPr>
          </w:p>
        </w:tc>
        <w:tc>
          <w:tcPr>
            <w:tcW w:w="1060" w:type="dxa"/>
            <w:vAlign w:val="bottom"/>
            <w:vMerge w:val="continue"/>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1040" w:type="dxa"/>
            <w:vAlign w:val="bottom"/>
            <w:shd w:val="clear" w:color="auto" w:fill="D8D8D8"/>
          </w:tcPr>
          <w:p>
            <w:pPr>
              <w:jc w:val="center"/>
              <w:ind w:right="104"/>
              <w:spacing w:after="0" w:line="154" w:lineRule="exact"/>
              <w:rPr>
                <w:sz w:val="20"/>
                <w:szCs w:val="20"/>
                <w:color w:val="auto"/>
              </w:rPr>
            </w:pPr>
            <w:r>
              <w:rPr>
                <w:rFonts w:ascii="Arial" w:cs="Arial" w:eastAsia="Arial" w:hAnsi="Arial"/>
                <w:sz w:val="15"/>
                <w:szCs w:val="15"/>
                <w:b w:val="1"/>
                <w:bCs w:val="1"/>
                <w:color w:val="auto"/>
              </w:rPr>
              <w:t>Woodlands</w:t>
            </w:r>
          </w:p>
        </w:tc>
        <w:tc>
          <w:tcPr>
            <w:tcW w:w="200" w:type="dxa"/>
            <w:vAlign w:val="bottom"/>
            <w:shd w:val="clear" w:color="auto" w:fill="D8D8D8"/>
          </w:tcPr>
          <w:p>
            <w:pPr>
              <w:spacing w:after="0"/>
              <w:rPr>
                <w:sz w:val="13"/>
                <w:szCs w:val="13"/>
                <w:color w:val="auto"/>
              </w:rPr>
            </w:pPr>
          </w:p>
        </w:tc>
        <w:tc>
          <w:tcPr>
            <w:tcW w:w="960" w:type="dxa"/>
            <w:vAlign w:val="bottom"/>
            <w:vMerge w:val="restart"/>
            <w:shd w:val="clear" w:color="auto" w:fill="D8D8D8"/>
          </w:tcPr>
          <w:p>
            <w:pPr>
              <w:jc w:val="right"/>
              <w:ind w:right="104"/>
              <w:spacing w:after="0"/>
              <w:rPr>
                <w:sz w:val="20"/>
                <w:szCs w:val="20"/>
                <w:color w:val="auto"/>
              </w:rPr>
            </w:pPr>
            <w:r>
              <w:rPr>
                <w:rFonts w:ascii="Arial" w:cs="Arial" w:eastAsia="Arial" w:hAnsi="Arial"/>
                <w:sz w:val="15"/>
                <w:szCs w:val="15"/>
                <w:b w:val="1"/>
                <w:bCs w:val="1"/>
                <w:color w:val="auto"/>
              </w:rPr>
              <w:t>Total MPC</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vMerge w:val="continue"/>
            <w:shd w:val="clear" w:color="auto" w:fill="D8D8D8"/>
          </w:tcPr>
          <w:p>
            <w:pPr>
              <w:spacing w:after="0"/>
              <w:rPr>
                <w:sz w:val="17"/>
                <w:szCs w:val="17"/>
                <w:color w:val="auto"/>
              </w:rPr>
            </w:pPr>
          </w:p>
        </w:tc>
        <w:tc>
          <w:tcPr>
            <w:tcW w:w="240" w:type="dxa"/>
            <w:vAlign w:val="bottom"/>
            <w:tcBorders>
              <w:bottom w:val="single" w:sz="8" w:color="auto"/>
            </w:tcBorders>
            <w:shd w:val="clear" w:color="auto" w:fill="D8D8D8"/>
          </w:tcPr>
          <w:p>
            <w:pPr>
              <w:spacing w:after="0"/>
              <w:rPr>
                <w:sz w:val="17"/>
                <w:szCs w:val="17"/>
                <w:color w:val="auto"/>
              </w:rPr>
            </w:pPr>
          </w:p>
        </w:tc>
        <w:tc>
          <w:tcPr>
            <w:tcW w:w="1000" w:type="dxa"/>
            <w:vAlign w:val="bottom"/>
            <w:tcBorders>
              <w:bottom w:val="single" w:sz="8" w:color="auto"/>
            </w:tcBorders>
            <w:vMerge w:val="continue"/>
            <w:shd w:val="clear" w:color="auto" w:fill="D8D8D8"/>
          </w:tcPr>
          <w:p>
            <w:pPr>
              <w:spacing w:after="0"/>
              <w:rPr>
                <w:sz w:val="17"/>
                <w:szCs w:val="17"/>
                <w:color w:val="auto"/>
              </w:rPr>
            </w:pPr>
          </w:p>
        </w:tc>
        <w:tc>
          <w:tcPr>
            <w:tcW w:w="240" w:type="dxa"/>
            <w:vAlign w:val="bottom"/>
            <w:tcBorders>
              <w:bottom w:val="single" w:sz="8" w:color="auto"/>
            </w:tcBorders>
            <w:shd w:val="clear" w:color="auto" w:fill="D8D8D8"/>
          </w:tcPr>
          <w:p>
            <w:pPr>
              <w:spacing w:after="0"/>
              <w:rPr>
                <w:sz w:val="17"/>
                <w:szCs w:val="17"/>
                <w:color w:val="auto"/>
              </w:rPr>
            </w:pPr>
          </w:p>
        </w:tc>
        <w:tc>
          <w:tcPr>
            <w:tcW w:w="840" w:type="dxa"/>
            <w:vAlign w:val="bottom"/>
            <w:tcBorders>
              <w:bottom w:val="single" w:sz="8" w:color="auto"/>
            </w:tcBorders>
            <w:vMerge w:val="continue"/>
            <w:shd w:val="clear" w:color="auto" w:fill="D8D8D8"/>
          </w:tcPr>
          <w:p>
            <w:pPr>
              <w:spacing w:after="0"/>
              <w:rPr>
                <w:sz w:val="17"/>
                <w:szCs w:val="17"/>
                <w:color w:val="auto"/>
              </w:rPr>
            </w:pPr>
          </w:p>
        </w:tc>
        <w:tc>
          <w:tcPr>
            <w:tcW w:w="180" w:type="dxa"/>
            <w:vAlign w:val="bottom"/>
            <w:tcBorders>
              <w:bottom w:val="single" w:sz="8" w:color="auto"/>
            </w:tcBorders>
            <w:shd w:val="clear" w:color="auto" w:fill="D8D8D8"/>
          </w:tcPr>
          <w:p>
            <w:pPr>
              <w:spacing w:after="0"/>
              <w:rPr>
                <w:sz w:val="17"/>
                <w:szCs w:val="17"/>
                <w:color w:val="auto"/>
              </w:rPr>
            </w:pPr>
          </w:p>
        </w:tc>
        <w:tc>
          <w:tcPr>
            <w:tcW w:w="1000" w:type="dxa"/>
            <w:vAlign w:val="bottom"/>
            <w:tcBorders>
              <w:bottom w:val="single" w:sz="8" w:color="auto"/>
            </w:tcBorders>
            <w:vMerge w:val="continue"/>
            <w:shd w:val="clear" w:color="auto" w:fill="D8D8D8"/>
          </w:tcPr>
          <w:p>
            <w:pPr>
              <w:spacing w:after="0"/>
              <w:rPr>
                <w:sz w:val="17"/>
                <w:szCs w:val="17"/>
                <w:color w:val="auto"/>
              </w:rPr>
            </w:pPr>
          </w:p>
        </w:tc>
        <w:tc>
          <w:tcPr>
            <w:tcW w:w="240" w:type="dxa"/>
            <w:vAlign w:val="bottom"/>
            <w:tcBorders>
              <w:bottom w:val="single" w:sz="8" w:color="auto"/>
            </w:tcBorders>
            <w:shd w:val="clear" w:color="auto" w:fill="D8D8D8"/>
          </w:tcPr>
          <w:p>
            <w:pPr>
              <w:spacing w:after="0"/>
              <w:rPr>
                <w:sz w:val="17"/>
                <w:szCs w:val="17"/>
                <w:color w:val="auto"/>
              </w:rPr>
            </w:pPr>
          </w:p>
        </w:tc>
        <w:tc>
          <w:tcPr>
            <w:tcW w:w="1040" w:type="dxa"/>
            <w:vAlign w:val="bottom"/>
            <w:tcBorders>
              <w:bottom w:val="single" w:sz="8" w:color="auto"/>
            </w:tcBorders>
            <w:vMerge w:val="continue"/>
            <w:shd w:val="clear" w:color="auto" w:fill="D8D8D8"/>
          </w:tcPr>
          <w:p>
            <w:pPr>
              <w:spacing w:after="0"/>
              <w:rPr>
                <w:sz w:val="17"/>
                <w:szCs w:val="17"/>
                <w:color w:val="auto"/>
              </w:rPr>
            </w:pPr>
          </w:p>
        </w:tc>
        <w:tc>
          <w:tcPr>
            <w:tcW w:w="180" w:type="dxa"/>
            <w:vAlign w:val="bottom"/>
            <w:tcBorders>
              <w:bottom w:val="single" w:sz="8" w:color="auto"/>
            </w:tcBorders>
            <w:shd w:val="clear" w:color="auto" w:fill="D8D8D8"/>
          </w:tcPr>
          <w:p>
            <w:pPr>
              <w:spacing w:after="0"/>
              <w:rPr>
                <w:sz w:val="17"/>
                <w:szCs w:val="17"/>
                <w:color w:val="auto"/>
              </w:rPr>
            </w:pPr>
          </w:p>
        </w:tc>
        <w:tc>
          <w:tcPr>
            <w:tcW w:w="1060" w:type="dxa"/>
            <w:vAlign w:val="bottom"/>
            <w:tcBorders>
              <w:bottom w:val="single" w:sz="8" w:color="auto"/>
            </w:tcBorders>
            <w:shd w:val="clear" w:color="auto" w:fill="D8D8D8"/>
          </w:tcPr>
          <w:p>
            <w:pPr>
              <w:jc w:val="right"/>
              <w:ind w:right="124"/>
              <w:spacing w:after="0"/>
              <w:rPr>
                <w:sz w:val="20"/>
                <w:szCs w:val="20"/>
                <w:color w:val="auto"/>
              </w:rPr>
            </w:pPr>
            <w:r>
              <w:rPr>
                <w:rFonts w:ascii="Arial" w:cs="Arial" w:eastAsia="Arial" w:hAnsi="Arial"/>
                <w:sz w:val="15"/>
                <w:szCs w:val="15"/>
                <w:b w:val="1"/>
                <w:bCs w:val="1"/>
                <w:color w:val="auto"/>
              </w:rPr>
              <w:t>Woodlands</w:t>
            </w:r>
          </w:p>
        </w:tc>
        <w:tc>
          <w:tcPr>
            <w:tcW w:w="180" w:type="dxa"/>
            <w:vAlign w:val="bottom"/>
            <w:tcBorders>
              <w:bottom w:val="single" w:sz="8" w:color="auto"/>
            </w:tcBorders>
            <w:shd w:val="clear" w:color="auto" w:fill="D8D8D8"/>
          </w:tcPr>
          <w:p>
            <w:pPr>
              <w:spacing w:after="0"/>
              <w:rPr>
                <w:sz w:val="17"/>
                <w:szCs w:val="17"/>
                <w:color w:val="auto"/>
              </w:rPr>
            </w:pPr>
          </w:p>
        </w:tc>
        <w:tc>
          <w:tcPr>
            <w:tcW w:w="1040" w:type="dxa"/>
            <w:vAlign w:val="bottom"/>
            <w:tcBorders>
              <w:bottom w:val="single" w:sz="8" w:color="auto"/>
            </w:tcBorders>
            <w:shd w:val="clear" w:color="auto" w:fill="D8D8D8"/>
          </w:tcPr>
          <w:p>
            <w:pPr>
              <w:jc w:val="center"/>
              <w:ind w:right="84"/>
              <w:spacing w:after="0"/>
              <w:rPr>
                <w:sz w:val="20"/>
                <w:szCs w:val="20"/>
                <w:color w:val="auto"/>
              </w:rPr>
            </w:pPr>
            <w:r>
              <w:rPr>
                <w:rFonts w:ascii="Arial" w:cs="Arial" w:eastAsia="Arial" w:hAnsi="Arial"/>
                <w:sz w:val="15"/>
                <w:szCs w:val="15"/>
                <w:b w:val="1"/>
                <w:bCs w:val="1"/>
                <w:color w:val="auto"/>
              </w:rPr>
              <w:t>Hills</w:t>
            </w:r>
          </w:p>
        </w:tc>
        <w:tc>
          <w:tcPr>
            <w:tcW w:w="200" w:type="dxa"/>
            <w:vAlign w:val="bottom"/>
            <w:tcBorders>
              <w:bottom w:val="single" w:sz="8" w:color="auto"/>
            </w:tcBorders>
            <w:shd w:val="clear" w:color="auto" w:fill="D8D8D8"/>
          </w:tcPr>
          <w:p>
            <w:pPr>
              <w:spacing w:after="0"/>
              <w:rPr>
                <w:sz w:val="17"/>
                <w:szCs w:val="17"/>
                <w:color w:val="auto"/>
              </w:rPr>
            </w:pPr>
          </w:p>
        </w:tc>
        <w:tc>
          <w:tcPr>
            <w:tcW w:w="960" w:type="dxa"/>
            <w:vAlign w:val="bottom"/>
            <w:tcBorders>
              <w:bottom w:val="single" w:sz="8" w:color="auto"/>
            </w:tcBorders>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840" w:type="dxa"/>
            <w:vAlign w:val="bottom"/>
          </w:tcPr>
          <w:p>
            <w:pPr>
              <w:ind w:left="20"/>
              <w:spacing w:after="0"/>
              <w:rPr>
                <w:sz w:val="20"/>
                <w:szCs w:val="20"/>
                <w:color w:val="auto"/>
              </w:rPr>
            </w:pPr>
            <w:r>
              <w:rPr>
                <w:rFonts w:ascii="Arial" w:cs="Arial" w:eastAsia="Arial" w:hAnsi="Arial"/>
                <w:sz w:val="15"/>
                <w:szCs w:val="15"/>
                <w:b w:val="1"/>
                <w:bCs w:val="1"/>
                <w:color w:val="auto"/>
              </w:rPr>
              <w:t>Balance December 31, 2025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522,231</w:t>
            </w: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1,257,053</w:t>
            </w: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547,211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187,315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121,267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2,635,077</w:t>
            </w: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Arial" w:cs="Arial" w:eastAsia="Arial" w:hAnsi="Arial"/>
                <w:sz w:val="15"/>
                <w:szCs w:val="15"/>
                <w:color w:val="auto"/>
              </w:rPr>
              <w:t>Acquisitions (a)</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266,700</w:t>
            </w:r>
          </w:p>
        </w:tc>
        <w:tc>
          <w:tcPr>
            <w:tcW w:w="1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266,700</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Arial" w:cs="Arial" w:eastAsia="Arial" w:hAnsi="Arial"/>
                <w:sz w:val="15"/>
                <w:szCs w:val="15"/>
                <w:color w:val="auto"/>
              </w:rPr>
              <w:t>Development expenditures (b)</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183,377</w:t>
            </w:r>
          </w:p>
        </w:tc>
        <w:tc>
          <w:tcPr>
            <w:tcW w:w="24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11,175</w:t>
            </w:r>
          </w:p>
        </w:tc>
        <w:tc>
          <w:tcPr>
            <w:tcW w:w="1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165,231</w:t>
            </w:r>
          </w:p>
        </w:tc>
        <w:tc>
          <w:tcPr>
            <w:tcW w:w="240" w:type="dxa"/>
            <w:vAlign w:val="bottom"/>
          </w:tcPr>
          <w:p>
            <w:pPr>
              <w:spacing w:after="0"/>
              <w:rPr>
                <w:sz w:val="17"/>
                <w:szCs w:val="17"/>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2,003</w:t>
            </w:r>
          </w:p>
        </w:tc>
        <w:tc>
          <w:tcPr>
            <w:tcW w:w="18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3,173</w:t>
            </w:r>
          </w:p>
        </w:tc>
        <w:tc>
          <w:tcPr>
            <w:tcW w:w="180" w:type="dxa"/>
            <w:vAlign w:val="bottom"/>
          </w:tcPr>
          <w:p>
            <w:pPr>
              <w:spacing w:after="0"/>
              <w:rPr>
                <w:sz w:val="17"/>
                <w:szCs w:val="17"/>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29,988</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394,947</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Arial" w:cs="Arial" w:eastAsia="Arial" w:hAnsi="Arial"/>
                <w:sz w:val="15"/>
                <w:szCs w:val="15"/>
                <w:color w:val="auto"/>
              </w:rPr>
              <w:t>MPC cost of sales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(29,784)</w:t>
            </w: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(100,042)</w:t>
            </w:r>
          </w:p>
        </w:tc>
        <w:tc>
          <w:tcPr>
            <w:tcW w:w="240" w:type="dxa"/>
            <w:vAlign w:val="bottom"/>
          </w:tcPr>
          <w:p>
            <w:pPr>
              <w:spacing w:after="0"/>
              <w:rPr>
                <w:sz w:val="17"/>
                <w:szCs w:val="17"/>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(1,910)</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(8,290)</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(140,041)</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5"/>
                <w:szCs w:val="15"/>
                <w:color w:val="auto"/>
              </w:rPr>
              <w:t>Municipal district reimbursable costs (c)</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(159,091)</w:t>
            </w: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(2,295)</w:t>
            </w:r>
          </w:p>
        </w:tc>
        <w:tc>
          <w:tcPr>
            <w:tcW w:w="18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(1,337)</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(21,402)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(184,125)</w:t>
            </w:r>
          </w:p>
        </w:tc>
        <w:tc>
          <w:tcPr>
            <w:tcW w:w="0" w:type="dxa"/>
            <w:vAlign w:val="bottom"/>
          </w:tcPr>
          <w:p>
            <w:pPr>
              <w:spacing w:after="0"/>
              <w:rPr>
                <w:sz w:val="1"/>
                <w:szCs w:val="1"/>
                <w:color w:val="auto"/>
              </w:rPr>
            </w:pPr>
          </w:p>
        </w:tc>
      </w:tr>
      <w:tr>
        <w:trPr>
          <w:trHeight w:val="164"/>
        </w:trPr>
        <w:tc>
          <w:tcPr>
            <w:tcW w:w="2840" w:type="dxa"/>
            <w:vAlign w:val="bottom"/>
          </w:tcPr>
          <w:p>
            <w:pPr>
              <w:ind w:left="20"/>
              <w:spacing w:after="0" w:line="164" w:lineRule="exact"/>
              <w:rPr>
                <w:sz w:val="20"/>
                <w:szCs w:val="20"/>
                <w:color w:val="auto"/>
              </w:rPr>
            </w:pPr>
            <w:r>
              <w:rPr>
                <w:rFonts w:ascii="Arial" w:cs="Arial" w:eastAsia="Arial" w:hAnsi="Arial"/>
                <w:sz w:val="15"/>
                <w:szCs w:val="15"/>
                <w:color w:val="auto"/>
              </w:rPr>
              <w:t>Transfer to Strategic Developments and</w:t>
            </w:r>
          </w:p>
        </w:tc>
        <w:tc>
          <w:tcPr>
            <w:tcW w:w="240" w:type="dxa"/>
            <w:vAlign w:val="bottom"/>
          </w:tcPr>
          <w:p>
            <w:pPr>
              <w:spacing w:after="0"/>
              <w:rPr>
                <w:sz w:val="14"/>
                <w:szCs w:val="14"/>
                <w:color w:val="auto"/>
              </w:rPr>
            </w:pPr>
          </w:p>
        </w:tc>
        <w:tc>
          <w:tcPr>
            <w:tcW w:w="1000" w:type="dxa"/>
            <w:vAlign w:val="bottom"/>
          </w:tcPr>
          <w:p>
            <w:pPr>
              <w:jc w:val="right"/>
              <w:ind w:right="24"/>
              <w:spacing w:after="0" w:line="164"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Pr>
          <w:p>
            <w:pPr>
              <w:jc w:val="right"/>
              <w:ind w:right="44"/>
              <w:spacing w:after="0" w:line="164"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44"/>
              <w:spacing w:after="0" w:line="164"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40" w:type="dxa"/>
            <w:vAlign w:val="bottom"/>
          </w:tcPr>
          <w:p>
            <w:pPr>
              <w:jc w:val="right"/>
              <w:ind w:right="24"/>
              <w:spacing w:after="0" w:line="164"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4"/>
              <w:spacing w:after="0" w:line="164" w:lineRule="exact"/>
              <w:rPr>
                <w:sz w:val="20"/>
                <w:szCs w:val="20"/>
                <w:color w:val="auto"/>
              </w:rPr>
            </w:pPr>
            <w:r>
              <w:rPr>
                <w:rFonts w:ascii="Arial" w:cs="Arial" w:eastAsia="Arial" w:hAnsi="Arial"/>
                <w:sz w:val="15"/>
                <w:szCs w:val="15"/>
                <w:color w:val="auto"/>
              </w:rPr>
              <w:t>(1,175)</w:t>
            </w:r>
          </w:p>
        </w:tc>
        <w:tc>
          <w:tcPr>
            <w:tcW w:w="180" w:type="dxa"/>
            <w:vAlign w:val="bottom"/>
          </w:tcPr>
          <w:p>
            <w:pPr>
              <w:spacing w:after="0"/>
              <w:rPr>
                <w:sz w:val="14"/>
                <w:szCs w:val="14"/>
                <w:color w:val="auto"/>
              </w:rPr>
            </w:pPr>
          </w:p>
        </w:tc>
        <w:tc>
          <w:tcPr>
            <w:tcW w:w="1040" w:type="dxa"/>
            <w:vAlign w:val="bottom"/>
          </w:tcPr>
          <w:p>
            <w:pPr>
              <w:jc w:val="right"/>
              <w:ind w:right="44"/>
              <w:spacing w:after="0" w:line="164"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Arial" w:cs="Arial" w:eastAsia="Arial" w:hAnsi="Arial"/>
                <w:sz w:val="15"/>
                <w:szCs w:val="15"/>
                <w:color w:val="auto"/>
              </w:rPr>
              <w:t>Operating Assets Segments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(15,258)</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3,706</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(7,136)</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1,226</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(5,171)</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(22,871)</w:t>
            </w:r>
          </w:p>
        </w:tc>
        <w:tc>
          <w:tcPr>
            <w:tcW w:w="0" w:type="dxa"/>
            <w:vAlign w:val="bottom"/>
          </w:tcPr>
          <w:p>
            <w:pPr>
              <w:spacing w:after="0"/>
              <w:rPr>
                <w:sz w:val="1"/>
                <w:szCs w:val="1"/>
                <w:color w:val="auto"/>
              </w:rPr>
            </w:pPr>
          </w:p>
        </w:tc>
      </w:tr>
      <w:tr>
        <w:trPr>
          <w:trHeight w:val="19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September 30, 2026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501,475</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279,271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1,315,106</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548,976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187,292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116,392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2,948,512</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  Represents the value of MPC assets acquired through the consolidation of Floreo in July 2026.</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960" w:hanging="446"/>
        <w:spacing w:after="0"/>
        <w:tabs>
          <w:tab w:leader="none" w:pos="496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828282"/>
        </w:rPr>
        <w:t xml:space="preserve">2026 FORM 10-Q </w:t>
      </w:r>
      <w:r>
        <w:rPr>
          <w:rFonts w:ascii="Arial" w:cs="Arial" w:eastAsia="Arial" w:hAnsi="Arial"/>
          <w:sz w:val="17"/>
          <w:szCs w:val="17"/>
          <w:b w:val="1"/>
          <w:bCs w:val="1"/>
          <w:color w:val="000000"/>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0" w:name="page61"/>
    <w:bookmarkEnd w:id="60"/>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Development expenditures are inclusive of capitalized interest and property taxes.</w:t>
      </w:r>
    </w:p>
    <w:p>
      <w:pPr>
        <w:spacing w:after="0" w:line="30"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Municipal district reimbursable costs represent land development expenditures transferred to municipal district receivables.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Strategic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Strategic Developments assets generally require substantial future development to maximize their value. Other than our condominium properties, most of the properties and projects in this segment do not generate revenues. Our expenses relating to these assets are primarily related to costs associated with constructing the assets, selling condominiums, carrying costs including, but not limited to, property taxes and insurance, and other ongoing costs relating to maintaining the assets in their current condition. If we decide to redevelop or develop a Strategic Developments asset, we expect that with the exception of the residential portion of our condominium projects, upon completion of development, the asset would likely be reclassified to Operating Assets when the asset is placed in service and NOI would become a meaningful measure of its operating performance. All development costs discussed herein are exclusive of land costs.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Segment EBT </w:t>
      </w:r>
      <w:r>
        <w:rPr>
          <w:rFonts w:ascii="Arial" w:cs="Arial" w:eastAsia="Arial" w:hAnsi="Arial"/>
          <w:sz w:val="17"/>
          <w:szCs w:val="17"/>
          <w:color w:val="000000"/>
        </w:rPr>
        <w:t>Segment EBT for Strategic Developments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Borders>
              <w:top w:val="single" w:sz="8" w:color="auto"/>
            </w:tcBorders>
            <w:shd w:val="clear" w:color="auto" w:fill="D8D8D8"/>
          </w:tcPr>
          <w:p>
            <w:pPr>
              <w:spacing w:after="0"/>
              <w:rPr>
                <w:sz w:val="19"/>
                <w:szCs w:val="19"/>
                <w:color w:val="auto"/>
              </w:rPr>
            </w:pPr>
          </w:p>
        </w:tc>
        <w:tc>
          <w:tcPr>
            <w:tcW w:w="200" w:type="dxa"/>
            <w:vAlign w:val="bottom"/>
            <w:tcBorders>
              <w:top w:val="single" w:sz="8" w:color="auto"/>
            </w:tcBorders>
            <w:shd w:val="clear" w:color="auto" w:fill="D8D8D8"/>
          </w:tcPr>
          <w:p>
            <w:pPr>
              <w:spacing w:after="0"/>
              <w:rPr>
                <w:sz w:val="19"/>
                <w:szCs w:val="19"/>
                <w:color w:val="auto"/>
              </w:rPr>
            </w:pPr>
          </w:p>
        </w:tc>
        <w:tc>
          <w:tcPr>
            <w:tcW w:w="3740" w:type="dxa"/>
            <w:vAlign w:val="bottom"/>
            <w:tcBorders>
              <w:top w:val="single" w:sz="8" w:color="auto"/>
            </w:tcBorders>
            <w:gridSpan w:val="7"/>
            <w:shd w:val="clear" w:color="auto" w:fill="D8D8D8"/>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Borders>
              <w:top w:val="single" w:sz="8" w:color="auto"/>
            </w:tcBorders>
            <w:shd w:val="clear" w:color="auto" w:fill="D8D8D8"/>
          </w:tcPr>
          <w:p>
            <w:pPr>
              <w:spacing w:after="0"/>
              <w:rPr>
                <w:sz w:val="19"/>
                <w:szCs w:val="19"/>
                <w:color w:val="auto"/>
              </w:rPr>
            </w:pPr>
          </w:p>
        </w:tc>
        <w:tc>
          <w:tcPr>
            <w:tcW w:w="3700" w:type="dxa"/>
            <w:vAlign w:val="bottom"/>
            <w:tcBorders>
              <w:top w:val="single" w:sz="8" w:color="auto"/>
            </w:tcBorders>
            <w:gridSpan w:val="6"/>
            <w:shd w:val="clear" w:color="auto" w:fill="D8D8D8"/>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440" w:type="dxa"/>
            <w:vAlign w:val="bottom"/>
            <w:tcBorders>
              <w:top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780" w:type="dxa"/>
            <w:vAlign w:val="bottom"/>
            <w:tcBorders>
              <w:top w:val="single" w:sz="8" w:color="auto"/>
              <w:bottom w:val="single" w:sz="8" w:color="auto"/>
            </w:tcBorders>
            <w:shd w:val="clear" w:color="auto" w:fill="D8D8D8"/>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top w:val="single" w:sz="8" w:color="auto"/>
              <w:bottom w:val="single" w:sz="8" w:color="auto"/>
            </w:tcBorders>
            <w:shd w:val="clear" w:color="auto" w:fill="D8D8D8"/>
          </w:tcPr>
          <w:p>
            <w:pPr>
              <w:spacing w:after="0"/>
              <w:rPr>
                <w:sz w:val="18"/>
                <w:szCs w:val="18"/>
                <w:color w:val="auto"/>
              </w:rPr>
            </w:pPr>
          </w:p>
        </w:tc>
        <w:tc>
          <w:tcPr>
            <w:tcW w:w="760" w:type="dxa"/>
            <w:vAlign w:val="bottom"/>
            <w:tcBorders>
              <w:top w:val="single" w:sz="8" w:color="auto"/>
              <w:bottom w:val="single" w:sz="8" w:color="auto"/>
            </w:tcBorders>
            <w:shd w:val="clear" w:color="auto" w:fill="D8D8D8"/>
          </w:tcPr>
          <w:p>
            <w:pPr>
              <w:jc w:val="right"/>
              <w:ind w:right="239"/>
              <w:spacing w:after="0"/>
              <w:rPr>
                <w:sz w:val="20"/>
                <w:szCs w:val="20"/>
                <w:color w:val="auto"/>
              </w:rPr>
            </w:pPr>
            <w:r>
              <w:rPr>
                <w:rFonts w:ascii="Arial" w:cs="Arial" w:eastAsia="Arial" w:hAnsi="Arial"/>
                <w:sz w:val="16"/>
                <w:szCs w:val="16"/>
                <w:color w:val="auto"/>
              </w:rPr>
              <w:t>2025</w:t>
            </w:r>
          </w:p>
        </w:tc>
        <w:tc>
          <w:tcPr>
            <w:tcW w:w="2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D8D8D8"/>
          </w:tcPr>
          <w:p>
            <w:pPr>
              <w:jc w:val="right"/>
              <w:ind w:right="39"/>
              <w:spacing w:after="0"/>
              <w:rPr>
                <w:sz w:val="20"/>
                <w:szCs w:val="20"/>
                <w:color w:val="auto"/>
              </w:rPr>
            </w:pPr>
            <w:r>
              <w:rPr>
                <w:rFonts w:ascii="Arial" w:cs="Arial" w:eastAsia="Arial" w:hAnsi="Arial"/>
                <w:sz w:val="16"/>
                <w:szCs w:val="16"/>
                <w:color w:val="auto"/>
                <w:w w:val="99"/>
              </w:rPr>
              <w:t>Change</w:t>
            </w:r>
          </w:p>
        </w:tc>
        <w:tc>
          <w:tcPr>
            <w:tcW w:w="920" w:type="dxa"/>
            <w:vAlign w:val="bottom"/>
            <w:tcBorders>
              <w:top w:val="single" w:sz="8" w:color="auto"/>
              <w:bottom w:val="single" w:sz="8" w:color="auto"/>
            </w:tcBorders>
            <w:shd w:val="clear" w:color="auto" w:fill="D8D8D8"/>
          </w:tcPr>
          <w:p>
            <w:pPr>
              <w:jc w:val="right"/>
              <w:ind w:right="19"/>
              <w:spacing w:after="0"/>
              <w:rPr>
                <w:sz w:val="20"/>
                <w:szCs w:val="20"/>
                <w:color w:val="auto"/>
              </w:rPr>
            </w:pPr>
            <w:r>
              <w:rPr>
                <w:rFonts w:ascii="Arial" w:cs="Arial" w:eastAsia="Arial" w:hAnsi="Arial"/>
                <w:sz w:val="16"/>
                <w:szCs w:val="16"/>
                <w:color w:val="auto"/>
              </w:rPr>
              <w:t>% Change</w:t>
            </w:r>
          </w:p>
        </w:tc>
        <w:tc>
          <w:tcPr>
            <w:tcW w:w="100" w:type="dxa"/>
            <w:vAlign w:val="bottom"/>
            <w:tcBorders>
              <w:top w:val="single" w:sz="8" w:color="D8D8D8"/>
              <w:bottom w:val="single" w:sz="8" w:color="auto"/>
            </w:tcBorders>
            <w:shd w:val="clear" w:color="auto" w:fill="D8D8D8"/>
          </w:tcPr>
          <w:p>
            <w:pPr>
              <w:spacing w:after="0"/>
              <w:rPr>
                <w:sz w:val="18"/>
                <w:szCs w:val="18"/>
                <w:color w:val="auto"/>
              </w:rPr>
            </w:pPr>
          </w:p>
        </w:tc>
        <w:tc>
          <w:tcPr>
            <w:tcW w:w="160" w:type="dxa"/>
            <w:vAlign w:val="bottom"/>
            <w:tcBorders>
              <w:top w:val="single" w:sz="8" w:color="auto"/>
              <w:bottom w:val="single" w:sz="8" w:color="auto"/>
            </w:tcBorders>
            <w:shd w:val="clear" w:color="auto" w:fill="D8D8D8"/>
          </w:tcPr>
          <w:p>
            <w:pPr>
              <w:spacing w:after="0"/>
              <w:rPr>
                <w:sz w:val="18"/>
                <w:szCs w:val="18"/>
                <w:color w:val="auto"/>
              </w:rPr>
            </w:pPr>
          </w:p>
        </w:tc>
        <w:tc>
          <w:tcPr>
            <w:tcW w:w="820" w:type="dxa"/>
            <w:vAlign w:val="bottom"/>
            <w:tcBorders>
              <w:top w:val="single" w:sz="8" w:color="auto"/>
              <w:bottom w:val="single" w:sz="8" w:color="auto"/>
            </w:tcBorders>
            <w:shd w:val="clear" w:color="auto" w:fill="D8D8D8"/>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bottom w:val="single" w:sz="8" w:color="auto"/>
            </w:tcBorders>
            <w:shd w:val="clear" w:color="auto" w:fill="D8D8D8"/>
          </w:tcPr>
          <w:p>
            <w:pPr>
              <w:spacing w:after="0"/>
              <w:rPr>
                <w:sz w:val="18"/>
                <w:szCs w:val="18"/>
                <w:color w:val="auto"/>
              </w:rPr>
            </w:pPr>
          </w:p>
        </w:tc>
        <w:tc>
          <w:tcPr>
            <w:tcW w:w="760" w:type="dxa"/>
            <w:vAlign w:val="bottom"/>
            <w:tcBorders>
              <w:top w:val="single" w:sz="8" w:color="auto"/>
              <w:bottom w:val="single" w:sz="8" w:color="auto"/>
            </w:tcBorders>
            <w:shd w:val="clear" w:color="auto" w:fill="D8D8D8"/>
          </w:tcPr>
          <w:p>
            <w:pPr>
              <w:jc w:val="right"/>
              <w:ind w:right="239"/>
              <w:spacing w:after="0"/>
              <w:rPr>
                <w:sz w:val="20"/>
                <w:szCs w:val="20"/>
                <w:color w:val="auto"/>
              </w:rPr>
            </w:pPr>
            <w:r>
              <w:rPr>
                <w:rFonts w:ascii="Arial" w:cs="Arial" w:eastAsia="Arial" w:hAnsi="Arial"/>
                <w:sz w:val="16"/>
                <w:szCs w:val="16"/>
                <w:color w:val="auto"/>
              </w:rPr>
              <w:t>2025</w:t>
            </w:r>
          </w:p>
        </w:tc>
        <w:tc>
          <w:tcPr>
            <w:tcW w:w="2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D8D8D8"/>
          </w:tcPr>
          <w:p>
            <w:pPr>
              <w:jc w:val="right"/>
              <w:ind w:right="59"/>
              <w:spacing w:after="0"/>
              <w:rPr>
                <w:sz w:val="20"/>
                <w:szCs w:val="20"/>
                <w:color w:val="auto"/>
              </w:rPr>
            </w:pPr>
            <w:r>
              <w:rPr>
                <w:rFonts w:ascii="Arial" w:cs="Arial" w:eastAsia="Arial" w:hAnsi="Arial"/>
                <w:sz w:val="16"/>
                <w:szCs w:val="16"/>
                <w:color w:val="auto"/>
                <w:w w:val="99"/>
              </w:rPr>
              <w:t>Change</w:t>
            </w:r>
          </w:p>
        </w:tc>
        <w:tc>
          <w:tcPr>
            <w:tcW w:w="90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 Change</w:t>
            </w:r>
          </w:p>
        </w:tc>
        <w:tc>
          <w:tcPr>
            <w:tcW w:w="0" w:type="dxa"/>
            <w:vAlign w:val="bottom"/>
          </w:tcPr>
          <w:p>
            <w:pPr>
              <w:spacing w:after="0"/>
              <w:rPr>
                <w:sz w:val="1"/>
                <w:szCs w:val="1"/>
                <w:color w:val="auto"/>
              </w:rPr>
            </w:pPr>
          </w:p>
        </w:tc>
      </w:tr>
      <w:tr>
        <w:trPr>
          <w:trHeight w:val="209"/>
        </w:trPr>
        <w:tc>
          <w:tcPr>
            <w:tcW w:w="3440" w:type="dxa"/>
            <w:vAlign w:val="bottom"/>
          </w:tcPr>
          <w:p>
            <w:pPr>
              <w:ind w:left="20"/>
              <w:spacing w:after="0"/>
              <w:rPr>
                <w:sz w:val="20"/>
                <w:szCs w:val="20"/>
                <w:color w:val="auto"/>
              </w:rPr>
            </w:pPr>
            <w:r>
              <w:rPr>
                <w:rFonts w:ascii="Arial" w:cs="Arial" w:eastAsia="Arial" w:hAnsi="Arial"/>
                <w:sz w:val="16"/>
                <w:szCs w:val="16"/>
                <w:color w:val="auto"/>
              </w:rPr>
              <w:t>Condominium rights and unit sales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6,189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6,047</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715,634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714,957</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color w:val="auto"/>
              </w:rPr>
              <w:t>Rental revenue</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1,318</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3,450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7,244</w:t>
            </w:r>
          </w:p>
        </w:tc>
        <w:tc>
          <w:tcPr>
            <w:tcW w:w="2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1,460</w:t>
            </w:r>
          </w:p>
        </w:tc>
        <w:tc>
          <w:tcPr>
            <w:tcW w:w="2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5,784</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719,083</w:t>
            </w:r>
          </w:p>
        </w:tc>
        <w:tc>
          <w:tcPr>
            <w:tcW w:w="2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3,028</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716,055</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17"/>
        </w:trPr>
        <w:tc>
          <w:tcPr>
            <w:tcW w:w="3440" w:type="dxa"/>
            <w:vAlign w:val="bottom"/>
          </w:tcPr>
          <w:p>
            <w:pPr>
              <w:ind w:left="20"/>
              <w:spacing w:after="0"/>
              <w:rPr>
                <w:sz w:val="20"/>
                <w:szCs w:val="20"/>
                <w:color w:val="auto"/>
              </w:rPr>
            </w:pPr>
            <w:r>
              <w:rPr>
                <w:rFonts w:ascii="Arial" w:cs="Arial" w:eastAsia="Arial" w:hAnsi="Arial"/>
                <w:sz w:val="16"/>
                <w:szCs w:val="16"/>
                <w:color w:val="auto"/>
              </w:rPr>
              <w:t>Condominium rights and unit cost of sales</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(5,414)</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(5,355)</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(583,937)</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(582,825)</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color w:val="auto"/>
              </w:rPr>
              <w:t>Operating costs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(3,890)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(3,944)</w:t>
            </w:r>
          </w:p>
        </w:tc>
        <w:tc>
          <w:tcPr>
            <w:tcW w:w="2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(15,416)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(11,280)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(4,136)</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Rental property real estate taxes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(4,627)</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(601,189)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(14,179)</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(587,010)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 (loss)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(2,870)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(3,167)</w:t>
            </w:r>
          </w:p>
        </w:tc>
        <w:tc>
          <w:tcPr>
            <w:tcW w:w="2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92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117,894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(11,151)</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129,045</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(2,380)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(392)</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(6,505)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(2,283)</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4,558</w:t>
            </w:r>
          </w:p>
        </w:tc>
        <w:tc>
          <w:tcPr>
            <w:tcW w:w="2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4,311</w:t>
            </w:r>
          </w:p>
        </w:tc>
        <w:tc>
          <w:tcPr>
            <w:tcW w:w="2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92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13,629</w:t>
            </w:r>
          </w:p>
        </w:tc>
        <w:tc>
          <w:tcPr>
            <w:tcW w:w="2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13,590</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(1,591)</w:t>
            </w:r>
          </w:p>
        </w:tc>
        <w:tc>
          <w:tcPr>
            <w:tcW w:w="2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(3,657)</w:t>
            </w: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(2,480)</w:t>
            </w:r>
          </w:p>
        </w:tc>
        <w:tc>
          <w:tcPr>
            <w:tcW w:w="2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936</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(3,416)</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3"/>
        </w:trPr>
        <w:tc>
          <w:tcPr>
            <w:tcW w:w="3440" w:type="dxa"/>
            <w:vAlign w:val="bottom"/>
          </w:tcPr>
          <w:p>
            <w:pPr>
              <w:ind w:left="20"/>
              <w:spacing w:after="0" w:line="163" w:lineRule="exact"/>
              <w:rPr>
                <w:sz w:val="20"/>
                <w:szCs w:val="20"/>
                <w:color w:val="auto"/>
              </w:rPr>
            </w:pPr>
            <w:r>
              <w:rPr>
                <w:rFonts w:ascii="Arial" w:cs="Arial" w:eastAsia="Arial" w:hAnsi="Arial"/>
                <w:sz w:val="16"/>
                <w:szCs w:val="16"/>
                <w:color w:val="auto"/>
              </w:rPr>
              <w:t>Equity in earnings (losses) from</w:t>
            </w:r>
          </w:p>
        </w:tc>
        <w:tc>
          <w:tcPr>
            <w:tcW w:w="20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13,950</w:t>
            </w:r>
          </w:p>
        </w:tc>
        <w:tc>
          <w:tcPr>
            <w:tcW w:w="220" w:type="dxa"/>
            <w:vAlign w:val="bottom"/>
          </w:tcPr>
          <w:p>
            <w:pPr>
              <w:spacing w:after="0"/>
              <w:rPr>
                <w:sz w:val="14"/>
                <w:szCs w:val="14"/>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13,893</w:t>
            </w:r>
          </w:p>
        </w:tc>
        <w:tc>
          <w:tcPr>
            <w:tcW w:w="1020" w:type="dxa"/>
            <w:vAlign w:val="bottom"/>
            <w:gridSpan w:val="2"/>
            <w:vMerge w:val="restart"/>
          </w:tcPr>
          <w:p>
            <w:pPr>
              <w:ind w:left="64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9,044</w:t>
            </w:r>
          </w:p>
        </w:tc>
        <w:tc>
          <w:tcPr>
            <w:tcW w:w="240" w:type="dxa"/>
            <w:vAlign w:val="bottom"/>
          </w:tcPr>
          <w:p>
            <w:pPr>
              <w:spacing w:after="0"/>
              <w:rPr>
                <w:sz w:val="14"/>
                <w:szCs w:val="14"/>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color w:val="auto"/>
              </w:rPr>
              <w:t>231</w:t>
            </w:r>
          </w:p>
        </w:tc>
        <w:tc>
          <w:tcPr>
            <w:tcW w:w="260" w:type="dxa"/>
            <w:vAlign w:val="bottom"/>
          </w:tcPr>
          <w:p>
            <w:pPr>
              <w:spacing w:after="0"/>
              <w:rPr>
                <w:sz w:val="14"/>
                <w:szCs w:val="1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8,813</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440" w:type="dxa"/>
            <w:vAlign w:val="bottom"/>
          </w:tcPr>
          <w:p>
            <w:pPr>
              <w:ind w:left="20"/>
              <w:spacing w:after="0"/>
              <w:rPr>
                <w:sz w:val="20"/>
                <w:szCs w:val="20"/>
                <w:color w:val="auto"/>
              </w:rPr>
            </w:pPr>
            <w:r>
              <w:rPr>
                <w:rFonts w:ascii="Arial" w:cs="Arial" w:eastAsia="Arial" w:hAnsi="Arial"/>
                <w:sz w:val="16"/>
                <w:szCs w:val="16"/>
                <w:color w:val="auto"/>
              </w:rPr>
              <w:t>unconsolidated ventures</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40" w:type="dxa"/>
            <w:vAlign w:val="bottom"/>
          </w:tcPr>
          <w:p>
            <w:pPr>
              <w:ind w:left="20"/>
              <w:spacing w:after="0" w:line="163" w:lineRule="exact"/>
              <w:rPr>
                <w:sz w:val="20"/>
                <w:szCs w:val="20"/>
                <w:color w:val="auto"/>
              </w:rPr>
            </w:pPr>
            <w:r>
              <w:rPr>
                <w:rFonts w:ascii="Arial" w:cs="Arial" w:eastAsia="Arial" w:hAnsi="Arial"/>
                <w:sz w:val="16"/>
                <w:szCs w:val="16"/>
                <w:color w:val="auto"/>
              </w:rPr>
              <w:t>Gain (loss) on sale or disposal of real estate</w:t>
            </w:r>
          </w:p>
        </w:tc>
        <w:tc>
          <w:tcPr>
            <w:tcW w:w="20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6,153</w:t>
            </w:r>
          </w:p>
        </w:tc>
        <w:tc>
          <w:tcPr>
            <w:tcW w:w="220" w:type="dxa"/>
            <w:vAlign w:val="bottom"/>
          </w:tcPr>
          <w:p>
            <w:pPr>
              <w:spacing w:after="0"/>
              <w:rPr>
                <w:sz w:val="14"/>
                <w:szCs w:val="14"/>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color w:val="auto"/>
              </w:rPr>
              <w:t>10,064</w:t>
            </w:r>
          </w:p>
        </w:tc>
        <w:tc>
          <w:tcPr>
            <w:tcW w:w="2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(3,911)</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6,153</w:t>
            </w:r>
          </w:p>
        </w:tc>
        <w:tc>
          <w:tcPr>
            <w:tcW w:w="240" w:type="dxa"/>
            <w:vAlign w:val="bottom"/>
          </w:tcPr>
          <w:p>
            <w:pPr>
              <w:spacing w:after="0"/>
              <w:rPr>
                <w:sz w:val="14"/>
                <w:szCs w:val="14"/>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color w:val="auto"/>
              </w:rPr>
              <w:t>11,721</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(5,568)</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and other assets, net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 EBT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17,820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11,343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137,735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11,105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126,630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three months ended September 30, 2026: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Strategic Developments segment EBT increased $6.5 million compared to the prior-year period primarily due to the following:</w:t>
      </w:r>
    </w:p>
    <w:p>
      <w:pPr>
        <w:spacing w:after="0" w:line="23" w:lineRule="exact"/>
        <w:rPr>
          <w:sz w:val="20"/>
          <w:szCs w:val="20"/>
          <w:color w:val="auto"/>
        </w:rPr>
      </w:pPr>
    </w:p>
    <w:p>
      <w:pPr>
        <w:ind w:left="660" w:hanging="324"/>
        <w:spacing w:after="0" w:line="254" w:lineRule="auto"/>
        <w:rPr>
          <w:sz w:val="20"/>
          <w:szCs w:val="20"/>
          <w:color w:val="auto"/>
        </w:rPr>
      </w:pPr>
      <w:r>
        <w:rPr>
          <w:rFonts w:ascii="Arial" w:cs="Arial" w:eastAsia="Arial" w:hAnsi="Arial"/>
          <w:sz w:val="17"/>
          <w:szCs w:val="17"/>
          <w:color w:val="auto"/>
        </w:rPr>
        <w:t xml:space="preserve">– Equity earnings increased $13.9 million, primarily due to the recognition of the Company’s share of a gain on the sale of a land parcel at our West End Alexandria joint venture in the current period. Refer to Note 5 - </w:t>
      </w:r>
      <w:r>
        <w:rPr>
          <w:rFonts w:ascii="Arial" w:cs="Arial" w:eastAsia="Arial" w:hAnsi="Arial"/>
          <w:sz w:val="17"/>
          <w:szCs w:val="17"/>
          <w:i w:val="1"/>
          <w:iCs w:val="1"/>
          <w:color w:val="auto"/>
        </w:rPr>
        <w:t>Investments in Unconsolidated Ventures</w:t>
      </w:r>
      <w:r>
        <w:rPr>
          <w:rFonts w:ascii="Arial" w:cs="Arial" w:eastAsia="Arial" w:hAnsi="Arial"/>
          <w:sz w:val="17"/>
          <w:szCs w:val="17"/>
          <w:color w:val="auto"/>
        </w:rPr>
        <w:t xml:space="preserve"> in the Notes to Condensed Consolidated Financial Statements under Item 1 of this Quarterly Report for additional details.</w:t>
      </w:r>
    </w:p>
    <w:p>
      <w:pPr>
        <w:ind w:left="660" w:hanging="324"/>
        <w:spacing w:after="0" w:line="264" w:lineRule="auto"/>
        <w:rPr>
          <w:sz w:val="20"/>
          <w:szCs w:val="20"/>
          <w:color w:val="auto"/>
        </w:rPr>
      </w:pPr>
      <w:r>
        <w:rPr>
          <w:rFonts w:ascii="Arial" w:cs="Arial" w:eastAsia="Arial" w:hAnsi="Arial"/>
          <w:sz w:val="17"/>
          <w:szCs w:val="17"/>
          <w:color w:val="auto"/>
        </w:rPr>
        <w:t>– Condominium sales, net of cost of sales increased $0.7 million, primarily due to the closing of 5 units at The Park Ward Village in the current period.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These increases to EBT were partially offset by the following:</w:t>
      </w:r>
    </w:p>
    <w:p>
      <w:pPr>
        <w:spacing w:after="0" w:line="23" w:lineRule="exact"/>
        <w:rPr>
          <w:sz w:val="20"/>
          <w:szCs w:val="20"/>
          <w:color w:val="auto"/>
        </w:rPr>
      </w:pPr>
    </w:p>
    <w:p>
      <w:pPr>
        <w:ind w:left="660" w:hanging="324"/>
        <w:spacing w:after="0" w:line="259" w:lineRule="auto"/>
        <w:rPr>
          <w:sz w:val="20"/>
          <w:szCs w:val="20"/>
          <w:color w:val="auto"/>
        </w:rPr>
      </w:pPr>
      <w:r>
        <w:rPr>
          <w:rFonts w:ascii="Arial" w:cs="Arial" w:eastAsia="Arial" w:hAnsi="Arial"/>
          <w:sz w:val="17"/>
          <w:szCs w:val="17"/>
          <w:color w:val="auto"/>
        </w:rPr>
        <w:t xml:space="preserve">– Gain on sale of assets decreased $3.9 million, primarily due to the gain recognized on our contribution of land to a newly formed joint venture in the current period, compared to the gain recognized for a land swap in The Woodlands in the prior-year period. Refer to Note 5 - </w:t>
      </w:r>
      <w:r>
        <w:rPr>
          <w:rFonts w:ascii="Arial" w:cs="Arial" w:eastAsia="Arial" w:hAnsi="Arial"/>
          <w:sz w:val="17"/>
          <w:szCs w:val="17"/>
          <w:i w:val="1"/>
          <w:iCs w:val="1"/>
          <w:color w:val="auto"/>
        </w:rPr>
        <w:t xml:space="preserve">Investments in Unconsolidated Ventures </w:t>
      </w:r>
      <w:r>
        <w:rPr>
          <w:rFonts w:ascii="Arial" w:cs="Arial" w:eastAsia="Arial" w:hAnsi="Arial"/>
          <w:sz w:val="17"/>
          <w:szCs w:val="17"/>
          <w:color w:val="auto"/>
        </w:rPr>
        <w:t>and Note 10 -</w:t>
      </w:r>
      <w:r>
        <w:rPr>
          <w:rFonts w:ascii="Arial" w:cs="Arial" w:eastAsia="Arial" w:hAnsi="Arial"/>
          <w:sz w:val="17"/>
          <w:szCs w:val="17"/>
          <w:i w:val="1"/>
          <w:iCs w:val="1"/>
          <w:color w:val="auto"/>
        </w:rPr>
        <w:t xml:space="preserve"> Acquisitions and Dispositions of Real Estate Assets </w:t>
      </w:r>
      <w:r>
        <w:rPr>
          <w:rFonts w:ascii="Arial" w:cs="Arial" w:eastAsia="Arial" w:hAnsi="Arial"/>
          <w:sz w:val="17"/>
          <w:szCs w:val="17"/>
          <w:color w:val="auto"/>
        </w:rPr>
        <w:t>in the Notes to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under Item 1 of this Quarterly Report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60" w:hanging="446"/>
        <w:spacing w:after="0"/>
        <w:tabs>
          <w:tab w:leader="none" w:pos="496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nine months ended September 30, 2026: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Strategic Developments segment EBT increased $126.6 million compared to the prior-year period primarily due to the following:</w:t>
      </w:r>
    </w:p>
    <w:p>
      <w:pPr>
        <w:spacing w:after="0" w:line="23"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Condominium sales, net of cost of sales increased $132.1 million, primarily due to the closing of 532 units at The Park Ward Village and the remaining 6 units at Ulana Ward Village in the current period.</w:t>
      </w:r>
    </w:p>
    <w:p>
      <w:pPr>
        <w:spacing w:after="0" w:line="1" w:lineRule="exact"/>
        <w:rPr>
          <w:sz w:val="20"/>
          <w:szCs w:val="20"/>
          <w:color w:val="auto"/>
        </w:rPr>
      </w:pPr>
    </w:p>
    <w:p>
      <w:pPr>
        <w:ind w:left="660" w:hanging="324"/>
        <w:spacing w:after="0" w:line="264" w:lineRule="auto"/>
        <w:rPr>
          <w:sz w:val="20"/>
          <w:szCs w:val="20"/>
          <w:color w:val="auto"/>
        </w:rPr>
      </w:pPr>
      <w:r>
        <w:rPr>
          <w:rFonts w:ascii="Arial" w:cs="Arial" w:eastAsia="Arial" w:hAnsi="Arial"/>
          <w:sz w:val="17"/>
          <w:szCs w:val="17"/>
          <w:color w:val="auto"/>
        </w:rPr>
        <w:t>– Equity earnings increased $8.8 million due to the recognition of the Company’s share of a net gain on the sale of land parcels at our West End Alexandria joint venture in the current period.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These increases to EBT were partially offset by the following:</w:t>
      </w:r>
    </w:p>
    <w:p>
      <w:pPr>
        <w:spacing w:after="0" w:line="29" w:lineRule="exact"/>
        <w:rPr>
          <w:sz w:val="20"/>
          <w:szCs w:val="20"/>
          <w:color w:val="auto"/>
        </w:rPr>
      </w:pPr>
    </w:p>
    <w:p>
      <w:pPr>
        <w:ind w:left="660" w:hanging="324"/>
        <w:spacing w:after="0" w:line="261" w:lineRule="auto"/>
        <w:rPr>
          <w:sz w:val="20"/>
          <w:szCs w:val="20"/>
          <w:color w:val="auto"/>
        </w:rPr>
      </w:pPr>
      <w:r>
        <w:rPr>
          <w:rFonts w:ascii="Arial" w:cs="Arial" w:eastAsia="Arial" w:hAnsi="Arial"/>
          <w:sz w:val="17"/>
          <w:szCs w:val="17"/>
          <w:color w:val="auto"/>
        </w:rPr>
        <w:t>– Gain on sale of assets decreased $5.6 million, primarily due to the gain recognized on our contribution of land to a newly formed joint venture in the current period, compared to the gain recognized for a land swap in The Woodlands and the sale of a land parcel near the Merriweather District in the prior-year period.</w:t>
      </w:r>
    </w:p>
    <w:p>
      <w:pPr>
        <w:spacing w:after="0" w:line="20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00497F"/>
        </w:rPr>
        <w:t xml:space="preserve">Condominiums </w:t>
      </w:r>
      <w:r>
        <w:rPr>
          <w:rFonts w:ascii="Arial" w:cs="Arial" w:eastAsia="Arial" w:hAnsi="Arial"/>
          <w:sz w:val="17"/>
          <w:szCs w:val="17"/>
          <w:color w:val="000000"/>
        </w:rPr>
        <w:t>Condominium revenue is recognized when construction of the condominium tower is complete and unit sales close, leading to</w:t>
      </w:r>
      <w:r>
        <w:rPr>
          <w:rFonts w:ascii="Arial" w:cs="Arial" w:eastAsia="Arial" w:hAnsi="Arial"/>
          <w:sz w:val="17"/>
          <w:szCs w:val="17"/>
          <w:b w:val="1"/>
          <w:bCs w:val="1"/>
          <w:color w:val="00497F"/>
        </w:rPr>
        <w:t xml:space="preserve"> </w:t>
      </w:r>
      <w:r>
        <w:rPr>
          <w:rFonts w:ascii="Arial" w:cs="Arial" w:eastAsia="Arial" w:hAnsi="Arial"/>
          <w:sz w:val="17"/>
          <w:szCs w:val="17"/>
          <w:color w:val="000000"/>
        </w:rPr>
        <w:t>variability in revenue recognized between periods.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Completed Condominiums </w:t>
      </w:r>
      <w:r>
        <w:rPr>
          <w:rFonts w:ascii="Arial" w:cs="Arial" w:eastAsia="Arial" w:hAnsi="Arial"/>
          <w:sz w:val="17"/>
          <w:szCs w:val="17"/>
          <w:color w:val="auto"/>
        </w:rPr>
        <w:t>Ulana Ward Village was completed in the fourth quarter of 2025, and the remaining six units closed in the first quarter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2026. The Park Ward Village was completed in the second quarter of 2026. As of September 30, 2026, The Park Ward Village is 98% sold with the remaining units in condominium inventory.</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Under Construction and Pre-development Condominiums </w:t>
      </w:r>
      <w:r>
        <w:rPr>
          <w:rFonts w:ascii="Arial" w:cs="Arial" w:eastAsia="Arial" w:hAnsi="Arial"/>
          <w:sz w:val="17"/>
          <w:szCs w:val="17"/>
          <w:color w:val="auto"/>
        </w:rPr>
        <w:t>The Company commenced construction on The Launiu in the first quarter of 2026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were launched at Mahana in the third quarter of 2026. The following provides further detail for our under-construction and pre-development condominium projects as of September 30,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60" w:type="dxa"/>
            <w:vAlign w:val="bottom"/>
            <w:tcBorders>
              <w:top w:val="single" w:sz="8" w:color="auto"/>
            </w:tcBorders>
            <w:shd w:val="clear" w:color="auto" w:fill="D8D8D8"/>
          </w:tcPr>
          <w:p>
            <w:pPr>
              <w:spacing w:after="0"/>
              <w:rPr>
                <w:sz w:val="15"/>
                <w:szCs w:val="15"/>
                <w:color w:val="auto"/>
              </w:rPr>
            </w:pPr>
          </w:p>
        </w:tc>
        <w:tc>
          <w:tcPr>
            <w:tcW w:w="2760" w:type="dxa"/>
            <w:vAlign w:val="bottom"/>
            <w:tcBorders>
              <w:top w:val="single" w:sz="8" w:color="auto"/>
            </w:tcBorders>
            <w:vMerge w:val="restart"/>
            <w:shd w:val="clear" w:color="auto" w:fill="D8D8D8"/>
          </w:tcPr>
          <w:p>
            <w:pPr>
              <w:jc w:val="center"/>
              <w:ind w:left="715"/>
              <w:spacing w:after="0"/>
              <w:rPr>
                <w:sz w:val="20"/>
                <w:szCs w:val="20"/>
                <w:color w:val="auto"/>
              </w:rPr>
            </w:pPr>
            <w:r>
              <w:rPr>
                <w:rFonts w:ascii="Arial" w:cs="Arial" w:eastAsia="Arial" w:hAnsi="Arial"/>
                <w:sz w:val="17"/>
                <w:szCs w:val="17"/>
                <w:b w:val="1"/>
                <w:bCs w:val="1"/>
                <w:color w:val="auto"/>
              </w:rPr>
              <w:t>Location</w:t>
            </w:r>
          </w:p>
        </w:tc>
        <w:tc>
          <w:tcPr>
            <w:tcW w:w="1260" w:type="dxa"/>
            <w:vAlign w:val="bottom"/>
            <w:tcBorders>
              <w:top w:val="single" w:sz="8" w:color="auto"/>
            </w:tcBorders>
            <w:shd w:val="clear" w:color="auto" w:fill="D8D8D8"/>
          </w:tcPr>
          <w:p>
            <w:pPr>
              <w:jc w:val="right"/>
              <w:spacing w:after="0" w:line="180" w:lineRule="exact"/>
              <w:rPr>
                <w:sz w:val="20"/>
                <w:szCs w:val="20"/>
                <w:color w:val="auto"/>
              </w:rPr>
            </w:pPr>
            <w:r>
              <w:rPr>
                <w:rFonts w:ascii="Arial" w:cs="Arial" w:eastAsia="Arial" w:hAnsi="Arial"/>
                <w:sz w:val="17"/>
                <w:szCs w:val="17"/>
                <w:b w:val="1"/>
                <w:bCs w:val="1"/>
                <w:color w:val="auto"/>
              </w:rPr>
              <w:t>Units Under</w:t>
            </w:r>
          </w:p>
        </w:tc>
        <w:tc>
          <w:tcPr>
            <w:tcW w:w="1020" w:type="dxa"/>
            <w:vAlign w:val="bottom"/>
            <w:tcBorders>
              <w:top w:val="single" w:sz="8" w:color="auto"/>
            </w:tcBorders>
            <w:vMerge w:val="restart"/>
            <w:shd w:val="clear" w:color="auto" w:fill="D8D8D8"/>
          </w:tcPr>
          <w:p>
            <w:pPr>
              <w:jc w:val="right"/>
              <w:ind w:right="15"/>
              <w:spacing w:after="0"/>
              <w:rPr>
                <w:sz w:val="20"/>
                <w:szCs w:val="20"/>
                <w:color w:val="auto"/>
              </w:rPr>
            </w:pPr>
            <w:r>
              <w:rPr>
                <w:rFonts w:ascii="Arial" w:cs="Arial" w:eastAsia="Arial" w:hAnsi="Arial"/>
                <w:sz w:val="17"/>
                <w:szCs w:val="17"/>
                <w:b w:val="1"/>
                <w:bCs w:val="1"/>
                <w:color w:val="auto"/>
              </w:rPr>
              <w:t>Total Units</w:t>
            </w:r>
          </w:p>
        </w:tc>
        <w:tc>
          <w:tcPr>
            <w:tcW w:w="1600" w:type="dxa"/>
            <w:vAlign w:val="bottom"/>
            <w:tcBorders>
              <w:top w:val="single" w:sz="8" w:color="auto"/>
            </w:tcBorders>
            <w:shd w:val="clear" w:color="auto" w:fill="D8D8D8"/>
          </w:tcPr>
          <w:p>
            <w:pPr>
              <w:jc w:val="right"/>
              <w:ind w:right="135"/>
              <w:spacing w:after="0" w:line="180" w:lineRule="exact"/>
              <w:rPr>
                <w:sz w:val="20"/>
                <w:szCs w:val="20"/>
                <w:color w:val="auto"/>
              </w:rPr>
            </w:pPr>
            <w:r>
              <w:rPr>
                <w:rFonts w:ascii="Arial" w:cs="Arial" w:eastAsia="Arial" w:hAnsi="Arial"/>
                <w:sz w:val="17"/>
                <w:szCs w:val="17"/>
                <w:b w:val="1"/>
                <w:bCs w:val="1"/>
                <w:color w:val="auto"/>
              </w:rPr>
              <w:t>Total % of Units</w:t>
            </w:r>
          </w:p>
        </w:tc>
        <w:tc>
          <w:tcPr>
            <w:tcW w:w="1240" w:type="dxa"/>
            <w:vAlign w:val="bottom"/>
            <w:tcBorders>
              <w:top w:val="single" w:sz="8" w:color="auto"/>
            </w:tcBorders>
            <w:shd w:val="clear" w:color="auto" w:fill="D8D8D8"/>
          </w:tcPr>
          <w:p>
            <w:pPr>
              <w:jc w:val="center"/>
              <w:ind w:right="15"/>
              <w:spacing w:after="0" w:line="180" w:lineRule="exact"/>
              <w:rPr>
                <w:sz w:val="20"/>
                <w:szCs w:val="20"/>
                <w:color w:val="auto"/>
              </w:rPr>
            </w:pPr>
            <w:r>
              <w:rPr>
                <w:rFonts w:ascii="Arial" w:cs="Arial" w:eastAsia="Arial" w:hAnsi="Arial"/>
                <w:sz w:val="17"/>
                <w:szCs w:val="17"/>
                <w:b w:val="1"/>
                <w:bCs w:val="1"/>
                <w:color w:val="auto"/>
              </w:rPr>
              <w:t>Completion</w:t>
            </w:r>
          </w:p>
        </w:tc>
        <w:tc>
          <w:tcPr>
            <w:tcW w:w="0" w:type="dxa"/>
            <w:vAlign w:val="bottom"/>
          </w:tcPr>
          <w:p>
            <w:pPr>
              <w:spacing w:after="0"/>
              <w:rPr>
                <w:sz w:val="1"/>
                <w:szCs w:val="1"/>
                <w:color w:val="auto"/>
              </w:rPr>
            </w:pPr>
          </w:p>
        </w:tc>
      </w:tr>
      <w:tr>
        <w:trPr>
          <w:trHeight w:val="225"/>
        </w:trPr>
        <w:tc>
          <w:tcPr>
            <w:tcW w:w="3360" w:type="dxa"/>
            <w:vAlign w:val="bottom"/>
            <w:tcBorders>
              <w:bottom w:val="single" w:sz="8" w:color="auto"/>
            </w:tcBorders>
            <w:shd w:val="clear" w:color="auto" w:fill="D8D8D8"/>
          </w:tcPr>
          <w:p>
            <w:pPr>
              <w:spacing w:after="0"/>
              <w:rPr>
                <w:sz w:val="19"/>
                <w:szCs w:val="19"/>
                <w:color w:val="auto"/>
              </w:rPr>
            </w:pPr>
          </w:p>
        </w:tc>
        <w:tc>
          <w:tcPr>
            <w:tcW w:w="2760" w:type="dxa"/>
            <w:vAlign w:val="bottom"/>
            <w:tcBorders>
              <w:bottom w:val="single" w:sz="8" w:color="auto"/>
            </w:tcBorders>
            <w:vMerge w:val="continue"/>
            <w:shd w:val="clear" w:color="auto" w:fill="D8D8D8"/>
          </w:tcPr>
          <w:p>
            <w:pPr>
              <w:spacing w:after="0"/>
              <w:rPr>
                <w:sz w:val="19"/>
                <w:szCs w:val="19"/>
                <w:color w:val="auto"/>
              </w:rPr>
            </w:pPr>
          </w:p>
        </w:tc>
        <w:tc>
          <w:tcPr>
            <w:tcW w:w="12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7"/>
                <w:szCs w:val="17"/>
                <w:b w:val="1"/>
                <w:bCs w:val="1"/>
                <w:color w:val="auto"/>
              </w:rPr>
              <w:t>Contract</w:t>
            </w:r>
          </w:p>
        </w:tc>
        <w:tc>
          <w:tcPr>
            <w:tcW w:w="1020" w:type="dxa"/>
            <w:vAlign w:val="bottom"/>
            <w:tcBorders>
              <w:bottom w:val="single" w:sz="8" w:color="auto"/>
            </w:tcBorders>
            <w:vMerge w:val="continue"/>
            <w:shd w:val="clear" w:color="auto" w:fill="D8D8D8"/>
          </w:tcPr>
          <w:p>
            <w:pPr>
              <w:spacing w:after="0"/>
              <w:rPr>
                <w:sz w:val="19"/>
                <w:szCs w:val="19"/>
                <w:color w:val="auto"/>
              </w:rPr>
            </w:pPr>
          </w:p>
        </w:tc>
        <w:tc>
          <w:tcPr>
            <w:tcW w:w="1600" w:type="dxa"/>
            <w:vAlign w:val="bottom"/>
            <w:tcBorders>
              <w:bottom w:val="single" w:sz="8" w:color="auto"/>
            </w:tcBorders>
            <w:shd w:val="clear" w:color="auto" w:fill="D8D8D8"/>
          </w:tcPr>
          <w:p>
            <w:pPr>
              <w:jc w:val="right"/>
              <w:ind w:right="155"/>
              <w:spacing w:after="0"/>
              <w:rPr>
                <w:sz w:val="20"/>
                <w:szCs w:val="20"/>
                <w:color w:val="auto"/>
              </w:rPr>
            </w:pPr>
            <w:r>
              <w:rPr>
                <w:rFonts w:ascii="Arial" w:cs="Arial" w:eastAsia="Arial" w:hAnsi="Arial"/>
                <w:sz w:val="17"/>
                <w:szCs w:val="17"/>
                <w:b w:val="1"/>
                <w:bCs w:val="1"/>
                <w:color w:val="auto"/>
              </w:rPr>
              <w:t>Under Contract</w:t>
            </w:r>
          </w:p>
        </w:tc>
        <w:tc>
          <w:tcPr>
            <w:tcW w:w="1240" w:type="dxa"/>
            <w:vAlign w:val="bottom"/>
            <w:tcBorders>
              <w:bottom w:val="single" w:sz="8" w:color="auto"/>
            </w:tcBorders>
            <w:shd w:val="clear" w:color="auto" w:fill="D8D8D8"/>
          </w:tcPr>
          <w:p>
            <w:pPr>
              <w:jc w:val="center"/>
              <w:ind w:right="15"/>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Under construction</w:t>
            </w: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140"/>
              <w:spacing w:after="0"/>
              <w:rPr>
                <w:sz w:val="20"/>
                <w:szCs w:val="20"/>
                <w:color w:val="auto"/>
              </w:rPr>
            </w:pPr>
            <w:r>
              <w:rPr>
                <w:rFonts w:ascii="Arial" w:cs="Arial" w:eastAsia="Arial" w:hAnsi="Arial"/>
                <w:sz w:val="17"/>
                <w:szCs w:val="17"/>
                <w:color w:val="auto"/>
              </w:rPr>
              <w:t>The Ritz-Carlton Residences</w:t>
            </w:r>
          </w:p>
        </w:tc>
        <w:tc>
          <w:tcPr>
            <w:tcW w:w="2760" w:type="dxa"/>
            <w:vAlign w:val="bottom"/>
          </w:tcPr>
          <w:p>
            <w:pPr>
              <w:jc w:val="center"/>
              <w:ind w:left="715"/>
              <w:spacing w:after="0"/>
              <w:rPr>
                <w:sz w:val="20"/>
                <w:szCs w:val="20"/>
                <w:color w:val="auto"/>
              </w:rPr>
            </w:pPr>
            <w:r>
              <w:rPr>
                <w:rFonts w:ascii="Arial" w:cs="Arial" w:eastAsia="Arial" w:hAnsi="Arial"/>
                <w:sz w:val="17"/>
                <w:szCs w:val="17"/>
                <w:color w:val="auto"/>
              </w:rPr>
              <w:t>The Woodlands, TX</w:t>
            </w:r>
          </w:p>
        </w:tc>
        <w:tc>
          <w:tcPr>
            <w:tcW w:w="1260" w:type="dxa"/>
            <w:vAlign w:val="bottom"/>
          </w:tcPr>
          <w:p>
            <w:pPr>
              <w:jc w:val="right"/>
              <w:spacing w:after="0"/>
              <w:rPr>
                <w:sz w:val="20"/>
                <w:szCs w:val="20"/>
                <w:color w:val="auto"/>
              </w:rPr>
            </w:pPr>
            <w:r>
              <w:rPr>
                <w:rFonts w:ascii="Arial" w:cs="Arial" w:eastAsia="Arial" w:hAnsi="Arial"/>
                <w:sz w:val="17"/>
                <w:szCs w:val="17"/>
                <w:color w:val="auto"/>
              </w:rPr>
              <w:t>88</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111</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79 %</w:t>
            </w:r>
          </w:p>
        </w:tc>
        <w:tc>
          <w:tcPr>
            <w:tcW w:w="1240" w:type="dxa"/>
            <w:vAlign w:val="bottom"/>
          </w:tcPr>
          <w:p>
            <w:pPr>
              <w:jc w:val="center"/>
              <w:ind w:right="15"/>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7"/>
                <w:szCs w:val="17"/>
                <w:color w:val="auto"/>
              </w:rPr>
              <w:t>Kalae</w:t>
            </w:r>
          </w:p>
        </w:tc>
        <w:tc>
          <w:tcPr>
            <w:tcW w:w="2760" w:type="dxa"/>
            <w:vAlign w:val="bottom"/>
          </w:tcPr>
          <w:p>
            <w:pPr>
              <w:jc w:val="center"/>
              <w:ind w:left="695"/>
              <w:spacing w:after="0"/>
              <w:rPr>
                <w:sz w:val="20"/>
                <w:szCs w:val="20"/>
                <w:color w:val="auto"/>
              </w:rPr>
            </w:pPr>
            <w:r>
              <w:rPr>
                <w:rFonts w:ascii="Arial" w:cs="Arial" w:eastAsia="Arial" w:hAnsi="Arial"/>
                <w:sz w:val="17"/>
                <w:szCs w:val="17"/>
                <w:color w:val="auto"/>
              </w:rPr>
              <w:t>Honolulu, HI</w:t>
            </w:r>
          </w:p>
        </w:tc>
        <w:tc>
          <w:tcPr>
            <w:tcW w:w="1260" w:type="dxa"/>
            <w:vAlign w:val="bottom"/>
          </w:tcPr>
          <w:p>
            <w:pPr>
              <w:jc w:val="right"/>
              <w:spacing w:after="0"/>
              <w:rPr>
                <w:sz w:val="20"/>
                <w:szCs w:val="20"/>
                <w:color w:val="auto"/>
              </w:rPr>
            </w:pPr>
            <w:r>
              <w:rPr>
                <w:rFonts w:ascii="Arial" w:cs="Arial" w:eastAsia="Arial" w:hAnsi="Arial"/>
                <w:sz w:val="17"/>
                <w:szCs w:val="17"/>
                <w:color w:val="auto"/>
              </w:rPr>
              <w:t>309</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329</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94 %</w:t>
            </w:r>
          </w:p>
        </w:tc>
        <w:tc>
          <w:tcPr>
            <w:tcW w:w="1240" w:type="dxa"/>
            <w:vAlign w:val="bottom"/>
          </w:tcPr>
          <w:p>
            <w:pPr>
              <w:jc w:val="center"/>
              <w:ind w:right="15"/>
              <w:spacing w:after="0"/>
              <w:rPr>
                <w:sz w:val="20"/>
                <w:szCs w:val="20"/>
                <w:color w:val="auto"/>
              </w:rPr>
            </w:pPr>
            <w:r>
              <w:rPr>
                <w:rFonts w:ascii="Arial" w:cs="Arial" w:eastAsia="Arial" w:hAnsi="Arial"/>
                <w:sz w:val="17"/>
                <w:szCs w:val="17"/>
                <w:color w:val="auto"/>
              </w:rPr>
              <w:t>2028</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7"/>
                <w:szCs w:val="17"/>
                <w:color w:val="auto"/>
              </w:rPr>
              <w:t>The Launiu</w:t>
            </w:r>
          </w:p>
        </w:tc>
        <w:tc>
          <w:tcPr>
            <w:tcW w:w="2760" w:type="dxa"/>
            <w:vAlign w:val="bottom"/>
          </w:tcPr>
          <w:p>
            <w:pPr>
              <w:jc w:val="center"/>
              <w:ind w:left="695"/>
              <w:spacing w:after="0"/>
              <w:rPr>
                <w:sz w:val="20"/>
                <w:szCs w:val="20"/>
                <w:color w:val="auto"/>
              </w:rPr>
            </w:pPr>
            <w:r>
              <w:rPr>
                <w:rFonts w:ascii="Arial" w:cs="Arial" w:eastAsia="Arial" w:hAnsi="Arial"/>
                <w:sz w:val="17"/>
                <w:szCs w:val="17"/>
                <w:color w:val="auto"/>
              </w:rPr>
              <w:t>Honolulu, HI</w:t>
            </w:r>
          </w:p>
        </w:tc>
        <w:tc>
          <w:tcPr>
            <w:tcW w:w="1260" w:type="dxa"/>
            <w:vAlign w:val="bottom"/>
          </w:tcPr>
          <w:p>
            <w:pPr>
              <w:jc w:val="right"/>
              <w:spacing w:after="0"/>
              <w:rPr>
                <w:sz w:val="20"/>
                <w:szCs w:val="20"/>
                <w:color w:val="auto"/>
              </w:rPr>
            </w:pPr>
            <w:r>
              <w:rPr>
                <w:rFonts w:ascii="Arial" w:cs="Arial" w:eastAsia="Arial" w:hAnsi="Arial"/>
                <w:sz w:val="17"/>
                <w:szCs w:val="17"/>
                <w:color w:val="auto"/>
              </w:rPr>
              <w:t>365</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485</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75 %</w:t>
            </w:r>
          </w:p>
        </w:tc>
        <w:tc>
          <w:tcPr>
            <w:tcW w:w="1240" w:type="dxa"/>
            <w:vAlign w:val="bottom"/>
          </w:tcPr>
          <w:p>
            <w:pPr>
              <w:jc w:val="center"/>
              <w:ind w:right="15"/>
              <w:spacing w:after="0"/>
              <w:rPr>
                <w:sz w:val="20"/>
                <w:szCs w:val="20"/>
                <w:color w:val="auto"/>
              </w:rPr>
            </w:pPr>
            <w:r>
              <w:rPr>
                <w:rFonts w:ascii="Arial" w:cs="Arial" w:eastAsia="Arial" w:hAnsi="Arial"/>
                <w:sz w:val="17"/>
                <w:szCs w:val="17"/>
                <w:color w:val="auto"/>
              </w:rPr>
              <w:t>2028</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Pre-development</w:t>
            </w:r>
          </w:p>
        </w:tc>
        <w:tc>
          <w:tcPr>
            <w:tcW w:w="2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140"/>
              <w:spacing w:after="0"/>
              <w:rPr>
                <w:sz w:val="20"/>
                <w:szCs w:val="20"/>
                <w:color w:val="auto"/>
              </w:rPr>
            </w:pPr>
            <w:r>
              <w:rPr>
                <w:rFonts w:ascii="Arial" w:cs="Arial" w:eastAsia="Arial" w:hAnsi="Arial"/>
                <w:sz w:val="17"/>
                <w:szCs w:val="17"/>
                <w:color w:val="auto"/>
              </w:rPr>
              <w:t>Melia</w:t>
            </w:r>
          </w:p>
        </w:tc>
        <w:tc>
          <w:tcPr>
            <w:tcW w:w="2760" w:type="dxa"/>
            <w:vAlign w:val="bottom"/>
          </w:tcPr>
          <w:p>
            <w:pPr>
              <w:jc w:val="center"/>
              <w:ind w:left="695"/>
              <w:spacing w:after="0"/>
              <w:rPr>
                <w:sz w:val="20"/>
                <w:szCs w:val="20"/>
                <w:color w:val="auto"/>
              </w:rPr>
            </w:pPr>
            <w:r>
              <w:rPr>
                <w:rFonts w:ascii="Arial" w:cs="Arial" w:eastAsia="Arial" w:hAnsi="Arial"/>
                <w:sz w:val="17"/>
                <w:szCs w:val="17"/>
                <w:color w:val="auto"/>
              </w:rPr>
              <w:t>Honolulu, HI</w:t>
            </w:r>
          </w:p>
        </w:tc>
        <w:tc>
          <w:tcPr>
            <w:tcW w:w="1260" w:type="dxa"/>
            <w:vAlign w:val="bottom"/>
          </w:tcPr>
          <w:p>
            <w:pPr>
              <w:jc w:val="right"/>
              <w:spacing w:after="0"/>
              <w:rPr>
                <w:sz w:val="20"/>
                <w:szCs w:val="20"/>
                <w:color w:val="auto"/>
              </w:rPr>
            </w:pPr>
            <w:r>
              <w:rPr>
                <w:rFonts w:ascii="Arial" w:cs="Arial" w:eastAsia="Arial" w:hAnsi="Arial"/>
                <w:sz w:val="17"/>
                <w:szCs w:val="17"/>
                <w:color w:val="auto"/>
              </w:rPr>
              <w:t>157</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220</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71 %</w:t>
            </w:r>
          </w:p>
        </w:tc>
        <w:tc>
          <w:tcPr>
            <w:tcW w:w="1240" w:type="dxa"/>
            <w:vAlign w:val="bottom"/>
          </w:tcPr>
          <w:p>
            <w:pPr>
              <w:jc w:val="center"/>
              <w:ind w:right="15"/>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7"/>
                <w:szCs w:val="17"/>
                <w:color w:val="auto"/>
              </w:rPr>
              <w:t>‘Ilima</w:t>
            </w:r>
          </w:p>
        </w:tc>
        <w:tc>
          <w:tcPr>
            <w:tcW w:w="2760" w:type="dxa"/>
            <w:vAlign w:val="bottom"/>
          </w:tcPr>
          <w:p>
            <w:pPr>
              <w:jc w:val="center"/>
              <w:ind w:left="695"/>
              <w:spacing w:after="0"/>
              <w:rPr>
                <w:sz w:val="20"/>
                <w:szCs w:val="20"/>
                <w:color w:val="auto"/>
              </w:rPr>
            </w:pPr>
            <w:r>
              <w:rPr>
                <w:rFonts w:ascii="Arial" w:cs="Arial" w:eastAsia="Arial" w:hAnsi="Arial"/>
                <w:sz w:val="17"/>
                <w:szCs w:val="17"/>
                <w:color w:val="auto"/>
              </w:rPr>
              <w:t>Honolulu, HI</w:t>
            </w:r>
          </w:p>
        </w:tc>
        <w:tc>
          <w:tcPr>
            <w:tcW w:w="1260" w:type="dxa"/>
            <w:vAlign w:val="bottom"/>
          </w:tcPr>
          <w:p>
            <w:pPr>
              <w:jc w:val="right"/>
              <w:spacing w:after="0"/>
              <w:rPr>
                <w:sz w:val="20"/>
                <w:szCs w:val="20"/>
                <w:color w:val="auto"/>
              </w:rPr>
            </w:pPr>
            <w:r>
              <w:rPr>
                <w:rFonts w:ascii="Arial" w:cs="Arial" w:eastAsia="Arial" w:hAnsi="Arial"/>
                <w:sz w:val="17"/>
                <w:szCs w:val="17"/>
                <w:color w:val="auto"/>
              </w:rPr>
              <w:t>95</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148</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64 %</w:t>
            </w:r>
          </w:p>
        </w:tc>
        <w:tc>
          <w:tcPr>
            <w:tcW w:w="1240" w:type="dxa"/>
            <w:vAlign w:val="bottom"/>
          </w:tcPr>
          <w:p>
            <w:pPr>
              <w:jc w:val="center"/>
              <w:ind w:right="15"/>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Mahana</w:t>
            </w:r>
          </w:p>
        </w:tc>
        <w:tc>
          <w:tcPr>
            <w:tcW w:w="2760" w:type="dxa"/>
            <w:vAlign w:val="bottom"/>
            <w:tcBorders>
              <w:bottom w:val="single" w:sz="8" w:color="auto"/>
            </w:tcBorders>
          </w:tcPr>
          <w:p>
            <w:pPr>
              <w:jc w:val="center"/>
              <w:ind w:left="695"/>
              <w:spacing w:after="0"/>
              <w:rPr>
                <w:sz w:val="20"/>
                <w:szCs w:val="20"/>
                <w:color w:val="auto"/>
              </w:rPr>
            </w:pPr>
            <w:r>
              <w:rPr>
                <w:rFonts w:ascii="Arial" w:cs="Arial" w:eastAsia="Arial" w:hAnsi="Arial"/>
                <w:sz w:val="17"/>
                <w:szCs w:val="17"/>
                <w:color w:val="auto"/>
              </w:rPr>
              <w:t>Honolulu, HI</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450</w:t>
            </w: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15 %</w:t>
            </w:r>
          </w:p>
        </w:tc>
        <w:tc>
          <w:tcPr>
            <w:tcW w:w="12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rPr>
              <w:t>2031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60" w:hanging="446"/>
        <w:spacing w:after="0"/>
        <w:tabs>
          <w:tab w:leader="none" w:pos="49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Corporate Income, Expenses,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contains certain corporate-related and other items not related to segment activities and that are not otherwise included within the segment analyses. Variances related to income and expenses included in NOI or EBT are explained within the previous segment discussions. Significant variances for consolidated items not included in NOI or EBT are described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8D8D8"/>
          </w:tcPr>
          <w:p>
            <w:pPr>
              <w:spacing w:after="0"/>
              <w:rPr>
                <w:sz w:val="19"/>
                <w:szCs w:val="19"/>
                <w:color w:val="auto"/>
              </w:rPr>
            </w:pPr>
          </w:p>
        </w:tc>
        <w:tc>
          <w:tcPr>
            <w:tcW w:w="3820" w:type="dxa"/>
            <w:vAlign w:val="bottom"/>
            <w:tcBorders>
              <w:top w:val="single" w:sz="8" w:color="auto"/>
            </w:tcBorders>
            <w:gridSpan w:val="7"/>
            <w:shd w:val="clear" w:color="auto" w:fill="D8D8D8"/>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top w:val="single" w:sz="8" w:color="auto"/>
            </w:tcBorders>
            <w:shd w:val="clear" w:color="auto" w:fill="D8D8D8"/>
          </w:tcPr>
          <w:p>
            <w:pPr>
              <w:spacing w:after="0"/>
              <w:rPr>
                <w:sz w:val="19"/>
                <w:szCs w:val="19"/>
                <w:color w:val="auto"/>
              </w:rPr>
            </w:pPr>
          </w:p>
        </w:tc>
        <w:tc>
          <w:tcPr>
            <w:tcW w:w="3980" w:type="dxa"/>
            <w:vAlign w:val="bottom"/>
            <w:tcBorders>
              <w:top w:val="single" w:sz="8" w:color="auto"/>
            </w:tcBorders>
            <w:gridSpan w:val="6"/>
            <w:shd w:val="clear" w:color="auto" w:fill="D8D8D8"/>
          </w:tcPr>
          <w:p>
            <w:pPr>
              <w:jc w:val="right"/>
              <w:ind w:right="67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304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6"/>
                <w:szCs w:val="16"/>
                <w:i w:val="1"/>
                <w:iCs w:val="1"/>
                <w:color w:val="auto"/>
              </w:rPr>
              <w:t>thousands except percentages</w:t>
            </w: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840" w:type="dxa"/>
            <w:vAlign w:val="bottom"/>
            <w:tcBorders>
              <w:top w:val="single" w:sz="8" w:color="auto"/>
              <w:bottom w:val="single" w:sz="8" w:color="auto"/>
            </w:tcBorders>
            <w:shd w:val="clear" w:color="auto" w:fill="D8D8D8"/>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bottom w:val="single" w:sz="8" w:color="auto"/>
            </w:tcBorders>
            <w:shd w:val="clear" w:color="auto" w:fill="D8D8D8"/>
          </w:tcPr>
          <w:p>
            <w:pPr>
              <w:spacing w:after="0"/>
              <w:rPr>
                <w:sz w:val="18"/>
                <w:szCs w:val="18"/>
                <w:color w:val="auto"/>
              </w:rPr>
            </w:pPr>
          </w:p>
        </w:tc>
        <w:tc>
          <w:tcPr>
            <w:tcW w:w="760" w:type="dxa"/>
            <w:vAlign w:val="bottom"/>
            <w:tcBorders>
              <w:top w:val="single" w:sz="8" w:color="auto"/>
              <w:bottom w:val="single" w:sz="8" w:color="auto"/>
            </w:tcBorders>
            <w:shd w:val="clear" w:color="auto" w:fill="D8D8D8"/>
          </w:tcPr>
          <w:p>
            <w:pPr>
              <w:jc w:val="right"/>
              <w:ind w:right="239"/>
              <w:spacing w:after="0"/>
              <w:rPr>
                <w:sz w:val="20"/>
                <w:szCs w:val="20"/>
                <w:color w:val="auto"/>
              </w:rPr>
            </w:pPr>
            <w:r>
              <w:rPr>
                <w:rFonts w:ascii="Arial" w:cs="Arial" w:eastAsia="Arial" w:hAnsi="Arial"/>
                <w:sz w:val="16"/>
                <w:szCs w:val="16"/>
                <w:color w:val="auto"/>
              </w:rPr>
              <w:t>2025</w:t>
            </w:r>
          </w:p>
        </w:tc>
        <w:tc>
          <w:tcPr>
            <w:tcW w:w="2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D8D8D8"/>
          </w:tcPr>
          <w:p>
            <w:pPr>
              <w:jc w:val="right"/>
              <w:ind w:right="59"/>
              <w:spacing w:after="0"/>
              <w:rPr>
                <w:sz w:val="20"/>
                <w:szCs w:val="20"/>
                <w:color w:val="auto"/>
              </w:rPr>
            </w:pPr>
            <w:r>
              <w:rPr>
                <w:rFonts w:ascii="Arial" w:cs="Arial" w:eastAsia="Arial" w:hAnsi="Arial"/>
                <w:sz w:val="16"/>
                <w:szCs w:val="16"/>
                <w:color w:val="auto"/>
                <w:w w:val="99"/>
              </w:rPr>
              <w:t>Change</w:t>
            </w:r>
          </w:p>
        </w:tc>
        <w:tc>
          <w:tcPr>
            <w:tcW w:w="90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 Change</w:t>
            </w:r>
          </w:p>
        </w:tc>
        <w:tc>
          <w:tcPr>
            <w:tcW w:w="100" w:type="dxa"/>
            <w:vAlign w:val="bottom"/>
            <w:tcBorders>
              <w:top w:val="single" w:sz="8" w:color="D8D8D8"/>
              <w:bottom w:val="single" w:sz="8" w:color="auto"/>
            </w:tcBorders>
            <w:shd w:val="clear" w:color="auto" w:fill="D8D8D8"/>
          </w:tcPr>
          <w:p>
            <w:pPr>
              <w:spacing w:after="0"/>
              <w:rPr>
                <w:sz w:val="18"/>
                <w:szCs w:val="18"/>
                <w:color w:val="auto"/>
              </w:rPr>
            </w:pP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860" w:type="dxa"/>
            <w:vAlign w:val="bottom"/>
            <w:tcBorders>
              <w:top w:val="single" w:sz="8" w:color="auto"/>
              <w:bottom w:val="single" w:sz="8" w:color="auto"/>
            </w:tcBorders>
            <w:shd w:val="clear" w:color="auto" w:fill="D8D8D8"/>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top w:val="single" w:sz="8" w:color="auto"/>
              <w:bottom w:val="single" w:sz="8" w:color="auto"/>
            </w:tcBorders>
            <w:shd w:val="clear" w:color="auto" w:fill="D8D8D8"/>
          </w:tcPr>
          <w:p>
            <w:pPr>
              <w:spacing w:after="0"/>
              <w:rPr>
                <w:sz w:val="18"/>
                <w:szCs w:val="18"/>
                <w:color w:val="auto"/>
              </w:rPr>
            </w:pPr>
          </w:p>
        </w:tc>
        <w:tc>
          <w:tcPr>
            <w:tcW w:w="860" w:type="dxa"/>
            <w:vAlign w:val="bottom"/>
            <w:tcBorders>
              <w:top w:val="single" w:sz="8" w:color="auto"/>
              <w:bottom w:val="single" w:sz="8" w:color="auto"/>
            </w:tcBorders>
            <w:shd w:val="clear" w:color="auto" w:fill="D8D8D8"/>
          </w:tcPr>
          <w:p>
            <w:pPr>
              <w:jc w:val="right"/>
              <w:ind w:right="299"/>
              <w:spacing w:after="0"/>
              <w:rPr>
                <w:sz w:val="20"/>
                <w:szCs w:val="20"/>
                <w:color w:val="auto"/>
              </w:rPr>
            </w:pPr>
            <w:r>
              <w:rPr>
                <w:rFonts w:ascii="Arial" w:cs="Arial" w:eastAsia="Arial" w:hAnsi="Arial"/>
                <w:sz w:val="16"/>
                <w:szCs w:val="16"/>
                <w:color w:val="auto"/>
              </w:rPr>
              <w:t>2025</w:t>
            </w:r>
          </w:p>
        </w:tc>
        <w:tc>
          <w:tcPr>
            <w:tcW w:w="180" w:type="dxa"/>
            <w:vAlign w:val="bottom"/>
            <w:tcBorders>
              <w:top w:val="single" w:sz="8" w:color="auto"/>
              <w:bottom w:val="single" w:sz="8" w:color="auto"/>
            </w:tcBorders>
            <w:shd w:val="clear" w:color="auto" w:fill="D8D8D8"/>
          </w:tcPr>
          <w:p>
            <w:pPr>
              <w:spacing w:after="0"/>
              <w:rPr>
                <w:sz w:val="18"/>
                <w:szCs w:val="18"/>
                <w:color w:val="auto"/>
              </w:rPr>
            </w:pPr>
          </w:p>
        </w:tc>
        <w:tc>
          <w:tcPr>
            <w:tcW w:w="920" w:type="dxa"/>
            <w:vAlign w:val="bottom"/>
            <w:tcBorders>
              <w:top w:val="single" w:sz="8" w:color="auto"/>
              <w:bottom w:val="single" w:sz="8" w:color="auto"/>
            </w:tcBorders>
            <w:shd w:val="clear" w:color="auto" w:fill="D8D8D8"/>
          </w:tcPr>
          <w:p>
            <w:pPr>
              <w:jc w:val="right"/>
              <w:ind w:right="99"/>
              <w:spacing w:after="0"/>
              <w:rPr>
                <w:sz w:val="20"/>
                <w:szCs w:val="20"/>
                <w:color w:val="auto"/>
              </w:rPr>
            </w:pPr>
            <w:r>
              <w:rPr>
                <w:rFonts w:ascii="Arial" w:cs="Arial" w:eastAsia="Arial" w:hAnsi="Arial"/>
                <w:sz w:val="16"/>
                <w:szCs w:val="16"/>
                <w:color w:val="auto"/>
              </w:rPr>
              <w:t>$ Change</w:t>
            </w:r>
          </w:p>
        </w:tc>
        <w:tc>
          <w:tcPr>
            <w:tcW w:w="90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 Change</w:t>
            </w:r>
          </w:p>
        </w:tc>
      </w:tr>
      <w:tr>
        <w:trPr>
          <w:trHeight w:val="209"/>
        </w:trPr>
        <w:tc>
          <w:tcPr>
            <w:tcW w:w="30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(28,802)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(28,281)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(90,696)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(85,269)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(5,427)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Gain (loss) on sale of MUD receivables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(105,362)</w:t>
            </w:r>
          </w:p>
        </w:tc>
        <w:tc>
          <w:tcPr>
            <w:tcW w:w="2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(105,362)</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(105,917)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(48,197)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(57,720)</w:t>
            </w: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Corporate interest expense, net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(32,158)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(18,288)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(13,870)</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(74,709)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(62,408)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(12,301)</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Gain (loss) on extinguishment of debt</w:t>
            </w:r>
          </w:p>
        </w:tc>
        <w:tc>
          <w:tcPr>
            <w:tcW w:w="2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(10,226)</w:t>
            </w:r>
          </w:p>
        </w:tc>
        <w:tc>
          <w:tcPr>
            <w:tcW w:w="2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(10,226)</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Corporate depreciation and amortization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(1,182)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(310)</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(3,257)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63"/>
        </w:trPr>
        <w:tc>
          <w:tcPr>
            <w:tcW w:w="3040" w:type="dxa"/>
            <w:vAlign w:val="bottom"/>
          </w:tcPr>
          <w:p>
            <w:pPr>
              <w:ind w:left="20"/>
              <w:spacing w:after="0" w:line="163" w:lineRule="exact"/>
              <w:rPr>
                <w:sz w:val="20"/>
                <w:szCs w:val="20"/>
                <w:color w:val="auto"/>
              </w:rPr>
            </w:pPr>
            <w:r>
              <w:rPr>
                <w:rFonts w:ascii="Arial" w:cs="Arial" w:eastAsia="Arial" w:hAnsi="Arial"/>
                <w:sz w:val="16"/>
                <w:szCs w:val="16"/>
                <w:color w:val="auto"/>
              </w:rPr>
              <w:t>Vantage income (loss) before income</w:t>
            </w:r>
          </w:p>
        </w:tc>
        <w:tc>
          <w:tcPr>
            <w:tcW w:w="200" w:type="dxa"/>
            <w:vAlign w:val="bottom"/>
          </w:tcPr>
          <w:p>
            <w:pPr>
              <w:spacing w:after="0"/>
              <w:rPr>
                <w:sz w:val="14"/>
                <w:szCs w:val="14"/>
                <w:color w:val="auto"/>
              </w:rPr>
            </w:pPr>
          </w:p>
        </w:tc>
        <w:tc>
          <w:tcPr>
            <w:tcW w:w="84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auto"/>
              </w:rPr>
              <w:t>76,564</w:t>
            </w:r>
          </w:p>
        </w:tc>
        <w:tc>
          <w:tcPr>
            <w:tcW w:w="240" w:type="dxa"/>
            <w:vAlign w:val="bottom"/>
          </w:tcPr>
          <w:p>
            <w:pPr>
              <w:spacing w:after="0"/>
              <w:rPr>
                <w:sz w:val="14"/>
                <w:szCs w:val="14"/>
                <w:color w:val="auto"/>
              </w:rPr>
            </w:pPr>
          </w:p>
        </w:tc>
        <w:tc>
          <w:tcPr>
            <w:tcW w:w="760" w:type="dxa"/>
            <w:vAlign w:val="bottom"/>
          </w:tcPr>
          <w:p>
            <w:pPr>
              <w:jc w:val="right"/>
              <w:ind w:right="39"/>
              <w:spacing w:after="0" w:line="16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tcPr>
          <w:p>
            <w:pPr>
              <w:jc w:val="right"/>
              <w:ind w:right="19"/>
              <w:spacing w:after="0" w:line="163" w:lineRule="exact"/>
              <w:rPr>
                <w:sz w:val="20"/>
                <w:szCs w:val="20"/>
                <w:color w:val="auto"/>
              </w:rPr>
            </w:pPr>
            <w:r>
              <w:rPr>
                <w:rFonts w:ascii="Arial" w:cs="Arial" w:eastAsia="Arial" w:hAnsi="Arial"/>
                <w:sz w:val="16"/>
                <w:szCs w:val="16"/>
                <w:color w:val="auto"/>
              </w:rPr>
              <w:t>76,564</w:t>
            </w:r>
          </w:p>
        </w:tc>
        <w:tc>
          <w:tcPr>
            <w:tcW w:w="1000" w:type="dxa"/>
            <w:vAlign w:val="bottom"/>
            <w:gridSpan w:val="2"/>
          </w:tcPr>
          <w:p>
            <w:pPr>
              <w:ind w:left="640"/>
              <w:spacing w:after="0" w:line="163" w:lineRule="exact"/>
              <w:rPr>
                <w:sz w:val="20"/>
                <w:szCs w:val="20"/>
                <w:color w:val="auto"/>
              </w:rPr>
            </w:pPr>
            <w:r>
              <w:rPr>
                <w:rFonts w:ascii="Arial" w:cs="Arial" w:eastAsia="Arial" w:hAnsi="Arial"/>
                <w:sz w:val="16"/>
                <w:szCs w:val="16"/>
                <w:color w:val="auto"/>
              </w:rPr>
              <w:t>NM</w:t>
            </w:r>
          </w:p>
        </w:tc>
        <w:tc>
          <w:tcPr>
            <w:tcW w:w="200" w:type="dxa"/>
            <w:vAlign w:val="bottom"/>
          </w:tcPr>
          <w:p>
            <w:pPr>
              <w:spacing w:after="0"/>
              <w:rPr>
                <w:sz w:val="14"/>
                <w:szCs w:val="14"/>
                <w:color w:val="auto"/>
              </w:rPr>
            </w:pPr>
          </w:p>
        </w:tc>
        <w:tc>
          <w:tcPr>
            <w:tcW w:w="86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auto"/>
              </w:rPr>
              <w:t>55,799</w:t>
            </w:r>
          </w:p>
        </w:tc>
        <w:tc>
          <w:tcPr>
            <w:tcW w:w="260" w:type="dxa"/>
            <w:vAlign w:val="bottom"/>
          </w:tcPr>
          <w:p>
            <w:pPr>
              <w:spacing w:after="0"/>
              <w:rPr>
                <w:sz w:val="14"/>
                <w:szCs w:val="14"/>
                <w:color w:val="auto"/>
              </w:rPr>
            </w:pPr>
          </w:p>
        </w:tc>
        <w:tc>
          <w:tcPr>
            <w:tcW w:w="860" w:type="dxa"/>
            <w:vAlign w:val="bottom"/>
          </w:tcPr>
          <w:p>
            <w:pPr>
              <w:jc w:val="right"/>
              <w:ind w:right="39"/>
              <w:spacing w:after="0" w:line="16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tcPr>
          <w:p>
            <w:pPr>
              <w:jc w:val="right"/>
              <w:ind w:right="19"/>
              <w:spacing w:after="0" w:line="163" w:lineRule="exact"/>
              <w:rPr>
                <w:sz w:val="20"/>
                <w:szCs w:val="20"/>
                <w:color w:val="auto"/>
              </w:rPr>
            </w:pPr>
            <w:r>
              <w:rPr>
                <w:rFonts w:ascii="Arial" w:cs="Arial" w:eastAsia="Arial" w:hAnsi="Arial"/>
                <w:sz w:val="16"/>
                <w:szCs w:val="16"/>
                <w:color w:val="auto"/>
              </w:rPr>
              <w:t>55,799</w:t>
            </w:r>
          </w:p>
        </w:tc>
        <w:tc>
          <w:tcPr>
            <w:tcW w:w="900" w:type="dxa"/>
            <w:vAlign w:val="bottom"/>
          </w:tcPr>
          <w:p>
            <w:pPr>
              <w:jc w:val="right"/>
              <w:spacing w:after="0" w:line="163" w:lineRule="exact"/>
              <w:rPr>
                <w:sz w:val="20"/>
                <w:szCs w:val="20"/>
                <w:color w:val="auto"/>
              </w:rPr>
            </w:pPr>
            <w:r>
              <w:rPr>
                <w:rFonts w:ascii="Arial" w:cs="Arial" w:eastAsia="Arial" w:hAnsi="Arial"/>
                <w:sz w:val="16"/>
                <w:szCs w:val="16"/>
                <w:color w:val="auto"/>
              </w:rPr>
              <w:t>NM</w:t>
            </w: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taxes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30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(1,503)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(38,898)</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37,395</w:t>
            </w:r>
          </w:p>
        </w:tc>
        <w:tc>
          <w:tcPr>
            <w:tcW w:w="90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(54,078)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(38,513)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(15,565)</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(15,719)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156"/>
        </w:trPr>
        <w:tc>
          <w:tcPr>
            <w:tcW w:w="3040" w:type="dxa"/>
            <w:vAlign w:val="bottom"/>
          </w:tcPr>
          <w:p>
            <w:pPr>
              <w:ind w:left="20"/>
              <w:spacing w:after="0" w:line="155" w:lineRule="exact"/>
              <w:rPr>
                <w:sz w:val="20"/>
                <w:szCs w:val="20"/>
                <w:color w:val="auto"/>
              </w:rPr>
            </w:pPr>
            <w:r>
              <w:rPr>
                <w:rFonts w:ascii="Arial" w:cs="Arial" w:eastAsia="Arial" w:hAnsi="Arial"/>
                <w:sz w:val="16"/>
                <w:szCs w:val="16"/>
                <w:color w:val="auto"/>
              </w:rPr>
              <w:t>Total Corporate income, expenses, and</w:t>
            </w:r>
          </w:p>
        </w:tc>
        <w:tc>
          <w:tcPr>
            <w:tcW w:w="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(98,570)</w:t>
            </w: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6"/>
                <w:szCs w:val="16"/>
                <w:color w:val="auto"/>
              </w:rPr>
              <w:t>(89,708)</w:t>
            </w:r>
          </w:p>
        </w:tc>
        <w:tc>
          <w:tcPr>
            <w:tcW w:w="260" w:type="dxa"/>
            <w:vAlign w:val="bottom"/>
          </w:tcPr>
          <w:p>
            <w:pPr>
              <w:jc w:val="right"/>
              <w:ind w:right="19"/>
              <w:spacing w:after="0" w:line="15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6"/>
                <w:szCs w:val="16"/>
                <w:color w:val="auto"/>
              </w:rPr>
              <w:t>(8,862)</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(10)%</w:t>
            </w:r>
          </w:p>
        </w:tc>
        <w:tc>
          <w:tcPr>
            <w:tcW w:w="10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(298,803)</w:t>
            </w:r>
          </w:p>
        </w:tc>
        <w:tc>
          <w:tcPr>
            <w:tcW w:w="260" w:type="dxa"/>
            <w:vAlign w:val="bottom"/>
          </w:tcPr>
          <w:p>
            <w:pPr>
              <w:jc w:val="right"/>
              <w:ind w:right="19"/>
              <w:spacing w:after="0" w:line="15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auto"/>
              </w:rPr>
              <w:t>(249,156)</w:t>
            </w:r>
          </w:p>
        </w:tc>
        <w:tc>
          <w:tcPr>
            <w:tcW w:w="18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6"/>
                <w:szCs w:val="16"/>
                <w:color w:val="auto"/>
              </w:rPr>
              <w:t>(49,647)</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(20)%</w:t>
            </w:r>
          </w:p>
        </w:tc>
      </w:tr>
      <w:tr>
        <w:trPr>
          <w:trHeight w:val="21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three months ended September 30, 2026: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Corporate income, expenses, and other items were unfavorably impacted compared to the prior-year period by the following:</w:t>
      </w:r>
    </w:p>
    <w:p>
      <w:pPr>
        <w:spacing w:after="0" w:line="29" w:lineRule="exact"/>
        <w:rPr>
          <w:sz w:val="20"/>
          <w:szCs w:val="20"/>
          <w:color w:val="auto"/>
        </w:rPr>
      </w:pPr>
    </w:p>
    <w:p>
      <w:pPr>
        <w:ind w:left="660" w:hanging="324"/>
        <w:spacing w:after="0" w:line="251" w:lineRule="auto"/>
        <w:rPr>
          <w:sz w:val="20"/>
          <w:szCs w:val="20"/>
          <w:color w:val="auto"/>
        </w:rPr>
      </w:pPr>
      <w:r>
        <w:rPr>
          <w:rFonts w:ascii="Arial" w:cs="Arial" w:eastAsia="Arial" w:hAnsi="Arial"/>
          <w:sz w:val="17"/>
          <w:szCs w:val="17"/>
          <w:color w:val="auto"/>
        </w:rPr>
        <w:t xml:space="preserve">– Loss on sale of MUD receivables of $105.4 million was recognized in the third quarter of 2026. Refer to Note 1 -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and Significant Accounting Policies </w:t>
      </w:r>
      <w:r>
        <w:rPr>
          <w:rFonts w:ascii="Arial" w:cs="Arial" w:eastAsia="Arial" w:hAnsi="Arial"/>
          <w:sz w:val="17"/>
          <w:szCs w:val="17"/>
          <w:color w:val="auto"/>
        </w:rPr>
        <w:t>in the Notes to Condensed Consolidated Financial Statements under Item 1 of this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Report for additional information.</w:t>
      </w:r>
    </w:p>
    <w:p>
      <w:pPr>
        <w:spacing w:after="0" w:line="1" w:lineRule="exact"/>
        <w:rPr>
          <w:sz w:val="20"/>
          <w:szCs w:val="20"/>
          <w:color w:val="auto"/>
        </w:rPr>
      </w:pPr>
    </w:p>
    <w:p>
      <w:pPr>
        <w:ind w:left="660" w:hanging="324"/>
        <w:spacing w:after="0" w:line="259" w:lineRule="auto"/>
        <w:rPr>
          <w:sz w:val="20"/>
          <w:szCs w:val="20"/>
          <w:color w:val="auto"/>
        </w:rPr>
      </w:pPr>
      <w:r>
        <w:rPr>
          <w:rFonts w:ascii="Arial" w:cs="Arial" w:eastAsia="Arial" w:hAnsi="Arial"/>
          <w:sz w:val="17"/>
          <w:szCs w:val="17"/>
          <w:color w:val="auto"/>
        </w:rPr>
        <w:t xml:space="preserve">– Corporate interest expense, net increased $13.9 million primarily due to lower interest income generated on lower Corporate cash balances following the Vantage Acquisition and higher interest expense as a result of a higher balance and higher interest rates on the February 2026 Senior Notes. Refer to Note 6 - </w:t>
      </w:r>
      <w:r>
        <w:rPr>
          <w:rFonts w:ascii="Arial" w:cs="Arial" w:eastAsia="Arial" w:hAnsi="Arial"/>
          <w:sz w:val="17"/>
          <w:szCs w:val="17"/>
          <w:i w:val="1"/>
          <w:iCs w:val="1"/>
          <w:color w:val="auto"/>
        </w:rPr>
        <w:t>Mortgages, Notes, and Loans Payable, Net</w:t>
      </w:r>
      <w:r>
        <w:rPr>
          <w:rFonts w:ascii="Arial" w:cs="Arial" w:eastAsia="Arial" w:hAnsi="Arial"/>
          <w:sz w:val="17"/>
          <w:szCs w:val="17"/>
          <w:color w:val="auto"/>
        </w:rPr>
        <w:t xml:space="preserve"> in the Notes to Condensed Consolidated Financial Statements under Item 1 of this Quarterly Report for additional information on the February 2026 Senior Notes.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Corporate income, expenses, and other items were favorably impacted compared to the prior-year period by the following:</w:t>
      </w:r>
    </w:p>
    <w:p>
      <w:pPr>
        <w:spacing w:after="0" w:line="23"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Vantage income before income taxes of $76.6 million is included in the Company’s results following the completion of the Vantage Acquisition. Refer to the Vantage Post-Acquisition Results section below for further discussion of this activity.</w:t>
      </w:r>
    </w:p>
    <w:p>
      <w:pPr>
        <w:spacing w:after="0" w:line="1" w:lineRule="exact"/>
        <w:rPr>
          <w:sz w:val="20"/>
          <w:szCs w:val="20"/>
          <w:color w:val="auto"/>
        </w:rPr>
      </w:pPr>
    </w:p>
    <w:p>
      <w:pPr>
        <w:ind w:left="660" w:hanging="324"/>
        <w:spacing w:after="0" w:line="281" w:lineRule="auto"/>
        <w:rPr>
          <w:sz w:val="20"/>
          <w:szCs w:val="20"/>
          <w:color w:val="auto"/>
        </w:rPr>
      </w:pPr>
      <w:r>
        <w:rPr>
          <w:rFonts w:ascii="Arial" w:cs="Arial" w:eastAsia="Arial" w:hAnsi="Arial"/>
          <w:sz w:val="17"/>
          <w:szCs w:val="17"/>
          <w:color w:val="auto"/>
        </w:rPr>
        <w:t xml:space="preserve">– Income tax expense decreased $37.4 million primarily due to a decrease in Income before income taxes. Refer to Note 13 -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Condensed Consolidated Financial Statements under Item 1 of this Quarterly Report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nine months ended September 30, 2026: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Corporate income, expenses, and other items were unfavorably impacted compared to the prior-year period by the following:</w:t>
      </w:r>
    </w:p>
    <w:p>
      <w:pPr>
        <w:spacing w:after="0" w:line="23"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Loss on sale of MUD receivables increased $57.7 million as a result of a $105.9 million loss recognized in 2026, compared to a $48.2 million loss recognized in 2025.</w:t>
      </w:r>
    </w:p>
    <w:p>
      <w:pPr>
        <w:ind w:left="340"/>
        <w:spacing w:after="0"/>
        <w:rPr>
          <w:sz w:val="20"/>
          <w:szCs w:val="20"/>
          <w:color w:val="auto"/>
        </w:rPr>
      </w:pPr>
      <w:r>
        <w:rPr>
          <w:rFonts w:ascii="Arial" w:cs="Arial" w:eastAsia="Arial" w:hAnsi="Arial"/>
          <w:sz w:val="17"/>
          <w:szCs w:val="17"/>
          <w:color w:val="auto"/>
        </w:rPr>
        <w:t>–   Income tax expense increased $15.6 million primarily due to an increase in Income before income taxes.</w:t>
      </w:r>
    </w:p>
    <w:p>
      <w:pPr>
        <w:spacing w:after="0" w:line="14"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Corporate interest expense, net increased $12.3 million primarily due to higher interest expense as a result of a higher balance and higher interest rates on the February 2026 Senior Notes.</w:t>
      </w:r>
    </w:p>
    <w:p>
      <w:pPr>
        <w:spacing w:after="0" w:line="1" w:lineRule="exact"/>
        <w:rPr>
          <w:sz w:val="20"/>
          <w:szCs w:val="20"/>
          <w:color w:val="auto"/>
        </w:rPr>
      </w:pPr>
    </w:p>
    <w:p>
      <w:pPr>
        <w:ind w:left="660" w:right="20" w:hanging="324"/>
        <w:spacing w:after="0" w:line="264" w:lineRule="auto"/>
        <w:rPr>
          <w:sz w:val="20"/>
          <w:szCs w:val="20"/>
          <w:color w:val="auto"/>
        </w:rPr>
      </w:pPr>
      <w:r>
        <w:rPr>
          <w:rFonts w:ascii="Arial" w:cs="Arial" w:eastAsia="Arial" w:hAnsi="Arial"/>
          <w:sz w:val="17"/>
          <w:szCs w:val="17"/>
          <w:color w:val="auto"/>
        </w:rPr>
        <w:t>– Loss on extinguishment of debt of $10.2 million due to payment of the bond call premium and accelerated amortization of related debt issuance costs following the repayment of the $750.0 million 5.375% senior unsecured notes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60" w:hanging="446"/>
        <w:spacing w:after="0"/>
        <w:tabs>
          <w:tab w:leader="none" w:pos="4960"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Corporate income, expenses, and other items were favorably impacted compared to the prior-year period by the following:</w:t>
      </w:r>
    </w:p>
    <w:p>
      <w:pPr>
        <w:spacing w:after="0" w:line="29"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auto"/>
        </w:rPr>
        <w:t>– Vantage income before income taxes of $55.8 million is included in the Company’s results following the completion of the Vantage Acquisition.</w:t>
      </w:r>
    </w:p>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Pershing Square Advisory Fees </w:t>
      </w:r>
      <w:r>
        <w:rPr>
          <w:rFonts w:ascii="Arial" w:cs="Arial" w:eastAsia="Arial" w:hAnsi="Arial"/>
          <w:sz w:val="17"/>
          <w:szCs w:val="17"/>
          <w:color w:val="000000"/>
        </w:rPr>
        <w:t>Pershing Square supports the Company’s diversified holding company strategy by providing certain investment</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and advisory services. Starting in the second quarter of 2025, the Company began paying Pershing Square a quarterly advisory fee that includes base and variable components. The variable fee is calculated based on the excess of the quarter-end stock price over a reference price. As such, no variable fee is owed in a period that the quarter-end stock price does not exceed the reference price. Refer to Note 3 - </w:t>
      </w:r>
      <w:r>
        <w:rPr>
          <w:rFonts w:ascii="Arial" w:cs="Arial" w:eastAsia="Arial" w:hAnsi="Arial"/>
          <w:sz w:val="17"/>
          <w:szCs w:val="17"/>
          <w:i w:val="1"/>
          <w:iCs w:val="1"/>
          <w:color w:val="000000"/>
        </w:rPr>
        <w:t>Pershing Square</w:t>
      </w:r>
      <w:r>
        <w:rPr>
          <w:rFonts w:ascii="Arial" w:cs="Arial" w:eastAsia="Arial" w:hAnsi="Arial"/>
          <w:sz w:val="17"/>
          <w:szCs w:val="17"/>
          <w:color w:val="000000"/>
        </w:rPr>
        <w:t xml:space="preserve"> in the Notes to Condensed Consolidated Financial Statements under Item 1 of this Quarterly Report for additional information on the advisory fee.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base and variable components of the quarterly advisory fee are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20" w:type="dxa"/>
            <w:vAlign w:val="bottom"/>
            <w:tcBorders>
              <w:top w:val="single" w:sz="8" w:color="auto"/>
            </w:tcBorders>
            <w:shd w:val="clear" w:color="auto" w:fill="DBDBDB"/>
          </w:tcPr>
          <w:p>
            <w:pPr>
              <w:spacing w:after="0"/>
              <w:rPr>
                <w:sz w:val="21"/>
                <w:szCs w:val="21"/>
                <w:color w:val="auto"/>
              </w:rPr>
            </w:pPr>
          </w:p>
        </w:tc>
        <w:tc>
          <w:tcPr>
            <w:tcW w:w="200" w:type="dxa"/>
            <w:vAlign w:val="bottom"/>
            <w:tcBorders>
              <w:top w:val="single" w:sz="8" w:color="auto"/>
            </w:tcBorders>
            <w:shd w:val="clear" w:color="auto" w:fill="D8D8D8"/>
          </w:tcPr>
          <w:p>
            <w:pPr>
              <w:spacing w:after="0"/>
              <w:rPr>
                <w:sz w:val="21"/>
                <w:szCs w:val="21"/>
                <w:color w:val="auto"/>
              </w:rPr>
            </w:pPr>
          </w:p>
        </w:tc>
        <w:tc>
          <w:tcPr>
            <w:tcW w:w="3920" w:type="dxa"/>
            <w:vAlign w:val="bottom"/>
            <w:tcBorders>
              <w:top w:val="single" w:sz="8" w:color="auto"/>
            </w:tcBorders>
            <w:gridSpan w:val="7"/>
            <w:shd w:val="clear" w:color="auto" w:fill="D8D8D8"/>
          </w:tcPr>
          <w:p>
            <w:pPr>
              <w:ind w:left="360"/>
              <w:spacing w:after="0"/>
              <w:rPr>
                <w:sz w:val="20"/>
                <w:szCs w:val="20"/>
                <w:color w:val="auto"/>
              </w:rPr>
            </w:pPr>
            <w:r>
              <w:rPr>
                <w:rFonts w:ascii="Arial" w:cs="Arial" w:eastAsia="Arial" w:hAnsi="Arial"/>
                <w:sz w:val="17"/>
                <w:szCs w:val="17"/>
                <w:b w:val="1"/>
                <w:bCs w:val="1"/>
                <w:color w:val="auto"/>
              </w:rPr>
              <w:t>Three Months Ended September 30,</w:t>
            </w:r>
          </w:p>
        </w:tc>
        <w:tc>
          <w:tcPr>
            <w:tcW w:w="200" w:type="dxa"/>
            <w:vAlign w:val="bottom"/>
            <w:tcBorders>
              <w:top w:val="single" w:sz="8" w:color="auto"/>
            </w:tcBorders>
            <w:shd w:val="clear" w:color="auto" w:fill="D8D8D8"/>
          </w:tcPr>
          <w:p>
            <w:pPr>
              <w:spacing w:after="0"/>
              <w:rPr>
                <w:sz w:val="21"/>
                <w:szCs w:val="21"/>
                <w:color w:val="auto"/>
              </w:rPr>
            </w:pPr>
          </w:p>
        </w:tc>
        <w:tc>
          <w:tcPr>
            <w:tcW w:w="3800" w:type="dxa"/>
            <w:vAlign w:val="bottom"/>
            <w:tcBorders>
              <w:top w:val="single" w:sz="8" w:color="auto"/>
            </w:tcBorders>
            <w:gridSpan w:val="6"/>
            <w:shd w:val="clear" w:color="auto" w:fill="D8D8D8"/>
          </w:tcPr>
          <w:p>
            <w:pPr>
              <w:jc w:val="right"/>
              <w:ind w:right="515"/>
              <w:spacing w:after="0"/>
              <w:rPr>
                <w:sz w:val="20"/>
                <w:szCs w:val="20"/>
                <w:color w:val="auto"/>
              </w:rPr>
            </w:pPr>
            <w:r>
              <w:rPr>
                <w:rFonts w:ascii="Arial" w:cs="Arial" w:eastAsia="Arial" w:hAnsi="Arial"/>
                <w:sz w:val="17"/>
                <w:szCs w:val="17"/>
                <w:b w:val="1"/>
                <w:bCs w:val="1"/>
                <w:color w:val="auto"/>
              </w:rPr>
              <w:t>Nine Months Ended September 30,</w:t>
            </w:r>
          </w:p>
        </w:tc>
      </w:tr>
      <w:tr>
        <w:trPr>
          <w:trHeight w:val="223"/>
        </w:trPr>
        <w:tc>
          <w:tcPr>
            <w:tcW w:w="31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00" w:type="dxa"/>
            <w:vAlign w:val="bottom"/>
            <w:tcBorders>
              <w:top w:val="single" w:sz="8" w:color="auto"/>
              <w:bottom w:val="single" w:sz="8" w:color="auto"/>
            </w:tcBorders>
            <w:shd w:val="clear" w:color="auto" w:fill="D8D8D8"/>
          </w:tcPr>
          <w:p>
            <w:pPr>
              <w:spacing w:after="0"/>
              <w:rPr>
                <w:sz w:val="19"/>
                <w:szCs w:val="19"/>
                <w:color w:val="auto"/>
              </w:rPr>
            </w:pPr>
          </w:p>
        </w:tc>
        <w:tc>
          <w:tcPr>
            <w:tcW w:w="780" w:type="dxa"/>
            <w:vAlign w:val="bottom"/>
            <w:tcBorders>
              <w:top w:val="single" w:sz="8" w:color="auto"/>
              <w:bottom w:val="single" w:sz="8" w:color="auto"/>
            </w:tcBorders>
            <w:shd w:val="clear" w:color="auto" w:fill="D8D8D8"/>
          </w:tcPr>
          <w:p>
            <w:pPr>
              <w:jc w:val="right"/>
              <w:ind w:right="215"/>
              <w:spacing w:after="0"/>
              <w:rPr>
                <w:sz w:val="20"/>
                <w:szCs w:val="20"/>
                <w:color w:val="auto"/>
              </w:rPr>
            </w:pPr>
            <w:r>
              <w:rPr>
                <w:rFonts w:ascii="Arial" w:cs="Arial" w:eastAsia="Arial" w:hAnsi="Arial"/>
                <w:sz w:val="17"/>
                <w:szCs w:val="17"/>
                <w:b w:val="1"/>
                <w:bCs w:val="1"/>
                <w:color w:val="auto"/>
              </w:rPr>
              <w:t>2026</w:t>
            </w:r>
          </w:p>
        </w:tc>
        <w:tc>
          <w:tcPr>
            <w:tcW w:w="280" w:type="dxa"/>
            <w:vAlign w:val="bottom"/>
            <w:tcBorders>
              <w:top w:val="single" w:sz="8" w:color="auto"/>
              <w:bottom w:val="single" w:sz="8" w:color="auto"/>
            </w:tcBorders>
            <w:shd w:val="clear" w:color="auto" w:fill="D8D8D8"/>
          </w:tcPr>
          <w:p>
            <w:pPr>
              <w:spacing w:after="0"/>
              <w:rPr>
                <w:sz w:val="19"/>
                <w:szCs w:val="19"/>
                <w:color w:val="auto"/>
              </w:rPr>
            </w:pPr>
          </w:p>
        </w:tc>
        <w:tc>
          <w:tcPr>
            <w:tcW w:w="780" w:type="dxa"/>
            <w:vAlign w:val="bottom"/>
            <w:tcBorders>
              <w:top w:val="single" w:sz="8" w:color="auto"/>
              <w:bottom w:val="single" w:sz="8" w:color="auto"/>
            </w:tcBorders>
            <w:shd w:val="clear" w:color="auto" w:fill="D8D8D8"/>
          </w:tcPr>
          <w:p>
            <w:pPr>
              <w:jc w:val="right"/>
              <w:ind w:right="235"/>
              <w:spacing w:after="0"/>
              <w:rPr>
                <w:sz w:val="20"/>
                <w:szCs w:val="20"/>
                <w:color w:val="auto"/>
              </w:rPr>
            </w:pPr>
            <w:r>
              <w:rPr>
                <w:rFonts w:ascii="Arial" w:cs="Arial" w:eastAsia="Arial" w:hAnsi="Arial"/>
                <w:sz w:val="17"/>
                <w:szCs w:val="17"/>
                <w:color w:val="auto"/>
              </w:rPr>
              <w:t>2025</w:t>
            </w:r>
          </w:p>
        </w:tc>
        <w:tc>
          <w:tcPr>
            <w:tcW w:w="2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D8D8D8"/>
          </w:tcPr>
          <w:p>
            <w:pPr>
              <w:jc w:val="right"/>
              <w:ind w:right="35"/>
              <w:spacing w:after="0"/>
              <w:rPr>
                <w:sz w:val="20"/>
                <w:szCs w:val="20"/>
                <w:color w:val="auto"/>
              </w:rPr>
            </w:pPr>
            <w:r>
              <w:rPr>
                <w:rFonts w:ascii="Arial" w:cs="Arial" w:eastAsia="Arial" w:hAnsi="Arial"/>
                <w:sz w:val="17"/>
                <w:szCs w:val="17"/>
                <w:color w:val="auto"/>
              </w:rPr>
              <w:t>Change</w:t>
            </w:r>
          </w:p>
        </w:tc>
        <w:tc>
          <w:tcPr>
            <w:tcW w:w="960" w:type="dxa"/>
            <w:vAlign w:val="bottom"/>
            <w:tcBorders>
              <w:top w:val="single" w:sz="8" w:color="auto"/>
              <w:bottom w:val="single" w:sz="8" w:color="auto"/>
            </w:tcBorders>
            <w:shd w:val="clear" w:color="auto" w:fill="D8D8D8"/>
          </w:tcPr>
          <w:p>
            <w:pPr>
              <w:jc w:val="right"/>
              <w:ind w:right="15"/>
              <w:spacing w:after="0"/>
              <w:rPr>
                <w:sz w:val="20"/>
                <w:szCs w:val="20"/>
                <w:color w:val="auto"/>
              </w:rPr>
            </w:pPr>
            <w:r>
              <w:rPr>
                <w:rFonts w:ascii="Arial" w:cs="Arial" w:eastAsia="Arial" w:hAnsi="Arial"/>
                <w:sz w:val="17"/>
                <w:szCs w:val="17"/>
                <w:color w:val="auto"/>
              </w:rPr>
              <w:t>% Change</w:t>
            </w:r>
          </w:p>
        </w:tc>
        <w:tc>
          <w:tcPr>
            <w:tcW w:w="120" w:type="dxa"/>
            <w:vAlign w:val="bottom"/>
            <w:tcBorders>
              <w:top w:val="single" w:sz="8" w:color="D8D8D8"/>
              <w:bottom w:val="single" w:sz="8" w:color="auto"/>
            </w:tcBorders>
            <w:shd w:val="clear" w:color="auto" w:fill="D8D8D8"/>
          </w:tcPr>
          <w:p>
            <w:pPr>
              <w:spacing w:after="0"/>
              <w:rPr>
                <w:sz w:val="19"/>
                <w:szCs w:val="19"/>
                <w:color w:val="auto"/>
              </w:rPr>
            </w:pPr>
          </w:p>
        </w:tc>
        <w:tc>
          <w:tcPr>
            <w:tcW w:w="200" w:type="dxa"/>
            <w:vAlign w:val="bottom"/>
            <w:tcBorders>
              <w:top w:val="single" w:sz="8" w:color="auto"/>
              <w:bottom w:val="single" w:sz="8" w:color="auto"/>
            </w:tcBorders>
            <w:shd w:val="clear" w:color="auto" w:fill="D8D8D8"/>
          </w:tcPr>
          <w:p>
            <w:pPr>
              <w:spacing w:after="0"/>
              <w:rPr>
                <w:sz w:val="19"/>
                <w:szCs w:val="19"/>
                <w:color w:val="auto"/>
              </w:rPr>
            </w:pPr>
          </w:p>
        </w:tc>
        <w:tc>
          <w:tcPr>
            <w:tcW w:w="780" w:type="dxa"/>
            <w:vAlign w:val="bottom"/>
            <w:tcBorders>
              <w:top w:val="single" w:sz="8" w:color="auto"/>
              <w:bottom w:val="single" w:sz="8" w:color="auto"/>
            </w:tcBorders>
            <w:shd w:val="clear" w:color="auto" w:fill="D8D8D8"/>
          </w:tcPr>
          <w:p>
            <w:pPr>
              <w:jc w:val="right"/>
              <w:ind w:right="235"/>
              <w:spacing w:after="0"/>
              <w:rPr>
                <w:sz w:val="20"/>
                <w:szCs w:val="20"/>
                <w:color w:val="auto"/>
              </w:rPr>
            </w:pPr>
            <w:r>
              <w:rPr>
                <w:rFonts w:ascii="Arial" w:cs="Arial" w:eastAsia="Arial" w:hAnsi="Arial"/>
                <w:sz w:val="17"/>
                <w:szCs w:val="17"/>
                <w:b w:val="1"/>
                <w:bCs w:val="1"/>
                <w:color w:val="auto"/>
              </w:rPr>
              <w:t>2026</w:t>
            </w:r>
          </w:p>
        </w:tc>
        <w:tc>
          <w:tcPr>
            <w:tcW w:w="280" w:type="dxa"/>
            <w:vAlign w:val="bottom"/>
            <w:tcBorders>
              <w:top w:val="single" w:sz="8" w:color="auto"/>
              <w:bottom w:val="single" w:sz="8" w:color="auto"/>
            </w:tcBorders>
            <w:shd w:val="clear" w:color="auto" w:fill="D8D8D8"/>
          </w:tcPr>
          <w:p>
            <w:pPr>
              <w:spacing w:after="0"/>
              <w:rPr>
                <w:sz w:val="19"/>
                <w:szCs w:val="19"/>
                <w:color w:val="auto"/>
              </w:rPr>
            </w:pPr>
          </w:p>
        </w:tc>
        <w:tc>
          <w:tcPr>
            <w:tcW w:w="780" w:type="dxa"/>
            <w:vAlign w:val="bottom"/>
            <w:tcBorders>
              <w:top w:val="single" w:sz="8" w:color="auto"/>
              <w:bottom w:val="single" w:sz="8" w:color="auto"/>
            </w:tcBorders>
            <w:shd w:val="clear" w:color="auto" w:fill="D8D8D8"/>
          </w:tcPr>
          <w:p>
            <w:pPr>
              <w:jc w:val="right"/>
              <w:ind w:right="215"/>
              <w:spacing w:after="0"/>
              <w:rPr>
                <w:sz w:val="20"/>
                <w:szCs w:val="20"/>
                <w:color w:val="auto"/>
              </w:rPr>
            </w:pPr>
            <w:r>
              <w:rPr>
                <w:rFonts w:ascii="Arial" w:cs="Arial" w:eastAsia="Arial" w:hAnsi="Arial"/>
                <w:sz w:val="17"/>
                <w:szCs w:val="17"/>
                <w:color w:val="auto"/>
              </w:rPr>
              <w:t>2025</w:t>
            </w:r>
          </w:p>
        </w:tc>
        <w:tc>
          <w:tcPr>
            <w:tcW w:w="2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color w:val="auto"/>
              </w:rPr>
              <w:t>Change</w:t>
            </w:r>
          </w:p>
        </w:tc>
        <w:tc>
          <w:tcPr>
            <w:tcW w:w="980" w:type="dxa"/>
            <w:vAlign w:val="bottom"/>
            <w:tcBorders>
              <w:top w:val="single" w:sz="8" w:color="auto"/>
              <w:bottom w:val="single" w:sz="8" w:color="auto"/>
            </w:tcBorders>
            <w:shd w:val="clear" w:color="auto" w:fill="D8D8D8"/>
          </w:tcPr>
          <w:p>
            <w:pPr>
              <w:jc w:val="right"/>
              <w:ind w:right="15"/>
              <w:spacing w:after="0"/>
              <w:rPr>
                <w:sz w:val="20"/>
                <w:szCs w:val="20"/>
                <w:color w:val="auto"/>
              </w:rPr>
            </w:pPr>
            <w:r>
              <w:rPr>
                <w:rFonts w:ascii="Arial" w:cs="Arial" w:eastAsia="Arial" w:hAnsi="Arial"/>
                <w:sz w:val="17"/>
                <w:szCs w:val="17"/>
                <w:color w:val="auto"/>
              </w:rPr>
              <w:t>% Change</w:t>
            </w:r>
          </w:p>
        </w:tc>
      </w:tr>
      <w:tr>
        <w:trPr>
          <w:trHeight w:val="214"/>
        </w:trPr>
        <w:tc>
          <w:tcPr>
            <w:tcW w:w="3120" w:type="dxa"/>
            <w:vAlign w:val="bottom"/>
          </w:tcPr>
          <w:p>
            <w:pPr>
              <w:ind w:left="20"/>
              <w:spacing w:after="0"/>
              <w:rPr>
                <w:sz w:val="20"/>
                <w:szCs w:val="20"/>
                <w:color w:val="auto"/>
              </w:rPr>
            </w:pPr>
            <w:r>
              <w:rPr>
                <w:rFonts w:ascii="Arial" w:cs="Arial" w:eastAsia="Arial" w:hAnsi="Arial"/>
                <w:sz w:val="17"/>
                <w:szCs w:val="17"/>
                <w:color w:val="auto"/>
              </w:rPr>
              <w:t>Base fee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3,786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3,750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36</w:t>
            </w:r>
          </w:p>
        </w:tc>
        <w:tc>
          <w:tcPr>
            <w:tcW w:w="96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auto"/>
              </w:rPr>
              <w:t>11,358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6,099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center"/>
              <w:spacing w:after="0"/>
              <w:rPr>
                <w:sz w:val="20"/>
                <w:szCs w:val="20"/>
                <w:color w:val="auto"/>
              </w:rPr>
            </w:pPr>
            <w:r>
              <w:rPr>
                <w:rFonts w:ascii="Arial" w:cs="Arial" w:eastAsia="Arial" w:hAnsi="Arial"/>
                <w:sz w:val="17"/>
                <w:szCs w:val="17"/>
                <w:color w:val="auto"/>
              </w:rPr>
              <w:t>5,259</w:t>
            </w:r>
          </w:p>
        </w:tc>
        <w:tc>
          <w:tcPr>
            <w:tcW w:w="980" w:type="dxa"/>
            <w:vAlign w:val="bottom"/>
          </w:tcPr>
          <w:p>
            <w:pPr>
              <w:jc w:val="right"/>
              <w:spacing w:after="0"/>
              <w:rPr>
                <w:sz w:val="20"/>
                <w:szCs w:val="20"/>
                <w:color w:val="auto"/>
              </w:rPr>
            </w:pPr>
            <w:r>
              <w:rPr>
                <w:rFonts w:ascii="Arial" w:cs="Arial" w:eastAsia="Arial" w:hAnsi="Arial"/>
                <w:sz w:val="17"/>
                <w:szCs w:val="17"/>
                <w:color w:val="auto"/>
              </w:rPr>
              <w:t>86 %</w:t>
            </w:r>
          </w:p>
        </w:tc>
      </w:tr>
      <w:tr>
        <w:trPr>
          <w:trHeight w:val="23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Variable fee</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3,399</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3,939</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(3,875)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r>
        <w:trPr>
          <w:trHeight w:val="22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Pershing Square advisory fee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7,149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11,422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1,384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14 %</w:t>
            </w:r>
          </w:p>
        </w:tc>
      </w:tr>
    </w:tbl>
    <w:p>
      <w:pPr>
        <w:spacing w:after="0" w:line="35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Vantage Post-Acquisition Results </w:t>
      </w:r>
      <w:r>
        <w:rPr>
          <w:rFonts w:ascii="Arial" w:cs="Arial" w:eastAsia="Arial" w:hAnsi="Arial"/>
          <w:sz w:val="17"/>
          <w:szCs w:val="17"/>
          <w:color w:val="000000"/>
        </w:rPr>
        <w:t>The discussion below summarizes the contribution of Vantage to our condensed consolidated results for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three and nine months ended September 30, 2026. The amounts reflect only the period from the acquisition date through September 30, 2026. As the acquisition was completed during the second quarter of 2026, there is no corresponding prior-year period for these operations, and as such period-over-period analysis for Vantage is not applicable. Due to the limited post-acquisition period, the results discussed below are not necessarily indicative of expected performance over the full year. See Note 2 - </w:t>
      </w:r>
      <w:r>
        <w:rPr>
          <w:rFonts w:ascii="Arial" w:cs="Arial" w:eastAsia="Arial" w:hAnsi="Arial"/>
          <w:sz w:val="17"/>
          <w:szCs w:val="17"/>
          <w:i w:val="1"/>
          <w:iCs w:val="1"/>
          <w:color w:val="000000"/>
        </w:rPr>
        <w:t>Vantage Acquisition</w:t>
      </w:r>
      <w:r>
        <w:rPr>
          <w:rFonts w:ascii="Arial" w:cs="Arial" w:eastAsia="Arial" w:hAnsi="Arial"/>
          <w:sz w:val="17"/>
          <w:szCs w:val="17"/>
          <w:color w:val="000000"/>
        </w:rPr>
        <w:t xml:space="preserve"> in the Notes to Condensed Consolidated Financial Statements under Item 1 of this Quarterly Report for additional information about the Vantage Acquisition.</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Vantage operates in the United States (U.S.) and Bermuda and writes business on both an admitted and excess and surplus basis. Product lines offered by its U.S. insurance subsidiaries include casualty, property, professional liability, financial lines, healthcare, construction, and political risk and credit. Products offered by its Bermuda subsidiary include financial and professional lines and healthcare and excess casualty. Vantage’s reinsurance operations consist of products offered by its Bermuda subsidiary and product lines offered include specialty, property and casualty, financial lines, and property catastrophe. Vantage also earns net investment gain (loss), net investment income, and net fee income.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Key drivers of the operating results of Vantage include: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level and mix of gross and net written and earned premiums by line of business and geography;</w:t>
      </w:r>
    </w:p>
    <w:p>
      <w:pPr>
        <w:spacing w:after="0" w:line="7"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The frequency and severity of insured loss activity, including catastrophe events and prior</w:t>
      </w:r>
      <w:r>
        <w:rPr>
          <w:rFonts w:ascii="MS PGothic" w:cs="MS PGothic" w:eastAsia="MS PGothic" w:hAnsi="MS PGothic"/>
          <w:sz w:val="17"/>
          <w:szCs w:val="17"/>
          <w:color w:val="auto"/>
        </w:rPr>
        <w:t>‑</w:t>
      </w:r>
      <w:r>
        <w:rPr>
          <w:rFonts w:ascii="Arial" w:cs="Arial" w:eastAsia="Arial" w:hAnsi="Arial"/>
          <w:sz w:val="17"/>
          <w:szCs w:val="17"/>
          <w:color w:val="auto"/>
        </w:rPr>
        <w:t>year reserve development;</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structure, cost, and recoveries associated with our reinsurance programs;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Investment income earned from the insurance investment portfolio and required regulatory capital; and</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Investment gains and losses attributable to the Company’s insurance investment portfolio.</w:t>
      </w:r>
    </w:p>
    <w:p>
      <w:pPr>
        <w:spacing w:after="0" w:line="234"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We expect to refine our disclosure of applicable key performance indicators for Vantage as we complete integration activities and as the CODM incorporates these metrics into ongoing operating decisions.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60" w:hanging="446"/>
        <w:spacing w:after="0"/>
        <w:tabs>
          <w:tab w:leader="none" w:pos="49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post-acquisition activity associated with Vantage included in the three and nine months ended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8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1580" w:type="dxa"/>
            <w:vAlign w:val="bottom"/>
            <w:tcBorders>
              <w:top w:val="single" w:sz="8" w:color="auto"/>
            </w:tcBorders>
            <w:shd w:val="clear" w:color="auto" w:fill="D8D8D8"/>
          </w:tcPr>
          <w:p>
            <w:pPr>
              <w:spacing w:after="0"/>
              <w:rPr>
                <w:sz w:val="15"/>
                <w:szCs w:val="15"/>
                <w:color w:val="auto"/>
              </w:rPr>
            </w:pPr>
          </w:p>
        </w:tc>
        <w:tc>
          <w:tcPr>
            <w:tcW w:w="2140" w:type="dxa"/>
            <w:vAlign w:val="bottom"/>
            <w:tcBorders>
              <w:top w:val="single" w:sz="8" w:color="auto"/>
            </w:tcBorders>
            <w:shd w:val="clear" w:color="auto" w:fill="D8D8D8"/>
          </w:tcPr>
          <w:p>
            <w:pPr>
              <w:jc w:val="right"/>
              <w:ind w:right="255"/>
              <w:spacing w:after="0" w:line="180" w:lineRule="exact"/>
              <w:rPr>
                <w:sz w:val="20"/>
                <w:szCs w:val="20"/>
                <w:color w:val="auto"/>
              </w:rPr>
            </w:pPr>
            <w:r>
              <w:rPr>
                <w:rFonts w:ascii="Arial" w:cs="Arial" w:eastAsia="Arial" w:hAnsi="Arial"/>
                <w:sz w:val="17"/>
                <w:szCs w:val="17"/>
                <w:b w:val="1"/>
                <w:bCs w:val="1"/>
                <w:color w:val="auto"/>
              </w:rPr>
              <w:t>Three Months Ended</w:t>
            </w:r>
          </w:p>
        </w:tc>
        <w:tc>
          <w:tcPr>
            <w:tcW w:w="240" w:type="dxa"/>
            <w:vAlign w:val="bottom"/>
            <w:tcBorders>
              <w:top w:val="single" w:sz="8" w:color="auto"/>
            </w:tcBorders>
            <w:shd w:val="clear" w:color="auto" w:fill="D8D8D8"/>
          </w:tcPr>
          <w:p>
            <w:pPr>
              <w:spacing w:after="0"/>
              <w:rPr>
                <w:sz w:val="15"/>
                <w:szCs w:val="15"/>
                <w:color w:val="auto"/>
              </w:rPr>
            </w:pPr>
          </w:p>
        </w:tc>
        <w:tc>
          <w:tcPr>
            <w:tcW w:w="2100" w:type="dxa"/>
            <w:vAlign w:val="bottom"/>
            <w:tcBorders>
              <w:top w:val="single" w:sz="8" w:color="auto"/>
            </w:tcBorders>
            <w:shd w:val="clear" w:color="auto" w:fill="D8D8D8"/>
          </w:tcPr>
          <w:p>
            <w:pPr>
              <w:jc w:val="right"/>
              <w:ind w:right="295"/>
              <w:spacing w:after="0" w:line="180"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vMerge w:val="continue"/>
            <w:shd w:val="clear" w:color="auto" w:fill="D8D8D8"/>
          </w:tcPr>
          <w:p>
            <w:pPr>
              <w:spacing w:after="0"/>
              <w:rPr>
                <w:sz w:val="19"/>
                <w:szCs w:val="19"/>
                <w:color w:val="auto"/>
              </w:rPr>
            </w:pPr>
          </w:p>
        </w:tc>
        <w:tc>
          <w:tcPr>
            <w:tcW w:w="1580" w:type="dxa"/>
            <w:vAlign w:val="bottom"/>
            <w:tcBorders>
              <w:bottom w:val="single" w:sz="8" w:color="auto"/>
            </w:tcBorders>
            <w:shd w:val="clear" w:color="auto" w:fill="D8D8D8"/>
          </w:tcPr>
          <w:p>
            <w:pPr>
              <w:spacing w:after="0"/>
              <w:rPr>
                <w:sz w:val="19"/>
                <w:szCs w:val="19"/>
                <w:color w:val="auto"/>
              </w:rPr>
            </w:pPr>
          </w:p>
        </w:tc>
        <w:tc>
          <w:tcPr>
            <w:tcW w:w="2140" w:type="dxa"/>
            <w:vAlign w:val="bottom"/>
            <w:tcBorders>
              <w:bottom w:val="single" w:sz="8" w:color="auto"/>
            </w:tcBorders>
            <w:shd w:val="clear" w:color="auto" w:fill="D8D8D8"/>
          </w:tcPr>
          <w:p>
            <w:pPr>
              <w:jc w:val="right"/>
              <w:ind w:right="295"/>
              <w:spacing w:after="0"/>
              <w:rPr>
                <w:sz w:val="20"/>
                <w:szCs w:val="20"/>
                <w:color w:val="auto"/>
              </w:rPr>
            </w:pPr>
            <w:r>
              <w:rPr>
                <w:rFonts w:ascii="Arial" w:cs="Arial" w:eastAsia="Arial" w:hAnsi="Arial"/>
                <w:sz w:val="17"/>
                <w:szCs w:val="17"/>
                <w:b w:val="1"/>
                <w:bCs w:val="1"/>
                <w:color w:val="auto"/>
              </w:rPr>
              <w:t>September 30, 2026</w:t>
            </w:r>
          </w:p>
        </w:tc>
        <w:tc>
          <w:tcPr>
            <w:tcW w:w="240" w:type="dxa"/>
            <w:vAlign w:val="bottom"/>
            <w:tcBorders>
              <w:bottom w:val="single" w:sz="8" w:color="auto"/>
            </w:tcBorders>
            <w:shd w:val="clear" w:color="auto" w:fill="D8D8D8"/>
          </w:tcPr>
          <w:p>
            <w:pPr>
              <w:spacing w:after="0"/>
              <w:rPr>
                <w:sz w:val="19"/>
                <w:szCs w:val="19"/>
                <w:color w:val="auto"/>
              </w:rPr>
            </w:pPr>
          </w:p>
        </w:tc>
        <w:tc>
          <w:tcPr>
            <w:tcW w:w="2100" w:type="dxa"/>
            <w:vAlign w:val="bottom"/>
            <w:tcBorders>
              <w:bottom w:val="single" w:sz="8" w:color="auto"/>
            </w:tcBorders>
            <w:shd w:val="clear" w:color="auto" w:fill="D8D8D8"/>
          </w:tcPr>
          <w:p>
            <w:pPr>
              <w:jc w:val="right"/>
              <w:ind w:right="295"/>
              <w:spacing w:after="0"/>
              <w:rPr>
                <w:sz w:val="20"/>
                <w:szCs w:val="20"/>
                <w:color w:val="auto"/>
              </w:rPr>
            </w:pPr>
            <w:r>
              <w:rPr>
                <w:rFonts w:ascii="Arial" w:cs="Arial" w:eastAsia="Arial" w:hAnsi="Arial"/>
                <w:sz w:val="17"/>
                <w:szCs w:val="17"/>
                <w:b w:val="1"/>
                <w:bCs w:val="1"/>
                <w:color w:val="auto"/>
              </w:rPr>
              <w:t>September 30, 2026</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Gross written insurance premiums</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385,981</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2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542,040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written insurance premiums</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272,968</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2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380,176</w:t>
            </w:r>
          </w:p>
        </w:tc>
        <w:tc>
          <w:tcPr>
            <w:tcW w:w="0" w:type="dxa"/>
            <w:vAlign w:val="bottom"/>
          </w:tcPr>
          <w:p>
            <w:pPr>
              <w:spacing w:after="0"/>
              <w:rPr>
                <w:sz w:val="1"/>
                <w:szCs w:val="1"/>
                <w:color w:val="auto"/>
              </w:rPr>
            </w:pPr>
          </w:p>
        </w:tc>
      </w:tr>
      <w:tr>
        <w:trPr>
          <w:trHeight w:val="252"/>
        </w:trPr>
        <w:tc>
          <w:tcPr>
            <w:tcW w:w="5180" w:type="dxa"/>
            <w:vAlign w:val="bottom"/>
          </w:tcPr>
          <w:p>
            <w:pPr>
              <w:ind w:left="20"/>
              <w:spacing w:after="0"/>
              <w:rPr>
                <w:sz w:val="20"/>
                <w:szCs w:val="20"/>
                <w:color w:val="auto"/>
              </w:rPr>
            </w:pPr>
            <w:r>
              <w:rPr>
                <w:rFonts w:ascii="Arial" w:cs="Arial" w:eastAsia="Arial" w:hAnsi="Arial"/>
                <w:sz w:val="17"/>
                <w:szCs w:val="17"/>
                <w:color w:val="auto"/>
              </w:rPr>
              <w:t>Net earned insurance premiums</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315,849</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2100" w:type="dxa"/>
            <w:vAlign w:val="bottom"/>
          </w:tcPr>
          <w:p>
            <w:pPr>
              <w:jc w:val="right"/>
              <w:ind w:right="135"/>
              <w:spacing w:after="0"/>
              <w:rPr>
                <w:sz w:val="20"/>
                <w:szCs w:val="20"/>
                <w:color w:val="auto"/>
              </w:rPr>
            </w:pPr>
            <w:r>
              <w:rPr>
                <w:rFonts w:ascii="Arial" w:cs="Arial" w:eastAsia="Arial" w:hAnsi="Arial"/>
                <w:sz w:val="17"/>
                <w:szCs w:val="17"/>
                <w:color w:val="auto"/>
              </w:rPr>
              <w:t>413,096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7"/>
                <w:szCs w:val="17"/>
                <w:color w:val="auto"/>
              </w:rPr>
              <w:t>Insurance claims and claim expenses</w:t>
            </w:r>
          </w:p>
        </w:tc>
        <w:tc>
          <w:tcPr>
            <w:tcW w:w="1580" w:type="dxa"/>
            <w:vAlign w:val="bottom"/>
          </w:tcPr>
          <w:p>
            <w:pPr>
              <w:spacing w:after="0"/>
              <w:rPr>
                <w:sz w:val="19"/>
                <w:szCs w:val="19"/>
                <w:color w:val="auto"/>
              </w:rPr>
            </w:pPr>
          </w:p>
        </w:tc>
        <w:tc>
          <w:tcPr>
            <w:tcW w:w="2140" w:type="dxa"/>
            <w:vAlign w:val="bottom"/>
          </w:tcPr>
          <w:p>
            <w:pPr>
              <w:jc w:val="right"/>
              <w:ind w:right="95"/>
              <w:spacing w:after="0"/>
              <w:rPr>
                <w:sz w:val="20"/>
                <w:szCs w:val="20"/>
                <w:color w:val="auto"/>
              </w:rPr>
            </w:pPr>
            <w:r>
              <w:rPr>
                <w:rFonts w:ascii="Arial" w:cs="Arial" w:eastAsia="Arial" w:hAnsi="Arial"/>
                <w:sz w:val="17"/>
                <w:szCs w:val="17"/>
                <w:color w:val="auto"/>
              </w:rPr>
              <w:t>(200,551)</w:t>
            </w:r>
          </w:p>
        </w:tc>
        <w:tc>
          <w:tcPr>
            <w:tcW w:w="240" w:type="dxa"/>
            <w:vAlign w:val="bottom"/>
          </w:tcPr>
          <w:p>
            <w:pPr>
              <w:spacing w:after="0"/>
              <w:rPr>
                <w:sz w:val="19"/>
                <w:szCs w:val="19"/>
                <w:color w:val="auto"/>
              </w:rPr>
            </w:pPr>
          </w:p>
        </w:tc>
        <w:tc>
          <w:tcPr>
            <w:tcW w:w="2100" w:type="dxa"/>
            <w:vAlign w:val="bottom"/>
          </w:tcPr>
          <w:p>
            <w:pPr>
              <w:jc w:val="right"/>
              <w:ind w:right="95"/>
              <w:spacing w:after="0"/>
              <w:rPr>
                <w:sz w:val="20"/>
                <w:szCs w:val="20"/>
                <w:color w:val="auto"/>
              </w:rPr>
            </w:pPr>
            <w:r>
              <w:rPr>
                <w:rFonts w:ascii="Arial" w:cs="Arial" w:eastAsia="Arial" w:hAnsi="Arial"/>
                <w:sz w:val="17"/>
                <w:szCs w:val="17"/>
                <w:color w:val="auto"/>
              </w:rPr>
              <w:t>(255,761)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7"/>
                <w:szCs w:val="17"/>
                <w:color w:val="auto"/>
              </w:rPr>
              <w:t>Insurance underwriting expenses</w:t>
            </w:r>
          </w:p>
        </w:tc>
        <w:tc>
          <w:tcPr>
            <w:tcW w:w="1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7"/>
                <w:szCs w:val="17"/>
                <w:color w:val="auto"/>
              </w:rPr>
              <w:t>Acquisition costs</w:t>
            </w:r>
          </w:p>
        </w:tc>
        <w:tc>
          <w:tcPr>
            <w:tcW w:w="1580" w:type="dxa"/>
            <w:vAlign w:val="bottom"/>
          </w:tcPr>
          <w:p>
            <w:pPr>
              <w:spacing w:after="0"/>
              <w:rPr>
                <w:sz w:val="19"/>
                <w:szCs w:val="19"/>
                <w:color w:val="auto"/>
              </w:rPr>
            </w:pPr>
          </w:p>
        </w:tc>
        <w:tc>
          <w:tcPr>
            <w:tcW w:w="2140" w:type="dxa"/>
            <w:vAlign w:val="bottom"/>
          </w:tcPr>
          <w:p>
            <w:pPr>
              <w:jc w:val="right"/>
              <w:ind w:right="95"/>
              <w:spacing w:after="0"/>
              <w:rPr>
                <w:sz w:val="20"/>
                <w:szCs w:val="20"/>
                <w:color w:val="auto"/>
              </w:rPr>
            </w:pPr>
            <w:r>
              <w:rPr>
                <w:rFonts w:ascii="Arial" w:cs="Arial" w:eastAsia="Arial" w:hAnsi="Arial"/>
                <w:sz w:val="17"/>
                <w:szCs w:val="17"/>
                <w:color w:val="auto"/>
              </w:rPr>
              <w:t>(8,201)</w:t>
            </w:r>
          </w:p>
        </w:tc>
        <w:tc>
          <w:tcPr>
            <w:tcW w:w="240" w:type="dxa"/>
            <w:vAlign w:val="bottom"/>
          </w:tcPr>
          <w:p>
            <w:pPr>
              <w:spacing w:after="0"/>
              <w:rPr>
                <w:sz w:val="19"/>
                <w:szCs w:val="19"/>
                <w:color w:val="auto"/>
              </w:rPr>
            </w:pPr>
          </w:p>
        </w:tc>
        <w:tc>
          <w:tcPr>
            <w:tcW w:w="2100" w:type="dxa"/>
            <w:vAlign w:val="bottom"/>
          </w:tcPr>
          <w:p>
            <w:pPr>
              <w:jc w:val="right"/>
              <w:ind w:right="95"/>
              <w:spacing w:after="0"/>
              <w:rPr>
                <w:sz w:val="20"/>
                <w:szCs w:val="20"/>
                <w:color w:val="auto"/>
              </w:rPr>
            </w:pPr>
            <w:r>
              <w:rPr>
                <w:rFonts w:ascii="Arial" w:cs="Arial" w:eastAsia="Arial" w:hAnsi="Arial"/>
                <w:sz w:val="17"/>
                <w:szCs w:val="17"/>
                <w:color w:val="auto"/>
              </w:rPr>
              <w:t>(9,330)</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7"/>
                <w:szCs w:val="17"/>
                <w:color w:val="auto"/>
              </w:rPr>
              <w:t>VOBA amortization</w:t>
            </w:r>
          </w:p>
        </w:tc>
        <w:tc>
          <w:tcPr>
            <w:tcW w:w="1580" w:type="dxa"/>
            <w:vAlign w:val="bottom"/>
          </w:tcPr>
          <w:p>
            <w:pPr>
              <w:spacing w:after="0"/>
              <w:rPr>
                <w:sz w:val="19"/>
                <w:szCs w:val="19"/>
                <w:color w:val="auto"/>
              </w:rPr>
            </w:pPr>
          </w:p>
        </w:tc>
        <w:tc>
          <w:tcPr>
            <w:tcW w:w="2140" w:type="dxa"/>
            <w:vAlign w:val="bottom"/>
          </w:tcPr>
          <w:p>
            <w:pPr>
              <w:jc w:val="right"/>
              <w:ind w:right="95"/>
              <w:spacing w:after="0"/>
              <w:rPr>
                <w:sz w:val="20"/>
                <w:szCs w:val="20"/>
                <w:color w:val="auto"/>
              </w:rPr>
            </w:pPr>
            <w:r>
              <w:rPr>
                <w:rFonts w:ascii="Arial" w:cs="Arial" w:eastAsia="Arial" w:hAnsi="Arial"/>
                <w:sz w:val="17"/>
                <w:szCs w:val="17"/>
                <w:color w:val="auto"/>
              </w:rPr>
              <w:t>(68,962)</w:t>
            </w:r>
          </w:p>
        </w:tc>
        <w:tc>
          <w:tcPr>
            <w:tcW w:w="240" w:type="dxa"/>
            <w:vAlign w:val="bottom"/>
          </w:tcPr>
          <w:p>
            <w:pPr>
              <w:spacing w:after="0"/>
              <w:rPr>
                <w:sz w:val="19"/>
                <w:szCs w:val="19"/>
                <w:color w:val="auto"/>
              </w:rPr>
            </w:pPr>
          </w:p>
        </w:tc>
        <w:tc>
          <w:tcPr>
            <w:tcW w:w="2100" w:type="dxa"/>
            <w:vAlign w:val="bottom"/>
          </w:tcPr>
          <w:p>
            <w:pPr>
              <w:jc w:val="right"/>
              <w:ind w:right="95"/>
              <w:spacing w:after="0"/>
              <w:rPr>
                <w:sz w:val="20"/>
                <w:szCs w:val="20"/>
                <w:color w:val="auto"/>
              </w:rPr>
            </w:pPr>
            <w:r>
              <w:rPr>
                <w:rFonts w:ascii="Arial" w:cs="Arial" w:eastAsia="Arial" w:hAnsi="Arial"/>
                <w:sz w:val="17"/>
                <w:szCs w:val="17"/>
                <w:color w:val="auto"/>
              </w:rPr>
              <w:t>(89,201)</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insurance underwriting expenses</w:t>
            </w:r>
          </w:p>
        </w:tc>
        <w:tc>
          <w:tcPr>
            <w:tcW w:w="1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(43,810)</w:t>
            </w: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(59,823)</w:t>
            </w:r>
          </w:p>
        </w:tc>
        <w:tc>
          <w:tcPr>
            <w:tcW w:w="0" w:type="dxa"/>
            <w:vAlign w:val="bottom"/>
          </w:tcPr>
          <w:p>
            <w:pPr>
              <w:spacing w:after="0"/>
              <w:rPr>
                <w:sz w:val="1"/>
                <w:szCs w:val="1"/>
                <w:color w:val="auto"/>
              </w:rPr>
            </w:pPr>
          </w:p>
        </w:tc>
      </w:tr>
      <w:tr>
        <w:trPr>
          <w:trHeight w:val="221"/>
        </w:trPr>
        <w:tc>
          <w:tcPr>
            <w:tcW w:w="5180" w:type="dxa"/>
            <w:vAlign w:val="bottom"/>
          </w:tcPr>
          <w:p>
            <w:pPr>
              <w:ind w:left="20"/>
              <w:spacing w:after="0"/>
              <w:rPr>
                <w:sz w:val="20"/>
                <w:szCs w:val="20"/>
                <w:color w:val="auto"/>
              </w:rPr>
            </w:pPr>
            <w:r>
              <w:rPr>
                <w:rFonts w:ascii="Arial" w:cs="Arial" w:eastAsia="Arial" w:hAnsi="Arial"/>
                <w:sz w:val="17"/>
                <w:szCs w:val="17"/>
                <w:b w:val="1"/>
                <w:bCs w:val="1"/>
                <w:color w:val="auto"/>
              </w:rPr>
              <w:t>Underwriting income (loss)</w:t>
            </w:r>
          </w:p>
        </w:tc>
        <w:tc>
          <w:tcPr>
            <w:tcW w:w="1580" w:type="dxa"/>
            <w:vAlign w:val="bottom"/>
          </w:tcPr>
          <w:p>
            <w:pPr>
              <w:spacing w:after="0"/>
              <w:rPr>
                <w:sz w:val="19"/>
                <w:szCs w:val="19"/>
                <w:color w:val="auto"/>
              </w:rPr>
            </w:pPr>
          </w:p>
        </w:tc>
        <w:tc>
          <w:tcPr>
            <w:tcW w:w="2140" w:type="dxa"/>
            <w:vAlign w:val="bottom"/>
          </w:tcPr>
          <w:p>
            <w:pPr>
              <w:jc w:val="right"/>
              <w:ind w:right="95"/>
              <w:spacing w:after="0"/>
              <w:rPr>
                <w:sz w:val="20"/>
                <w:szCs w:val="20"/>
                <w:color w:val="auto"/>
              </w:rPr>
            </w:pPr>
            <w:r>
              <w:rPr>
                <w:rFonts w:ascii="Arial" w:cs="Arial" w:eastAsia="Arial" w:hAnsi="Arial"/>
                <w:sz w:val="17"/>
                <w:szCs w:val="17"/>
                <w:color w:val="auto"/>
              </w:rPr>
              <w:t>(5,675)</w:t>
            </w:r>
          </w:p>
        </w:tc>
        <w:tc>
          <w:tcPr>
            <w:tcW w:w="240" w:type="dxa"/>
            <w:vAlign w:val="bottom"/>
          </w:tcPr>
          <w:p>
            <w:pPr>
              <w:spacing w:after="0"/>
              <w:rPr>
                <w:sz w:val="19"/>
                <w:szCs w:val="19"/>
                <w:color w:val="auto"/>
              </w:rPr>
            </w:pPr>
          </w:p>
        </w:tc>
        <w:tc>
          <w:tcPr>
            <w:tcW w:w="2100" w:type="dxa"/>
            <w:vAlign w:val="bottom"/>
          </w:tcPr>
          <w:p>
            <w:pPr>
              <w:jc w:val="right"/>
              <w:ind w:right="95"/>
              <w:spacing w:after="0"/>
              <w:rPr>
                <w:sz w:val="20"/>
                <w:szCs w:val="20"/>
                <w:color w:val="auto"/>
              </w:rPr>
            </w:pPr>
            <w:r>
              <w:rPr>
                <w:rFonts w:ascii="Arial" w:cs="Arial" w:eastAsia="Arial" w:hAnsi="Arial"/>
                <w:sz w:val="17"/>
                <w:szCs w:val="17"/>
                <w:color w:val="auto"/>
              </w:rPr>
              <w:t>(1,019)</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7"/>
                <w:szCs w:val="17"/>
                <w:color w:val="auto"/>
              </w:rPr>
              <w:t>Net insurance investment income</w:t>
            </w:r>
          </w:p>
        </w:tc>
        <w:tc>
          <w:tcPr>
            <w:tcW w:w="1580" w:type="dxa"/>
            <w:vAlign w:val="bottom"/>
          </w:tcPr>
          <w:p>
            <w:pPr>
              <w:spacing w:after="0"/>
              <w:rPr>
                <w:sz w:val="19"/>
                <w:szCs w:val="19"/>
                <w:color w:val="auto"/>
              </w:rPr>
            </w:pP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22,678</w:t>
            </w:r>
          </w:p>
        </w:tc>
        <w:tc>
          <w:tcPr>
            <w:tcW w:w="240" w:type="dxa"/>
            <w:vAlign w:val="bottom"/>
          </w:tcPr>
          <w:p>
            <w:pPr>
              <w:spacing w:after="0"/>
              <w:rPr>
                <w:sz w:val="19"/>
                <w:szCs w:val="19"/>
                <w:color w:val="auto"/>
              </w:rPr>
            </w:pPr>
          </w:p>
        </w:tc>
        <w:tc>
          <w:tcPr>
            <w:tcW w:w="2100" w:type="dxa"/>
            <w:vAlign w:val="bottom"/>
          </w:tcPr>
          <w:p>
            <w:pPr>
              <w:jc w:val="right"/>
              <w:ind w:right="135"/>
              <w:spacing w:after="0"/>
              <w:rPr>
                <w:sz w:val="20"/>
                <w:szCs w:val="20"/>
                <w:color w:val="auto"/>
              </w:rPr>
            </w:pPr>
            <w:r>
              <w:rPr>
                <w:rFonts w:ascii="Arial" w:cs="Arial" w:eastAsia="Arial" w:hAnsi="Arial"/>
                <w:sz w:val="17"/>
                <w:szCs w:val="17"/>
                <w:color w:val="auto"/>
              </w:rPr>
              <w:t>33,666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580" w:type="dxa"/>
            <w:vAlign w:val="bottom"/>
          </w:tcPr>
          <w:p>
            <w:pPr>
              <w:spacing w:after="0"/>
              <w:rPr>
                <w:sz w:val="19"/>
                <w:szCs w:val="19"/>
                <w:color w:val="auto"/>
              </w:rPr>
            </w:pP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19,002</w:t>
            </w:r>
          </w:p>
        </w:tc>
        <w:tc>
          <w:tcPr>
            <w:tcW w:w="240" w:type="dxa"/>
            <w:vAlign w:val="bottom"/>
          </w:tcPr>
          <w:p>
            <w:pPr>
              <w:spacing w:after="0"/>
              <w:rPr>
                <w:sz w:val="19"/>
                <w:szCs w:val="19"/>
                <w:color w:val="auto"/>
              </w:rPr>
            </w:pPr>
          </w:p>
        </w:tc>
        <w:tc>
          <w:tcPr>
            <w:tcW w:w="2100" w:type="dxa"/>
            <w:vAlign w:val="bottom"/>
          </w:tcPr>
          <w:p>
            <w:pPr>
              <w:jc w:val="right"/>
              <w:ind w:right="135"/>
              <w:spacing w:after="0"/>
              <w:rPr>
                <w:sz w:val="20"/>
                <w:szCs w:val="20"/>
                <w:color w:val="auto"/>
              </w:rPr>
            </w:pPr>
            <w:r>
              <w:rPr>
                <w:rFonts w:ascii="Arial" w:cs="Arial" w:eastAsia="Arial" w:hAnsi="Arial"/>
                <w:sz w:val="17"/>
                <w:szCs w:val="17"/>
                <w:color w:val="auto"/>
              </w:rPr>
              <w:t>23,908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580" w:type="dxa"/>
            <w:vAlign w:val="bottom"/>
          </w:tcPr>
          <w:p>
            <w:pPr>
              <w:spacing w:after="0"/>
              <w:rPr>
                <w:sz w:val="19"/>
                <w:szCs w:val="19"/>
                <w:color w:val="auto"/>
              </w:rPr>
            </w:pPr>
          </w:p>
        </w:tc>
        <w:tc>
          <w:tcPr>
            <w:tcW w:w="2140" w:type="dxa"/>
            <w:vAlign w:val="bottom"/>
          </w:tcPr>
          <w:p>
            <w:pPr>
              <w:jc w:val="right"/>
              <w:ind w:right="95"/>
              <w:spacing w:after="0"/>
              <w:rPr>
                <w:sz w:val="20"/>
                <w:szCs w:val="20"/>
                <w:color w:val="auto"/>
              </w:rPr>
            </w:pPr>
            <w:r>
              <w:rPr>
                <w:rFonts w:ascii="Arial" w:cs="Arial" w:eastAsia="Arial" w:hAnsi="Arial"/>
                <w:sz w:val="17"/>
                <w:szCs w:val="17"/>
                <w:color w:val="auto"/>
              </w:rPr>
              <w:t>(4,219)</w:t>
            </w:r>
          </w:p>
        </w:tc>
        <w:tc>
          <w:tcPr>
            <w:tcW w:w="240" w:type="dxa"/>
            <w:vAlign w:val="bottom"/>
          </w:tcPr>
          <w:p>
            <w:pPr>
              <w:spacing w:after="0"/>
              <w:rPr>
                <w:sz w:val="19"/>
                <w:szCs w:val="19"/>
                <w:color w:val="auto"/>
              </w:rPr>
            </w:pPr>
          </w:p>
        </w:tc>
        <w:tc>
          <w:tcPr>
            <w:tcW w:w="2100" w:type="dxa"/>
            <w:vAlign w:val="bottom"/>
          </w:tcPr>
          <w:p>
            <w:pPr>
              <w:jc w:val="right"/>
              <w:ind w:right="95"/>
              <w:spacing w:after="0"/>
              <w:rPr>
                <w:sz w:val="20"/>
                <w:szCs w:val="20"/>
                <w:color w:val="auto"/>
              </w:rPr>
            </w:pPr>
            <w:r>
              <w:rPr>
                <w:rFonts w:ascii="Arial" w:cs="Arial" w:eastAsia="Arial" w:hAnsi="Arial"/>
                <w:sz w:val="17"/>
                <w:szCs w:val="17"/>
                <w:color w:val="auto"/>
              </w:rPr>
              <w:t>(5,487)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7"/>
                <w:szCs w:val="17"/>
                <w:color w:val="auto"/>
              </w:rPr>
              <w:t>Other expenses</w:t>
            </w:r>
          </w:p>
        </w:tc>
        <w:tc>
          <w:tcPr>
            <w:tcW w:w="1580" w:type="dxa"/>
            <w:vAlign w:val="bottom"/>
          </w:tcPr>
          <w:p>
            <w:pPr>
              <w:spacing w:after="0"/>
              <w:rPr>
                <w:sz w:val="19"/>
                <w:szCs w:val="19"/>
                <w:color w:val="auto"/>
              </w:rPr>
            </w:pPr>
          </w:p>
        </w:tc>
        <w:tc>
          <w:tcPr>
            <w:tcW w:w="2140" w:type="dxa"/>
            <w:vAlign w:val="bottom"/>
          </w:tcPr>
          <w:p>
            <w:pPr>
              <w:jc w:val="right"/>
              <w:ind w:right="95"/>
              <w:spacing w:after="0"/>
              <w:rPr>
                <w:sz w:val="20"/>
                <w:szCs w:val="20"/>
                <w:color w:val="auto"/>
              </w:rPr>
            </w:pPr>
            <w:r>
              <w:rPr>
                <w:rFonts w:ascii="Arial" w:cs="Arial" w:eastAsia="Arial" w:hAnsi="Arial"/>
                <w:sz w:val="17"/>
                <w:szCs w:val="17"/>
                <w:color w:val="auto"/>
              </w:rPr>
              <w:t>(6,041)</w:t>
            </w:r>
          </w:p>
        </w:tc>
        <w:tc>
          <w:tcPr>
            <w:tcW w:w="240" w:type="dxa"/>
            <w:vAlign w:val="bottom"/>
          </w:tcPr>
          <w:p>
            <w:pPr>
              <w:spacing w:after="0"/>
              <w:rPr>
                <w:sz w:val="19"/>
                <w:szCs w:val="19"/>
                <w:color w:val="auto"/>
              </w:rPr>
            </w:pPr>
          </w:p>
        </w:tc>
        <w:tc>
          <w:tcPr>
            <w:tcW w:w="2100" w:type="dxa"/>
            <w:vAlign w:val="bottom"/>
          </w:tcPr>
          <w:p>
            <w:pPr>
              <w:jc w:val="right"/>
              <w:ind w:right="95"/>
              <w:spacing w:after="0"/>
              <w:rPr>
                <w:sz w:val="20"/>
                <w:szCs w:val="20"/>
                <w:color w:val="auto"/>
              </w:rPr>
            </w:pPr>
            <w:r>
              <w:rPr>
                <w:rFonts w:ascii="Arial" w:cs="Arial" w:eastAsia="Arial" w:hAnsi="Arial"/>
                <w:sz w:val="17"/>
                <w:szCs w:val="17"/>
                <w:color w:val="auto"/>
              </w:rPr>
              <w:t>(7,720)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7"/>
                <w:szCs w:val="17"/>
                <w:color w:val="auto"/>
              </w:rPr>
              <w:t>Investment gain (loss), net</w:t>
            </w:r>
          </w:p>
        </w:tc>
        <w:tc>
          <w:tcPr>
            <w:tcW w:w="1580" w:type="dxa"/>
            <w:vAlign w:val="bottom"/>
          </w:tcPr>
          <w:p>
            <w:pPr>
              <w:spacing w:after="0"/>
              <w:rPr>
                <w:sz w:val="19"/>
                <w:szCs w:val="19"/>
                <w:color w:val="auto"/>
              </w:rPr>
            </w:pP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50,915</w:t>
            </w:r>
          </w:p>
        </w:tc>
        <w:tc>
          <w:tcPr>
            <w:tcW w:w="240" w:type="dxa"/>
            <w:vAlign w:val="bottom"/>
          </w:tcPr>
          <w:p>
            <w:pPr>
              <w:spacing w:after="0"/>
              <w:rPr>
                <w:sz w:val="19"/>
                <w:szCs w:val="19"/>
                <w:color w:val="auto"/>
              </w:rPr>
            </w:pPr>
          </w:p>
        </w:tc>
        <w:tc>
          <w:tcPr>
            <w:tcW w:w="2100" w:type="dxa"/>
            <w:vAlign w:val="bottom"/>
          </w:tcPr>
          <w:p>
            <w:pPr>
              <w:jc w:val="right"/>
              <w:ind w:right="135"/>
              <w:spacing w:after="0"/>
              <w:rPr>
                <w:sz w:val="20"/>
                <w:szCs w:val="20"/>
                <w:color w:val="auto"/>
              </w:rPr>
            </w:pPr>
            <w:r>
              <w:rPr>
                <w:rFonts w:ascii="Arial" w:cs="Arial" w:eastAsia="Arial" w:hAnsi="Arial"/>
                <w:sz w:val="17"/>
                <w:szCs w:val="17"/>
                <w:color w:val="auto"/>
              </w:rPr>
              <w:t>12,637</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(loss), net</w:t>
            </w:r>
          </w:p>
        </w:tc>
        <w:tc>
          <w:tcPr>
            <w:tcW w:w="1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(96)</w:t>
            </w: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Vantage income (loss) before income taxes</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76,564</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2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55,799</w:t>
            </w:r>
          </w:p>
        </w:tc>
        <w:tc>
          <w:tcPr>
            <w:tcW w:w="0" w:type="dxa"/>
            <w:vAlign w:val="bottom"/>
          </w:tcPr>
          <w:p>
            <w:pPr>
              <w:spacing w:after="0"/>
              <w:rPr>
                <w:sz w:val="1"/>
                <w:szCs w:val="1"/>
                <w:color w:val="auto"/>
              </w:rPr>
            </w:pPr>
          </w:p>
        </w:tc>
      </w:tr>
      <w:tr>
        <w:trPr>
          <w:trHeight w:val="291"/>
        </w:trPr>
        <w:tc>
          <w:tcPr>
            <w:tcW w:w="5180" w:type="dxa"/>
            <w:vAlign w:val="bottom"/>
          </w:tcPr>
          <w:p>
            <w:pPr>
              <w:ind w:left="20"/>
              <w:spacing w:after="0"/>
              <w:rPr>
                <w:sz w:val="20"/>
                <w:szCs w:val="20"/>
                <w:color w:val="auto"/>
              </w:rPr>
            </w:pPr>
            <w:r>
              <w:rPr>
                <w:rFonts w:ascii="Arial" w:cs="Arial" w:eastAsia="Arial" w:hAnsi="Arial"/>
                <w:sz w:val="17"/>
                <w:szCs w:val="17"/>
                <w:color w:val="auto"/>
              </w:rPr>
              <w:t>Ratios (a)</w:t>
            </w: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5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63.5 %</w:t>
            </w:r>
          </w:p>
        </w:tc>
        <w:tc>
          <w:tcPr>
            <w:tcW w:w="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61.9 %</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Expense ratio</w:t>
            </w:r>
          </w:p>
        </w:tc>
        <w:tc>
          <w:tcPr>
            <w:tcW w:w="1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38.3 %</w:t>
            </w: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38.3 %</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Combined ratio</w:t>
            </w:r>
          </w:p>
        </w:tc>
        <w:tc>
          <w:tcPr>
            <w:tcW w:w="15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101.8 %</w:t>
            </w: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100.2 %</w:t>
            </w:r>
          </w:p>
        </w:tc>
        <w:tc>
          <w:tcPr>
            <w:tcW w:w="0" w:type="dxa"/>
            <w:vAlign w:val="bottom"/>
          </w:tcPr>
          <w:p>
            <w:pPr>
              <w:spacing w:after="0"/>
              <w:rPr>
                <w:sz w:val="1"/>
                <w:szCs w:val="1"/>
                <w:color w:val="auto"/>
              </w:rPr>
            </w:pPr>
          </w:p>
        </w:tc>
      </w:tr>
      <w:tr>
        <w:trPr>
          <w:trHeight w:val="293"/>
        </w:trPr>
        <w:tc>
          <w:tcPr>
            <w:tcW w:w="5180" w:type="dxa"/>
            <w:vAlign w:val="bottom"/>
          </w:tcPr>
          <w:p>
            <w:pPr>
              <w:ind w:left="140"/>
              <w:spacing w:after="0"/>
              <w:rPr>
                <w:sz w:val="20"/>
                <w:szCs w:val="20"/>
                <w:color w:val="auto"/>
              </w:rPr>
            </w:pPr>
            <w:r>
              <w:rPr>
                <w:rFonts w:ascii="Arial" w:cs="Arial" w:eastAsia="Arial" w:hAnsi="Arial"/>
                <w:sz w:val="17"/>
                <w:szCs w:val="17"/>
                <w:color w:val="auto"/>
              </w:rPr>
              <w:t>Prior year development - favorable (unfavorable)</w:t>
            </w:r>
          </w:p>
        </w:tc>
        <w:tc>
          <w:tcPr>
            <w:tcW w:w="15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1.3 %</w:t>
            </w:r>
          </w:p>
        </w:tc>
        <w:tc>
          <w:tcPr>
            <w:tcW w:w="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Impact of catastrophes on combined ratio</w:t>
            </w:r>
          </w:p>
        </w:tc>
        <w:tc>
          <w:tcPr>
            <w:tcW w:w="1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Accident year combined ratio (ex. cat) (b)</w:t>
            </w:r>
          </w:p>
        </w:tc>
        <w:tc>
          <w:tcPr>
            <w:tcW w:w="15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103.1 %</w:t>
            </w: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72"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Given the limited post-acquisition periods and normal volatility in property and casualty results, we do not consider the post-acquisition ratios to be representative of expected full-year performance.</w:t>
      </w:r>
    </w:p>
    <w:p>
      <w:pPr>
        <w:jc w:val="both"/>
        <w:ind w:left="340" w:hanging="332"/>
        <w:spacing w:after="0" w:line="258"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Accident year combined ratio is a non-GAAP financial measure that excludes the impact of favorable or unfavorable prior-year development and catastrophe events on its reserves for claims and claim expense. We believe this measure provides investors with a more meaningful understanding of current-year underwriting performance by distinguishing the results of business written in the current period from changes in estimates related to business written in prior periods and from the impact of catastrophe events. Catastrophe events can vary significantly in frequency and severity, result in losses that may be material, and involve complexity and uncertainty in estimating ultimate losses. A reconciliation to the most directly comparable GAAP financial measure, the combined ratio, is included above.</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Net earned insurance premiums include inward insurance and reinsurance premiums. Insurance claims and claim expenses include losses incurred on insured events and changes in estimates of unpaid claims and claim expenses, net of ceded reinsurance claims, including both case reserves and incurred but not reported reserves. This corresponds to a loss ratio (Insurance claims and claim expenses to Net earned insurance premiums) of 63.5% in the three months ended September 30, 2026, and 61.9% in the nine months ended September 30, 2026. Impacts related to the development of prior year’s losses and catastrophes were minimal in the periods presented, however current total losses incurred for both periods were slightly elevated, primarily due to a current quarter net $17.9 million loss in our reinsurance specialty business. Refer to Note 9 - </w:t>
      </w:r>
      <w:r>
        <w:rPr>
          <w:rFonts w:ascii="Arial" w:cs="Arial" w:eastAsia="Arial" w:hAnsi="Arial"/>
          <w:sz w:val="17"/>
          <w:szCs w:val="17"/>
          <w:i w:val="1"/>
          <w:iCs w:val="1"/>
          <w:color w:val="auto"/>
        </w:rPr>
        <w:t>Reserves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Claims and Claim Expenses </w:t>
      </w:r>
      <w:r>
        <w:rPr>
          <w:rFonts w:ascii="Arial" w:cs="Arial" w:eastAsia="Arial" w:hAnsi="Arial"/>
          <w:sz w:val="17"/>
          <w:szCs w:val="17"/>
          <w:color w:val="auto"/>
        </w:rPr>
        <w:t>in the Notes to Condensed Consolidated Financial Statements under Item 1 of this Quarterly Report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Insurance underwriting expenses include VOBA amortization, other insurance underwriting expenses comprised of costs directly attributable to operating the insurance business, including certain personnel, technology and administrative functions that support underwriting activities, and amortization of deferred acquisition costs incurred subsequent to the Vantage Acquisition. This corresponds to an expense ratio (Insurance underwriting expenses to Net earned insurance premiums) of 38.3% in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6"/>
        <w:spacing w:after="0"/>
        <w:tabs>
          <w:tab w:leader="none" w:pos="49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235"/>
        </w:trPr>
        <w:tc>
          <w:tcPr>
            <w:tcW w:w="6920" w:type="dxa"/>
            <w:vAlign w:val="bottom"/>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280" w:type="dxa"/>
            <w:vAlign w:val="bottom"/>
          </w:tcPr>
          <w:p>
            <w:pPr>
              <w:ind w:left="2880"/>
              <w:spacing w:after="0"/>
              <w:rPr>
                <w:sz w:val="20"/>
                <w:szCs w:val="20"/>
                <w:color w:val="auto"/>
              </w:rPr>
            </w:pPr>
            <w:r>
              <w:rPr>
                <w:rFonts w:ascii="Arial" w:cs="Arial" w:eastAsia="Arial" w:hAnsi="Arial"/>
                <w:sz w:val="18"/>
                <w:szCs w:val="18"/>
                <w:color w:val="828282"/>
                <w:w w:val="97"/>
              </w:rPr>
              <w:t>Table of Contents</w:t>
            </w:r>
          </w:p>
        </w:tc>
      </w:tr>
      <w:tr>
        <w:trPr>
          <w:trHeight w:val="247"/>
        </w:trPr>
        <w:tc>
          <w:tcPr>
            <w:tcW w:w="6920" w:type="dxa"/>
            <w:vAlign w:val="bottom"/>
          </w:tcPr>
          <w:p>
            <w:pPr>
              <w:spacing w:after="0"/>
              <w:rPr>
                <w:sz w:val="20"/>
                <w:szCs w:val="20"/>
                <w:color w:val="auto"/>
              </w:rPr>
            </w:pPr>
            <w:r>
              <w:rPr>
                <w:rFonts w:ascii="Arial" w:cs="Arial" w:eastAsia="Arial" w:hAnsi="Arial"/>
                <w:sz w:val="18"/>
                <w:szCs w:val="18"/>
                <w:b w:val="1"/>
                <w:bCs w:val="1"/>
                <w:color w:val="B6B6B6"/>
              </w:rPr>
              <w:t>RESULTS OF OPERATIONS</w:t>
            </w:r>
          </w:p>
        </w:tc>
        <w:tc>
          <w:tcPr>
            <w:tcW w:w="4280" w:type="dxa"/>
            <w:vAlign w:val="bottom"/>
          </w:tcPr>
          <w:p>
            <w:pPr>
              <w:spacing w:after="0"/>
              <w:rPr>
                <w:sz w:val="21"/>
                <w:szCs w:val="2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Other revenues and other expenses include fee income and related expenses associated with AdVantage, Vantage’s Bermuda-domiciled Collateralized Insurer and Segregated Accounts Company. See Note 1 - </w:t>
      </w:r>
      <w:r>
        <w:rPr>
          <w:rFonts w:ascii="Arial" w:cs="Arial" w:eastAsia="Arial" w:hAnsi="Arial"/>
          <w:sz w:val="17"/>
          <w:szCs w:val="17"/>
          <w:i w:val="1"/>
          <w:iCs w:val="1"/>
          <w:color w:val="auto"/>
        </w:rPr>
        <w:t>Presentation of Financial Statements and Significant Accounting Policies</w:t>
      </w:r>
      <w:r>
        <w:rPr>
          <w:rFonts w:ascii="Arial" w:cs="Arial" w:eastAsia="Arial" w:hAnsi="Arial"/>
          <w:sz w:val="17"/>
          <w:szCs w:val="17"/>
          <w:color w:val="auto"/>
        </w:rPr>
        <w:t xml:space="preserve"> in the Notes to Condensed Consolidated Financial Statements under Item 1 of this Quarterly Report for additional information.</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Net insurance investment income includes interest and dividend income related to the Company’s investments in fixed maturity securities, equity securities, and short-term investments, less related expenses. Following the Vantage Acquisition, the Vantage investment portfolio was transitioned to include common equity positions and U.S. Treasuries covering $2.3 billion of carried reserves. See Note 4 - </w:t>
      </w:r>
      <w:r>
        <w:rPr>
          <w:rFonts w:ascii="Arial" w:cs="Arial" w:eastAsia="Arial" w:hAnsi="Arial"/>
          <w:sz w:val="17"/>
          <w:szCs w:val="17"/>
          <w:i w:val="1"/>
          <w:iCs w:val="1"/>
          <w:color w:val="auto"/>
        </w:rPr>
        <w:t>Investments in Fixed Maturity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Securities </w:t>
      </w:r>
      <w:r>
        <w:rPr>
          <w:rFonts w:ascii="Arial" w:cs="Arial" w:eastAsia="Arial" w:hAnsi="Arial"/>
          <w:sz w:val="17"/>
          <w:szCs w:val="17"/>
          <w:color w:val="auto"/>
        </w:rPr>
        <w:t>in the Notes to Condensed Consolidated Financial Statements under Item 1 of this Quarterly Report for additional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about the Company’s investments.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Investment gain (loss), net includes realized and unrealized gains (losses) on equity securities, as well as, realized gains (losses) on fixed maturity securities and short-term investments. For the three months ended September 30, 2026, Investment gain (loss), net primarily includes $55.4 million of unrealized gains on equity securities and $4.5 million of net realized losses related to fixed maturity, equity, and short-term securities. For the nine months ended September 30, 2026, Investment gain (loss), net primarily includes $19.4 million of unrealized gains on equity securities and $6.8 million of net realized losses related to fixed maturity, equity, and short-term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continue to maintain a strong balance sheet and endeavor to ensure that we maintain the financial flexibility and liquidity necessary to fund future growth. As of September 30, 2026, we had $2.9 billion of cash and cash equivalents, including cash held at Vantage, $515.0 million of undrawn capacity on our Secured Bridgeland Note, and $985.8 million of undrawn lender commitments available to be drawn for property development, subject to certain restrictions.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20" w:type="dxa"/>
            <w:vAlign w:val="bottom"/>
            <w:tcBorders>
              <w:top w:val="single" w:sz="8" w:color="auto"/>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8D8D8"/>
          </w:tcPr>
          <w:p>
            <w:pPr>
              <w:spacing w:after="0"/>
              <w:rPr>
                <w:sz w:val="21"/>
                <w:szCs w:val="21"/>
                <w:color w:val="auto"/>
              </w:rPr>
            </w:pPr>
          </w:p>
        </w:tc>
        <w:tc>
          <w:tcPr>
            <w:tcW w:w="3360" w:type="dxa"/>
            <w:vAlign w:val="bottom"/>
            <w:tcBorders>
              <w:top w:val="single" w:sz="8" w:color="auto"/>
              <w:bottom w:val="single" w:sz="8" w:color="auto"/>
            </w:tcBorders>
            <w:gridSpan w:val="3"/>
            <w:shd w:val="clear" w:color="auto" w:fill="D8D8D8"/>
          </w:tcPr>
          <w:p>
            <w:pPr>
              <w:jc w:val="right"/>
              <w:ind w:right="315"/>
              <w:spacing w:after="0"/>
              <w:rPr>
                <w:sz w:val="20"/>
                <w:szCs w:val="20"/>
                <w:color w:val="auto"/>
              </w:rPr>
            </w:pPr>
            <w:r>
              <w:rPr>
                <w:rFonts w:ascii="Arial" w:cs="Arial" w:eastAsia="Arial" w:hAnsi="Arial"/>
                <w:sz w:val="17"/>
                <w:szCs w:val="17"/>
                <w:b w:val="1"/>
                <w:bCs w:val="1"/>
                <w:color w:val="auto"/>
              </w:rPr>
              <w:t>Nine Months Ended September 30,</w:t>
            </w:r>
          </w:p>
        </w:tc>
      </w:tr>
      <w:tr>
        <w:trPr>
          <w:trHeight w:val="223"/>
        </w:trPr>
        <w:tc>
          <w:tcPr>
            <w:tcW w:w="76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60" w:type="dxa"/>
            <w:vAlign w:val="bottom"/>
            <w:tcBorders>
              <w:bottom w:val="single" w:sz="8" w:color="auto"/>
            </w:tcBorders>
            <w:shd w:val="clear" w:color="auto" w:fill="D8D8D8"/>
          </w:tcPr>
          <w:p>
            <w:pPr>
              <w:spacing w:after="0"/>
              <w:rPr>
                <w:sz w:val="19"/>
                <w:szCs w:val="19"/>
                <w:color w:val="auto"/>
              </w:rPr>
            </w:pPr>
          </w:p>
        </w:tc>
        <w:tc>
          <w:tcPr>
            <w:tcW w:w="1560" w:type="dxa"/>
            <w:vAlign w:val="bottom"/>
            <w:tcBorders>
              <w:bottom w:val="single" w:sz="8" w:color="auto"/>
            </w:tcBorders>
            <w:shd w:val="clear" w:color="auto" w:fill="D8D8D8"/>
          </w:tcPr>
          <w:p>
            <w:pPr>
              <w:jc w:val="right"/>
              <w:ind w:right="655"/>
              <w:spacing w:after="0"/>
              <w:rPr>
                <w:sz w:val="20"/>
                <w:szCs w:val="20"/>
                <w:color w:val="auto"/>
              </w:rPr>
            </w:pPr>
            <w:r>
              <w:rPr>
                <w:rFonts w:ascii="Arial" w:cs="Arial" w:eastAsia="Arial" w:hAnsi="Arial"/>
                <w:sz w:val="17"/>
                <w:szCs w:val="17"/>
                <w:b w:val="1"/>
                <w:bCs w:val="1"/>
                <w:color w:val="auto"/>
              </w:rPr>
              <w:t>2026</w:t>
            </w:r>
          </w:p>
        </w:tc>
        <w:tc>
          <w:tcPr>
            <w:tcW w:w="460" w:type="dxa"/>
            <w:vAlign w:val="bottom"/>
            <w:tcBorders>
              <w:bottom w:val="single" w:sz="8" w:color="auto"/>
            </w:tcBorders>
            <w:shd w:val="clear" w:color="auto" w:fill="D8D8D8"/>
          </w:tcPr>
          <w:p>
            <w:pPr>
              <w:spacing w:after="0"/>
              <w:rPr>
                <w:sz w:val="19"/>
                <w:szCs w:val="19"/>
                <w:color w:val="auto"/>
              </w:rPr>
            </w:pPr>
          </w:p>
        </w:tc>
        <w:tc>
          <w:tcPr>
            <w:tcW w:w="1340" w:type="dxa"/>
            <w:vAlign w:val="bottom"/>
            <w:tcBorders>
              <w:bottom w:val="single" w:sz="8" w:color="auto"/>
            </w:tcBorders>
            <w:shd w:val="clear" w:color="auto" w:fill="D8D8D8"/>
          </w:tcPr>
          <w:p>
            <w:pPr>
              <w:jc w:val="right"/>
              <w:ind w:right="595"/>
              <w:spacing w:after="0"/>
              <w:rPr>
                <w:sz w:val="20"/>
                <w:szCs w:val="20"/>
                <w:color w:val="auto"/>
              </w:rPr>
            </w:pPr>
            <w:r>
              <w:rPr>
                <w:rFonts w:ascii="Arial" w:cs="Arial" w:eastAsia="Arial" w:hAnsi="Arial"/>
                <w:sz w:val="17"/>
                <w:szCs w:val="17"/>
                <w:color w:val="auto"/>
              </w:rPr>
              <w:t>2025</w:t>
            </w:r>
          </w:p>
        </w:tc>
      </w:tr>
      <w:tr>
        <w:trPr>
          <w:trHeight w:val="214"/>
        </w:trPr>
        <w:tc>
          <w:tcPr>
            <w:tcW w:w="7620" w:type="dxa"/>
            <w:vAlign w:val="bottom"/>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7"/>
                <w:szCs w:val="17"/>
                <w:color w:val="auto"/>
              </w:rPr>
              <w:t>572,302</w:t>
            </w:r>
          </w:p>
        </w:tc>
        <w:tc>
          <w:tcPr>
            <w:tcW w:w="46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102,107</w:t>
            </w:r>
          </w:p>
        </w:tc>
      </w:tr>
      <w:tr>
        <w:trPr>
          <w:trHeight w:val="225"/>
        </w:trPr>
        <w:tc>
          <w:tcPr>
            <w:tcW w:w="762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(278,664)</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(162,058)</w:t>
            </w:r>
          </w:p>
        </w:tc>
      </w:tr>
      <w:tr>
        <w:trPr>
          <w:trHeight w:val="236"/>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provided by (used in) financing activities</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1,350,994</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1,035,252</w:t>
            </w:r>
          </w:p>
        </w:tc>
      </w:tr>
    </w:tbl>
    <w:p>
      <w:pPr>
        <w:spacing w:after="0" w:line="28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00497F"/>
        </w:rPr>
        <w:t xml:space="preserve">Operating Activities </w:t>
      </w:r>
      <w:r>
        <w:rPr>
          <w:rFonts w:ascii="Arial" w:cs="Arial" w:eastAsia="Arial" w:hAnsi="Arial"/>
          <w:sz w:val="17"/>
          <w:szCs w:val="17"/>
          <w:color w:val="000000"/>
        </w:rPr>
        <w:t>Each segment’s relative contribution to our cash flows from operating activities will likely vary significantly from period to period</w:t>
      </w:r>
      <w:r>
        <w:rPr>
          <w:rFonts w:ascii="Arial" w:cs="Arial" w:eastAsia="Arial" w:hAnsi="Arial"/>
          <w:sz w:val="17"/>
          <w:szCs w:val="17"/>
          <w:b w:val="1"/>
          <w:bCs w:val="1"/>
          <w:color w:val="00497F"/>
        </w:rPr>
        <w:t xml:space="preserve"> </w:t>
      </w:r>
      <w:r>
        <w:rPr>
          <w:rFonts w:ascii="Arial" w:cs="Arial" w:eastAsia="Arial" w:hAnsi="Arial"/>
          <w:sz w:val="17"/>
          <w:szCs w:val="17"/>
          <w:color w:val="000000"/>
        </w:rPr>
        <w:t>given the changing nature of our development focus and the timing of condominium and land sale closings. Our operating cash flows consist of the following (1) condominium deposits received from contracted units and proceeds from condominium closings offset by other various cash uses related to condominium development and sales activities, (2) revenues from MPC land sales offset by development costs associated with the land sales business and acquisitions of land that is intended to ultimately be developed and sold, (3) recurring contractual revenues from operating leases, (4) post-acquisition operating cash flows attributable to Vantage, primarily related to insurance and reinsurance premiums collected, reinsurance recoverables, fee income, and investment income, offset by claim payments, ceded and retro reinsurance payments, and underwriting costs, and (5) proceeds from MUD sales.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cash provided by operating activities was $572.3 million in the nine months ended September 30, 2026, and $102.1 million in the nine months ended September 30, 2025. The increase in cash provided by operating activities of $470.2 million was primarily due to an increase in cash provided by condominium towers, primarily due to the closings at The Park Ward Village in the current period, an increase in the cash provided by Vantage in the post-acquisition period, and an increase in proceeds from the sale of MUD receivables, partially offset by an increase in MPC development expenditures and a decrease in MPC land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ind w:left="60"/>
        <w:spacing w:after="0"/>
        <w:tabs>
          <w:tab w:leader="none" w:pos="976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828282"/>
        </w:rPr>
        <w:t>LIQUIDITY AND CAPITAL RESOURCES</w:t>
      </w:r>
    </w:p>
    <w:p>
      <w:pPr>
        <w:spacing w:after="0" w:line="3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Investing Activities </w:t>
      </w:r>
      <w:r>
        <w:rPr>
          <w:rFonts w:ascii="Arial" w:cs="Arial" w:eastAsia="Arial" w:hAnsi="Arial"/>
          <w:sz w:val="17"/>
          <w:szCs w:val="17"/>
          <w:color w:val="000000"/>
        </w:rPr>
        <w:t>Net cash used in investing activities was $278.7 million in the nine months ended September 30, 2026, and $162.1 million in</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nine months ended September 30, 2025. The $116.6 million increase in net cash used in investing activities was primarily due to $1.6 billion of cash used for the Vantage Acquisition, net of cash acquired, and $1.3 billion of cash used to purchase equity securities in the current period. These increases were partially offset by $2.6 billion of cash received for the sale of fixed maturity securities in the current period, and an increase in cash received of $113.6 million for the sale of properties, primarily due to the sale of two multifamily properties in The Woodlands in the current period, compared to the sale of four land parcels and retail spaces in Ward Village in the prior period.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Financing Activities </w:t>
      </w:r>
      <w:r>
        <w:rPr>
          <w:rFonts w:ascii="Arial" w:cs="Arial" w:eastAsia="Arial" w:hAnsi="Arial"/>
          <w:sz w:val="17"/>
          <w:szCs w:val="17"/>
          <w:color w:val="000000"/>
        </w:rPr>
        <w:t>Net cash provided by financing activities was $1.4 billion in the nine months ended September 30, 2026, and $1.0 billion in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nine months ended September 30, 2025. The $315.7 million increase in cash provided by financing activities was primarily due to a $983.1 million increase in proceeds from mortgages, notes, and loans payable, primarily related to the issuance of $1.0 billion of new unsecured notes, as well as $997.2 million of net proceeds from the issuance of Series A Preferred Stock in the current period. These increases were partially offset by a decrease in cash provided of $862.8 million related to net proceeds received in the prior period for the common stock issuance to Pershing Square, a $797.1 million increase in cash used related to principal payments on mortgages, notes, and loans payable, primarily related to the repayment of $750.0 million of existing unsecured notes in the current period, as well as a $14.5 million increase in deferred financing costs and bond issuance costs related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hanging="446"/>
        <w:spacing w:after="0"/>
        <w:tabs>
          <w:tab w:leader="none" w:pos="49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ind w:left="60"/>
        <w:spacing w:after="0"/>
        <w:tabs>
          <w:tab w:leader="none" w:pos="976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828282"/>
        </w:rPr>
        <w:t>LIQUIDITY AND CAPITAL RESOURCES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Short- and Long-Term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00497F"/>
        </w:rPr>
        <w:t xml:space="preserve">Short-Term Liquidity </w:t>
      </w:r>
      <w:r>
        <w:rPr>
          <w:rFonts w:ascii="Arial" w:cs="Arial" w:eastAsia="Arial" w:hAnsi="Arial"/>
          <w:sz w:val="17"/>
          <w:szCs w:val="17"/>
          <w:color w:val="000000"/>
        </w:rPr>
        <w:t>In the next 12 months, we expect to continue to drive meaningful value creation following our transition to a diversified holding</w:t>
      </w:r>
      <w:r>
        <w:rPr>
          <w:rFonts w:ascii="Arial" w:cs="Arial" w:eastAsia="Arial" w:hAnsi="Arial"/>
          <w:sz w:val="17"/>
          <w:szCs w:val="17"/>
          <w:b w:val="1"/>
          <w:bCs w:val="1"/>
          <w:color w:val="00497F"/>
        </w:rPr>
        <w:t xml:space="preserve"> </w:t>
      </w:r>
      <w:r>
        <w:rPr>
          <w:rFonts w:ascii="Arial" w:cs="Arial" w:eastAsia="Arial" w:hAnsi="Arial"/>
          <w:sz w:val="17"/>
          <w:szCs w:val="17"/>
          <w:color w:val="000000"/>
        </w:rPr>
        <w:t>company.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From our real estate operations, we expect our primary sources of cash in the next 12 months to include cash flow from MPC land sales and condominium closings, cash generated from our operating assets, first mortgage financings secured by our assets, and deposits from condominium sales (which are restricted to funding construction of the related developments). In connection with the planned transition of HHC to an asset-light real estate development and asset management platform as described above, we also expect our sources of cash to potentially include proceeds from the sale of interests in select operating assets, the disposition of non-core assets, and the formation of joint ventures for portions of our residential MPC land holdings and, over time, development, asset management, and performance fees earned on third-party capital. We expect our primary uses of cash to include condominium pre-development and development costs, debt principal payments and debt service costs, MPC land development costs, other strategic developments costs, and general operating costs. To the extent the planned monetization transactions are completed, we expect our uses of cash to also include transaction costs and the potential repayment of debt secured by the related assets. The timing and amount of any such transactions will depend on market conditions, counterparty interest, the terms of HHC's indebtedness, and other factors. There can be no assurance that any such transactions will be completed within the next 12 months or at all.</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From our insurance operations, we expect our primary sources of cash to include premiums collected from policyholders, investment income earned from our investment portfolio, recoveries from reinsurers, proceeds from the sale or maturity of investments, and if needed, available borrowings under Vantage’s revolving credit facility. We expect our primary uses of cash to include payment of claims, premiums ceded to reinsurers, commissions and other policy acquisition costs, and general operating expenses. Cash flows from operations may be impacted by the timing of premium collections, claim payments, and changes in reinsurance balances. Actual claim payment patterns may differ from current estimates due to a variety of factors, including the size and timing of individual losses, changes in the legal and regulatory environment, and broader economic conditions. The Company currently intends to reposition Vantage’s investment portfolio to include cash, short-term U.S. Treasury securities, and publicly traded equity securities. In June 2026, the Company began implementing this strategy by divesting a significant portion of its available-for-sale fixed maturity securities and initiating investments in equity securities, and as of September 30, 2026, the Company has substantially completed this repositioning.</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believe that our sources of cash, including existing cash on hand, will provide sufficient liquidity to meet our existing obligations and anticipated ordinary course operating expenses for at least the next 12 months.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Long-Term Liquidity </w:t>
      </w:r>
      <w:r>
        <w:rPr>
          <w:rFonts w:ascii="Arial" w:cs="Arial" w:eastAsia="Arial" w:hAnsi="Arial"/>
          <w:sz w:val="17"/>
          <w:szCs w:val="17"/>
          <w:color w:val="000000"/>
        </w:rPr>
        <w:t>We expect our long-term sources and uses of cash for our real estate and insurance operations to continue to align with those</w:t>
      </w:r>
      <w:r>
        <w:rPr>
          <w:rFonts w:ascii="Arial" w:cs="Arial" w:eastAsia="Arial" w:hAnsi="Arial"/>
          <w:sz w:val="17"/>
          <w:szCs w:val="17"/>
          <w:b w:val="1"/>
          <w:bCs w:val="1"/>
          <w:color w:val="00497F"/>
        </w:rPr>
        <w:t xml:space="preserve"> </w:t>
      </w:r>
      <w:r>
        <w:rPr>
          <w:rFonts w:ascii="Arial" w:cs="Arial" w:eastAsia="Arial" w:hAnsi="Arial"/>
          <w:sz w:val="17"/>
          <w:szCs w:val="17"/>
          <w:color w:val="000000"/>
        </w:rPr>
        <w:t>mentioned above.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To the extent we implement the planned transition of our real estate operations to an asset-light real estate development and asset management platform, cash generated from our Operating Assets and MPC land sales is expected to decrease in relation to any interests sold, while development, asset management, and performance fees may partially offset this decrease over time. We also expect that third-party capital partners may fund a potentially substantial portion of our future development. The amount and timing of any such fees and third-party funding will depend on our ability to attract third-party capital partners and on the performance of the related assets and investment vehicles.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our insurance operations, we expect cash inflows to grow over time through the optimization of underwriting profitability and investment strategies. Insurance operations generally provide liquidity as premiums are received in advance of the payment of related claims, although the period between the occurrence of a claim and settlement of the associated liability may extend for many years. The Company’s investment strategy is managed to establish a level of cash, investments, and expected future cash flow that will be able to meet foreseeable payment obligations. The Company’s ability to deploy cash held at the insurance-subsidiary level for long-term uses is subject to various limitations and considerations, including the timing and uncertainty of claim payments, regulatory capital and solvency requirements applicable to its insurance subsidiaries, and restrictions on the ability of such subsidiaries to pay dividends or other distributions to the parent company. While management believes that existing cash flows, invested assets, and other available sources of liquidity will be sufficient to satisfy long-term obligations, the ultimate amount and timing of claim payments may differ materially from current estimates. In addition, the Company must maintain sufficient liquidity to support its insurance liabilities and meet policyholder obligations under a range of stress scenarios. As a result, a significant portion of insurance-related cash and invested assets may not be readily available for discretionary uses.</w:t>
      </w:r>
    </w:p>
    <w:p>
      <w:pPr>
        <w:spacing w:after="0" w:line="200" w:lineRule="exact"/>
        <w:rPr>
          <w:sz w:val="20"/>
          <w:szCs w:val="20"/>
          <w:color w:val="auto"/>
        </w:rPr>
      </w:pPr>
    </w:p>
    <w:p>
      <w:pPr>
        <w:spacing w:after="0" w:line="367" w:lineRule="exact"/>
        <w:rPr>
          <w:sz w:val="20"/>
          <w:szCs w:val="20"/>
          <w:color w:val="auto"/>
        </w:rPr>
      </w:pPr>
    </w:p>
    <w:p>
      <w:pPr>
        <w:ind w:left="4960" w:hanging="446"/>
        <w:spacing w:after="0"/>
        <w:tabs>
          <w:tab w:leader="none" w:pos="49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ind w:left="60"/>
        <w:spacing w:after="0"/>
        <w:tabs>
          <w:tab w:leader="none" w:pos="976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828282"/>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Series A Preferred Stock issued by HHH to Pershing Square is exchangeable into equity interests of Vantage if not redeemed by the end of the seventh fiscal year post-transaction. HHH has the right, but not the obligation, to redeem the Series A Preferred Stock over the next seven years. Refer to Note 3 - </w:t>
      </w:r>
      <w:r>
        <w:rPr>
          <w:rFonts w:ascii="Arial" w:cs="Arial" w:eastAsia="Arial" w:hAnsi="Arial"/>
          <w:sz w:val="17"/>
          <w:szCs w:val="17"/>
          <w:i w:val="1"/>
          <w:iCs w:val="1"/>
          <w:color w:val="auto"/>
        </w:rPr>
        <w:t>Pershing Square</w:t>
      </w:r>
      <w:r>
        <w:rPr>
          <w:rFonts w:ascii="Arial" w:cs="Arial" w:eastAsia="Arial" w:hAnsi="Arial"/>
          <w:sz w:val="17"/>
          <w:szCs w:val="17"/>
          <w:color w:val="auto"/>
        </w:rPr>
        <w:t xml:space="preserve"> in the Notes to Condensed Consolidated Financial Statements under Item 1 of this Quarterly Report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Contractual Cash Obligations and Commitments </w:t>
      </w:r>
      <w:r>
        <w:rPr>
          <w:rFonts w:ascii="Arial" w:cs="Arial" w:eastAsia="Arial" w:hAnsi="Arial"/>
          <w:sz w:val="17"/>
          <w:szCs w:val="17"/>
          <w:color w:val="000000"/>
        </w:rPr>
        <w:t>The following table aggregates our contractual cash obligations and commitments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6"/>
                <w:szCs w:val="16"/>
                <w:i w:val="1"/>
                <w:iCs w:val="1"/>
                <w:color w:val="auto"/>
              </w:rPr>
              <w:t>thousands</w:t>
            </w:r>
          </w:p>
        </w:tc>
        <w:tc>
          <w:tcPr>
            <w:tcW w:w="1400" w:type="dxa"/>
            <w:vAlign w:val="bottom"/>
            <w:tcBorders>
              <w:top w:val="single" w:sz="8" w:color="auto"/>
            </w:tcBorders>
            <w:gridSpan w:val="2"/>
            <w:shd w:val="clear" w:color="auto" w:fill="D8D8D8"/>
          </w:tcPr>
          <w:p>
            <w:pPr>
              <w:jc w:val="right"/>
              <w:spacing w:after="0" w:line="175" w:lineRule="exact"/>
              <w:rPr>
                <w:sz w:val="20"/>
                <w:szCs w:val="20"/>
                <w:color w:val="auto"/>
              </w:rPr>
            </w:pPr>
            <w:r>
              <w:rPr>
                <w:rFonts w:ascii="Arial" w:cs="Arial" w:eastAsia="Arial" w:hAnsi="Arial"/>
                <w:sz w:val="16"/>
                <w:szCs w:val="16"/>
                <w:b w:val="1"/>
                <w:bCs w:val="1"/>
                <w:color w:val="auto"/>
              </w:rPr>
              <w:t>Remaining in</w:t>
            </w:r>
          </w:p>
        </w:tc>
        <w:tc>
          <w:tcPr>
            <w:tcW w:w="280" w:type="dxa"/>
            <w:vAlign w:val="bottom"/>
            <w:tcBorders>
              <w:top w:val="single" w:sz="8" w:color="auto"/>
            </w:tcBorders>
            <w:shd w:val="clear" w:color="auto" w:fill="D8D8D8"/>
          </w:tcPr>
          <w:p>
            <w:pPr>
              <w:spacing w:after="0"/>
              <w:rPr>
                <w:sz w:val="15"/>
                <w:szCs w:val="15"/>
                <w:color w:val="auto"/>
              </w:rPr>
            </w:pPr>
          </w:p>
        </w:tc>
        <w:tc>
          <w:tcPr>
            <w:tcW w:w="860" w:type="dxa"/>
            <w:vAlign w:val="bottom"/>
            <w:tcBorders>
              <w:top w:val="single" w:sz="8" w:color="auto"/>
            </w:tcBorders>
            <w:vMerge w:val="restart"/>
            <w:shd w:val="clear" w:color="auto" w:fill="D8D8D8"/>
          </w:tcPr>
          <w:p>
            <w:pPr>
              <w:jc w:val="right"/>
              <w:ind w:right="279"/>
              <w:spacing w:after="0"/>
              <w:rPr>
                <w:sz w:val="20"/>
                <w:szCs w:val="20"/>
                <w:color w:val="auto"/>
              </w:rPr>
            </w:pPr>
            <w:r>
              <w:rPr>
                <w:rFonts w:ascii="Arial" w:cs="Arial" w:eastAsia="Arial" w:hAnsi="Arial"/>
                <w:sz w:val="16"/>
                <w:szCs w:val="16"/>
                <w:b w:val="1"/>
                <w:bCs w:val="1"/>
                <w:color w:val="auto"/>
              </w:rPr>
              <w:t>2027</w:t>
            </w:r>
          </w:p>
        </w:tc>
        <w:tc>
          <w:tcPr>
            <w:tcW w:w="280" w:type="dxa"/>
            <w:vAlign w:val="bottom"/>
            <w:tcBorders>
              <w:top w:val="single" w:sz="8" w:color="auto"/>
            </w:tcBorders>
            <w:shd w:val="clear" w:color="auto" w:fill="D8D8D8"/>
          </w:tcPr>
          <w:p>
            <w:pPr>
              <w:spacing w:after="0"/>
              <w:rPr>
                <w:sz w:val="15"/>
                <w:szCs w:val="15"/>
                <w:color w:val="auto"/>
              </w:rPr>
            </w:pPr>
          </w:p>
        </w:tc>
        <w:tc>
          <w:tcPr>
            <w:tcW w:w="820" w:type="dxa"/>
            <w:vAlign w:val="bottom"/>
            <w:tcBorders>
              <w:top w:val="single" w:sz="8" w:color="auto"/>
            </w:tcBorders>
            <w:vMerge w:val="restart"/>
            <w:shd w:val="clear" w:color="auto" w:fill="D8D8D8"/>
          </w:tcPr>
          <w:p>
            <w:pPr>
              <w:jc w:val="right"/>
              <w:ind w:right="259"/>
              <w:spacing w:after="0"/>
              <w:rPr>
                <w:sz w:val="20"/>
                <w:szCs w:val="20"/>
                <w:color w:val="auto"/>
              </w:rPr>
            </w:pPr>
            <w:r>
              <w:rPr>
                <w:rFonts w:ascii="Arial" w:cs="Arial" w:eastAsia="Arial" w:hAnsi="Arial"/>
                <w:sz w:val="16"/>
                <w:szCs w:val="16"/>
                <w:b w:val="1"/>
                <w:bCs w:val="1"/>
                <w:color w:val="auto"/>
              </w:rPr>
              <w:t>2028</w:t>
            </w:r>
          </w:p>
        </w:tc>
        <w:tc>
          <w:tcPr>
            <w:tcW w:w="240" w:type="dxa"/>
            <w:vAlign w:val="bottom"/>
            <w:tcBorders>
              <w:top w:val="single" w:sz="8" w:color="auto"/>
            </w:tcBorders>
            <w:shd w:val="clear" w:color="auto" w:fill="D8D8D8"/>
          </w:tcPr>
          <w:p>
            <w:pPr>
              <w:spacing w:after="0"/>
              <w:rPr>
                <w:sz w:val="15"/>
                <w:szCs w:val="15"/>
                <w:color w:val="auto"/>
              </w:rPr>
            </w:pPr>
          </w:p>
        </w:tc>
        <w:tc>
          <w:tcPr>
            <w:tcW w:w="880" w:type="dxa"/>
            <w:vAlign w:val="bottom"/>
            <w:tcBorders>
              <w:top w:val="single" w:sz="8" w:color="auto"/>
            </w:tcBorders>
            <w:vMerge w:val="restart"/>
            <w:shd w:val="clear" w:color="auto" w:fill="D8D8D8"/>
          </w:tcPr>
          <w:p>
            <w:pPr>
              <w:jc w:val="right"/>
              <w:ind w:right="279"/>
              <w:spacing w:after="0"/>
              <w:rPr>
                <w:sz w:val="20"/>
                <w:szCs w:val="20"/>
                <w:color w:val="auto"/>
              </w:rPr>
            </w:pPr>
            <w:r>
              <w:rPr>
                <w:rFonts w:ascii="Arial" w:cs="Arial" w:eastAsia="Arial" w:hAnsi="Arial"/>
                <w:sz w:val="16"/>
                <w:szCs w:val="16"/>
                <w:b w:val="1"/>
                <w:bCs w:val="1"/>
                <w:color w:val="auto"/>
              </w:rPr>
              <w:t>2029</w:t>
            </w:r>
          </w:p>
        </w:tc>
        <w:tc>
          <w:tcPr>
            <w:tcW w:w="260" w:type="dxa"/>
            <w:vAlign w:val="bottom"/>
            <w:tcBorders>
              <w:top w:val="single" w:sz="8" w:color="auto"/>
            </w:tcBorders>
            <w:shd w:val="clear" w:color="auto" w:fill="D8D8D8"/>
          </w:tcPr>
          <w:p>
            <w:pPr>
              <w:spacing w:after="0"/>
              <w:rPr>
                <w:sz w:val="15"/>
                <w:szCs w:val="15"/>
                <w:color w:val="auto"/>
              </w:rPr>
            </w:pPr>
          </w:p>
        </w:tc>
        <w:tc>
          <w:tcPr>
            <w:tcW w:w="840" w:type="dxa"/>
            <w:vAlign w:val="bottom"/>
            <w:tcBorders>
              <w:top w:val="single" w:sz="8" w:color="auto"/>
            </w:tcBorders>
            <w:vMerge w:val="restart"/>
            <w:shd w:val="clear" w:color="auto" w:fill="D8D8D8"/>
          </w:tcPr>
          <w:p>
            <w:pPr>
              <w:jc w:val="right"/>
              <w:ind w:right="259"/>
              <w:spacing w:after="0"/>
              <w:rPr>
                <w:sz w:val="20"/>
                <w:szCs w:val="20"/>
                <w:color w:val="auto"/>
              </w:rPr>
            </w:pPr>
            <w:r>
              <w:rPr>
                <w:rFonts w:ascii="Arial" w:cs="Arial" w:eastAsia="Arial" w:hAnsi="Arial"/>
                <w:sz w:val="16"/>
                <w:szCs w:val="16"/>
                <w:b w:val="1"/>
                <w:bCs w:val="1"/>
                <w:color w:val="auto"/>
              </w:rPr>
              <w:t>2030</w:t>
            </w:r>
          </w:p>
        </w:tc>
        <w:tc>
          <w:tcPr>
            <w:tcW w:w="180" w:type="dxa"/>
            <w:vAlign w:val="bottom"/>
            <w:tcBorders>
              <w:top w:val="single" w:sz="8" w:color="auto"/>
            </w:tcBorders>
            <w:shd w:val="clear" w:color="auto" w:fill="D8D8D8"/>
          </w:tcPr>
          <w:p>
            <w:pPr>
              <w:spacing w:after="0"/>
              <w:rPr>
                <w:sz w:val="15"/>
                <w:szCs w:val="15"/>
                <w:color w:val="auto"/>
              </w:rPr>
            </w:pPr>
          </w:p>
        </w:tc>
        <w:tc>
          <w:tcPr>
            <w:tcW w:w="1000" w:type="dxa"/>
            <w:vAlign w:val="bottom"/>
            <w:tcBorders>
              <w:top w:val="single" w:sz="8" w:color="auto"/>
            </w:tcBorders>
            <w:vMerge w:val="restart"/>
            <w:shd w:val="clear" w:color="auto" w:fill="D8D8D8"/>
          </w:tcPr>
          <w:p>
            <w:pPr>
              <w:jc w:val="right"/>
              <w:ind w:right="79"/>
              <w:spacing w:after="0"/>
              <w:rPr>
                <w:sz w:val="20"/>
                <w:szCs w:val="20"/>
                <w:color w:val="auto"/>
              </w:rPr>
            </w:pPr>
            <w:r>
              <w:rPr>
                <w:rFonts w:ascii="Arial" w:cs="Arial" w:eastAsia="Arial" w:hAnsi="Arial"/>
                <w:sz w:val="16"/>
                <w:szCs w:val="16"/>
                <w:b w:val="1"/>
                <w:bCs w:val="1"/>
                <w:color w:val="auto"/>
              </w:rPr>
              <w:t>Thereafter</w:t>
            </w:r>
          </w:p>
        </w:tc>
        <w:tc>
          <w:tcPr>
            <w:tcW w:w="280" w:type="dxa"/>
            <w:vAlign w:val="bottom"/>
            <w:tcBorders>
              <w:top w:val="single" w:sz="8" w:color="auto"/>
            </w:tcBorders>
            <w:shd w:val="clear" w:color="auto" w:fill="D8D8D8"/>
          </w:tcPr>
          <w:p>
            <w:pPr>
              <w:spacing w:after="0"/>
              <w:rPr>
                <w:sz w:val="15"/>
                <w:szCs w:val="15"/>
                <w:color w:val="auto"/>
              </w:rPr>
            </w:pPr>
          </w:p>
        </w:tc>
        <w:tc>
          <w:tcPr>
            <w:tcW w:w="940" w:type="dxa"/>
            <w:vAlign w:val="bottom"/>
            <w:tcBorders>
              <w:top w:val="single" w:sz="8" w:color="auto"/>
            </w:tcBorders>
            <w:vMerge w:val="restart"/>
            <w:shd w:val="clear" w:color="auto" w:fill="D8D8D8"/>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auto"/>
            </w:tcBorders>
            <w:vMerge w:val="continue"/>
            <w:shd w:val="clear" w:color="auto" w:fill="D8D8D8"/>
          </w:tcPr>
          <w:p>
            <w:pPr>
              <w:spacing w:after="0"/>
              <w:rPr>
                <w:sz w:val="18"/>
                <w:szCs w:val="18"/>
                <w:color w:val="auto"/>
              </w:rPr>
            </w:pPr>
          </w:p>
        </w:tc>
        <w:tc>
          <w:tcPr>
            <w:tcW w:w="54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tcBorders>
            <w:shd w:val="clear" w:color="auto" w:fill="D8D8D8"/>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tcBorders>
            <w:vMerge w:val="continue"/>
            <w:shd w:val="clear" w:color="auto" w:fill="D8D8D8"/>
          </w:tcPr>
          <w:p>
            <w:pPr>
              <w:spacing w:after="0"/>
              <w:rPr>
                <w:sz w:val="18"/>
                <w:szCs w:val="18"/>
                <w:color w:val="auto"/>
              </w:rPr>
            </w:pPr>
          </w:p>
        </w:tc>
        <w:tc>
          <w:tcPr>
            <w:tcW w:w="280" w:type="dxa"/>
            <w:vAlign w:val="bottom"/>
            <w:tcBorders>
              <w:bottom w:val="single" w:sz="8" w:color="auto"/>
            </w:tcBorders>
            <w:shd w:val="clear" w:color="auto" w:fill="D8D8D8"/>
          </w:tcPr>
          <w:p>
            <w:pPr>
              <w:spacing w:after="0"/>
              <w:rPr>
                <w:sz w:val="18"/>
                <w:szCs w:val="18"/>
                <w:color w:val="auto"/>
              </w:rPr>
            </w:pPr>
          </w:p>
        </w:tc>
        <w:tc>
          <w:tcPr>
            <w:tcW w:w="820" w:type="dxa"/>
            <w:vAlign w:val="bottom"/>
            <w:tcBorders>
              <w:bottom w:val="single" w:sz="8" w:color="auto"/>
            </w:tcBorders>
            <w:vMerge w:val="continue"/>
            <w:shd w:val="clear" w:color="auto" w:fill="D8D8D8"/>
          </w:tcPr>
          <w:p>
            <w:pPr>
              <w:spacing w:after="0"/>
              <w:rPr>
                <w:sz w:val="18"/>
                <w:szCs w:val="18"/>
                <w:color w:val="auto"/>
              </w:rPr>
            </w:pPr>
          </w:p>
        </w:tc>
        <w:tc>
          <w:tcPr>
            <w:tcW w:w="24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vMerge w:val="continue"/>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vMerge w:val="continue"/>
            <w:shd w:val="clear" w:color="auto" w:fill="D8D8D8"/>
          </w:tcPr>
          <w:p>
            <w:pPr>
              <w:spacing w:after="0"/>
              <w:rPr>
                <w:sz w:val="18"/>
                <w:szCs w:val="18"/>
                <w:color w:val="auto"/>
              </w:rPr>
            </w:pPr>
          </w:p>
        </w:tc>
        <w:tc>
          <w:tcPr>
            <w:tcW w:w="180" w:type="dxa"/>
            <w:vAlign w:val="bottom"/>
            <w:tcBorders>
              <w:bottom w:val="single" w:sz="8" w:color="auto"/>
            </w:tcBorders>
            <w:shd w:val="clear" w:color="auto" w:fill="D8D8D8"/>
          </w:tcPr>
          <w:p>
            <w:pPr>
              <w:spacing w:after="0"/>
              <w:rPr>
                <w:sz w:val="18"/>
                <w:szCs w:val="18"/>
                <w:color w:val="auto"/>
              </w:rPr>
            </w:pPr>
          </w:p>
        </w:tc>
        <w:tc>
          <w:tcPr>
            <w:tcW w:w="1000" w:type="dxa"/>
            <w:vAlign w:val="bottom"/>
            <w:tcBorders>
              <w:bottom w:val="single" w:sz="8" w:color="auto"/>
            </w:tcBorders>
            <w:vMerge w:val="continue"/>
            <w:shd w:val="clear" w:color="auto" w:fill="D8D8D8"/>
          </w:tcPr>
          <w:p>
            <w:pPr>
              <w:spacing w:after="0"/>
              <w:rPr>
                <w:sz w:val="18"/>
                <w:szCs w:val="18"/>
                <w:color w:val="auto"/>
              </w:rPr>
            </w:pPr>
          </w:p>
        </w:tc>
        <w:tc>
          <w:tcPr>
            <w:tcW w:w="280" w:type="dxa"/>
            <w:vAlign w:val="bottom"/>
            <w:tcBorders>
              <w:bottom w:val="single" w:sz="8" w:color="auto"/>
            </w:tcBorders>
            <w:shd w:val="clear" w:color="auto" w:fill="D8D8D8"/>
          </w:tcPr>
          <w:p>
            <w:pPr>
              <w:spacing w:after="0"/>
              <w:rPr>
                <w:sz w:val="18"/>
                <w:szCs w:val="18"/>
                <w:color w:val="auto"/>
              </w:rPr>
            </w:pPr>
          </w:p>
        </w:tc>
        <w:tc>
          <w:tcPr>
            <w:tcW w:w="940" w:type="dxa"/>
            <w:vAlign w:val="bottom"/>
            <w:tcBorders>
              <w:bottom w:val="single" w:sz="8" w:color="auto"/>
            </w:tcBorders>
            <w:vMerge w:val="continue"/>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Mortgages, notes, and loans payable</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192,904</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642,654</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257,281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1,326,030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371,252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2,960,213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5,750,334</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Interest payments (a)</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80,950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297,607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265,745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216,701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166,735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260,176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1,287,914</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obligations</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11,057</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274,824</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942,119</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523,937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1,543,602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538,624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3,226,199</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7,049,305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  Interest is based on the borrowings that are presently outstanding and current floating interest rates.</w:t>
      </w:r>
    </w:p>
    <w:p>
      <w:pPr>
        <w:spacing w:after="0" w:line="25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Debt </w:t>
      </w:r>
      <w:r>
        <w:rPr>
          <w:rFonts w:ascii="Arial" w:cs="Arial" w:eastAsia="Arial" w:hAnsi="Arial"/>
          <w:sz w:val="17"/>
          <w:szCs w:val="17"/>
          <w:color w:val="000000"/>
        </w:rPr>
        <w:t>As of September 30, 2026, the Company had $5.7 billion of outstanding debt, $985.8 million of undrawn lender commitment available to be</w:t>
      </w:r>
      <w:r>
        <w:rPr>
          <w:rFonts w:ascii="Arial" w:cs="Arial" w:eastAsia="Arial" w:hAnsi="Arial"/>
          <w:sz w:val="17"/>
          <w:szCs w:val="17"/>
          <w:b w:val="1"/>
          <w:bCs w:val="1"/>
          <w:color w:val="00497F"/>
        </w:rPr>
        <w:t xml:space="preserve"> </w:t>
      </w:r>
      <w:r>
        <w:rPr>
          <w:rFonts w:ascii="Arial" w:cs="Arial" w:eastAsia="Arial" w:hAnsi="Arial"/>
          <w:sz w:val="17"/>
          <w:szCs w:val="17"/>
          <w:color w:val="000000"/>
        </w:rPr>
        <w:t>drawn for property development, subject to certain restrictions, and $515.0 million of undrawn capacity on our Secured Bridgeland Note.</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Vantage has a $75.0 million revolving credit facility with the option to increase the aggregate amount by $50.0 million at the lender’s discretion. This facility matures in January 2028. As of September 30, 2026, there were no outstanding borrowings under this facility.</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February 2026, HHC, the Company’s wholly owned subsidiary, issued $500.0 million of 5.875% senior unsecured notes due 2032 and $500.0 million of 6.125% senior unsecured notes due 2034. These notes pay interest semi-annually. HHC used the net proceeds to redeem its outstanding $750.0 million 5.375% senior unsecured notes due 2028, including the payment of premiums, accrued and unpaid interest and expenses related to such redemption, and used the remaining proceeds for general corporate purposes.</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Refer to Note 6 - </w:t>
      </w:r>
      <w:r>
        <w:rPr>
          <w:rFonts w:ascii="Arial" w:cs="Arial" w:eastAsia="Arial" w:hAnsi="Arial"/>
          <w:sz w:val="17"/>
          <w:szCs w:val="17"/>
          <w:i w:val="1"/>
          <w:iCs w:val="1"/>
          <w:color w:val="auto"/>
        </w:rPr>
        <w:t>Mortgages, Notes, and Loans Payable, Net</w:t>
      </w:r>
      <w:r>
        <w:rPr>
          <w:rFonts w:ascii="Arial" w:cs="Arial" w:eastAsia="Arial" w:hAnsi="Arial"/>
          <w:sz w:val="17"/>
          <w:szCs w:val="17"/>
          <w:color w:val="auto"/>
        </w:rPr>
        <w:t xml:space="preserve"> in the Notes to Condensed Consolidated Financial Statements under Item 1 of this Quarterly Report for additional information.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Debt Compliance </w:t>
      </w:r>
      <w:r>
        <w:rPr>
          <w:rFonts w:ascii="Arial" w:cs="Arial" w:eastAsia="Arial" w:hAnsi="Arial"/>
          <w:sz w:val="17"/>
          <w:szCs w:val="17"/>
          <w:color w:val="auto"/>
        </w:rPr>
        <w:t>As of September 30, 2026, the Company was not in compliance with certain property-level debt covenants, which did not have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impact on the Company’s liquidity or its ability to operate these assets. As a result, the excess net cash flow after debt service from the underlying properties became restricted. While the restricted cash cannot be used for general corporate purposes, it can be used to fund operations of the underlying assets.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Net Debt </w:t>
      </w:r>
      <w:r>
        <w:rPr>
          <w:rFonts w:ascii="Arial" w:cs="Arial" w:eastAsia="Arial" w:hAnsi="Arial"/>
          <w:sz w:val="17"/>
          <w:szCs w:val="17"/>
          <w:color w:val="auto"/>
        </w:rPr>
        <w:t>The following table summarizes our Net Debt on a segment basis as of September 30, 2026. The Company revised the definition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non-GAAP measure, Net Debt, to simplify its calculation and recast the prior period to conform to the new presentation. Under the revised definition, Net Debt excludes the impact of unamortized deferred financing costs and our ownership share of debt of our unconsolidated ventures, whereas prior periods included these amounts. In addition, under the revised definition, Net Debt is reduced only by readily available cash sources, consisting of Cash and cash equivalents. Prior periods included our ownership share of our unconsolidated ventures’ cash and certain receivable balances as liquidity sources, which are excluded under the revised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ind w:left="60"/>
        <w:spacing w:after="0"/>
        <w:tabs>
          <w:tab w:leader="none" w:pos="976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828282"/>
        </w:rPr>
        <w:t>LIQUIDITY AND CAPITAL RESOURCES</w:t>
      </w:r>
    </w:p>
    <w:p>
      <w:pPr>
        <w:spacing w:after="0" w:line="3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Debt is now defined as Mortgages, notes, and loans payable, excluding the impact of unamortized deferred financing costs, reduced by Cash and cash equivalents available to satisfy such obligations. Management believes the updated definition provides a more meaningful measure of the Company’s leverage by (i) focusing on obligations for which the Company has primary responsibility and control and (ii) using a more conservative measure of liquidity that reflects only readily available cash resources. This change enhances transparency and comparability for investors. Although Net Debt is a non-GAAP financial measure, we believe that such information is useful to our investors and other users of our financial statements as Net Debt and its components are important indicators of our overall liquidity, capital structure, and financial position. However, it should not be used as an alternative to our debt calculated in accordance with GAAP.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2080" w:type="dxa"/>
            <w:vAlign w:val="bottom"/>
            <w:tcBorders>
              <w:top w:val="single" w:sz="8" w:color="auto"/>
              <w:bottom w:val="single" w:sz="8" w:color="auto"/>
            </w:tcBorders>
            <w:shd w:val="clear" w:color="auto" w:fill="D8D8D8"/>
          </w:tcPr>
          <w:p>
            <w:pPr>
              <w:spacing w:after="0"/>
              <w:rPr>
                <w:sz w:val="21"/>
                <w:szCs w:val="21"/>
                <w:color w:val="auto"/>
              </w:rPr>
            </w:pPr>
          </w:p>
        </w:tc>
        <w:tc>
          <w:tcPr>
            <w:tcW w:w="1920" w:type="dxa"/>
            <w:vAlign w:val="bottom"/>
            <w:tcBorders>
              <w:top w:val="single" w:sz="8" w:color="auto"/>
              <w:bottom w:val="single" w:sz="8" w:color="auto"/>
            </w:tcBorders>
            <w:shd w:val="clear" w:color="auto" w:fill="D8D8D8"/>
          </w:tcPr>
          <w:p>
            <w:pPr>
              <w:jc w:val="right"/>
              <w:ind w:right="175"/>
              <w:spacing w:after="0"/>
              <w:rPr>
                <w:sz w:val="20"/>
                <w:szCs w:val="20"/>
                <w:color w:val="auto"/>
              </w:rPr>
            </w:pPr>
            <w:r>
              <w:rPr>
                <w:rFonts w:ascii="Arial" w:cs="Arial" w:eastAsia="Arial" w:hAnsi="Arial"/>
                <w:sz w:val="17"/>
                <w:szCs w:val="17"/>
                <w:b w:val="1"/>
                <w:bCs w:val="1"/>
                <w:color w:val="auto"/>
              </w:rPr>
              <w:t>September 30, 2026</w:t>
            </w:r>
          </w:p>
        </w:tc>
        <w:tc>
          <w:tcPr>
            <w:tcW w:w="180" w:type="dxa"/>
            <w:vAlign w:val="bottom"/>
            <w:tcBorders>
              <w:top w:val="single" w:sz="8" w:color="auto"/>
              <w:bottom w:val="single" w:sz="8" w:color="auto"/>
            </w:tcBorders>
            <w:shd w:val="clear" w:color="auto" w:fill="D8D8D8"/>
          </w:tcPr>
          <w:p>
            <w:pPr>
              <w:spacing w:after="0"/>
              <w:rPr>
                <w:sz w:val="21"/>
                <w:szCs w:val="21"/>
                <w:color w:val="auto"/>
              </w:rPr>
            </w:pPr>
          </w:p>
        </w:tc>
        <w:tc>
          <w:tcPr>
            <w:tcW w:w="1880" w:type="dxa"/>
            <w:vAlign w:val="bottom"/>
            <w:tcBorders>
              <w:top w:val="single" w:sz="8" w:color="auto"/>
              <w:bottom w:val="single" w:sz="8" w:color="auto"/>
            </w:tcBorders>
            <w:shd w:val="clear" w:color="auto" w:fill="D8D8D8"/>
          </w:tcPr>
          <w:p>
            <w:pPr>
              <w:jc w:val="right"/>
              <w:ind w:right="175"/>
              <w:spacing w:after="0"/>
              <w:rPr>
                <w:sz w:val="20"/>
                <w:szCs w:val="20"/>
                <w:color w:val="auto"/>
              </w:rPr>
            </w:pPr>
            <w:r>
              <w:rPr>
                <w:rFonts w:ascii="Arial" w:cs="Arial" w:eastAsia="Arial" w:hAnsi="Arial"/>
                <w:sz w:val="17"/>
                <w:szCs w:val="17"/>
                <w:b w:val="1"/>
                <w:bCs w:val="1"/>
                <w:color w:val="auto"/>
              </w:rPr>
              <w:t>December 31, 2025</w:t>
            </w:r>
          </w:p>
        </w:tc>
      </w:tr>
      <w:tr>
        <w:trPr>
          <w:trHeight w:val="233"/>
        </w:trPr>
        <w:tc>
          <w:tcPr>
            <w:tcW w:w="5180" w:type="dxa"/>
            <w:vAlign w:val="bottom"/>
          </w:tcPr>
          <w:p>
            <w:pPr>
              <w:ind w:left="20"/>
              <w:spacing w:after="0"/>
              <w:rPr>
                <w:sz w:val="20"/>
                <w:szCs w:val="20"/>
                <w:color w:val="auto"/>
              </w:rPr>
            </w:pPr>
            <w:r>
              <w:rPr>
                <w:rFonts w:ascii="Arial" w:cs="Arial" w:eastAsia="Arial" w:hAnsi="Arial"/>
                <w:sz w:val="17"/>
                <w:szCs w:val="17"/>
                <w:color w:val="auto"/>
              </w:rPr>
              <w:t>Operating Assets debt</w:t>
            </w: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2,685,233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2,448,784</w:t>
            </w:r>
          </w:p>
        </w:tc>
      </w:tr>
      <w:tr>
        <w:trPr>
          <w:trHeight w:val="257"/>
        </w:trPr>
        <w:tc>
          <w:tcPr>
            <w:tcW w:w="5180" w:type="dxa"/>
            <w:vAlign w:val="bottom"/>
          </w:tcPr>
          <w:p>
            <w:pPr>
              <w:ind w:left="20"/>
              <w:spacing w:after="0"/>
              <w:rPr>
                <w:sz w:val="20"/>
                <w:szCs w:val="20"/>
                <w:color w:val="auto"/>
              </w:rPr>
            </w:pPr>
            <w:r>
              <w:rPr>
                <w:rFonts w:ascii="Arial" w:cs="Arial" w:eastAsia="Arial" w:hAnsi="Arial"/>
                <w:sz w:val="17"/>
                <w:szCs w:val="17"/>
                <w:color w:val="auto"/>
              </w:rPr>
              <w:t>MPC debt</w:t>
            </w:r>
          </w:p>
        </w:tc>
        <w:tc>
          <w:tcPr>
            <w:tcW w:w="20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423,930</w:t>
            </w:r>
          </w:p>
        </w:tc>
        <w:tc>
          <w:tcPr>
            <w:tcW w:w="1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163,534</w:t>
            </w:r>
          </w:p>
        </w:tc>
      </w:tr>
      <w:tr>
        <w:trPr>
          <w:trHeight w:val="257"/>
        </w:trPr>
        <w:tc>
          <w:tcPr>
            <w:tcW w:w="5180" w:type="dxa"/>
            <w:vAlign w:val="bottom"/>
          </w:tcPr>
          <w:p>
            <w:pPr>
              <w:ind w:left="20"/>
              <w:spacing w:after="0"/>
              <w:rPr>
                <w:sz w:val="20"/>
                <w:szCs w:val="20"/>
                <w:color w:val="auto"/>
              </w:rPr>
            </w:pPr>
            <w:r>
              <w:rPr>
                <w:rFonts w:ascii="Arial" w:cs="Arial" w:eastAsia="Arial" w:hAnsi="Arial"/>
                <w:sz w:val="17"/>
                <w:szCs w:val="17"/>
                <w:color w:val="auto"/>
              </w:rPr>
              <w:t>Strategic Developments debt</w:t>
            </w:r>
          </w:p>
        </w:tc>
        <w:tc>
          <w:tcPr>
            <w:tcW w:w="20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341,171</w:t>
            </w:r>
          </w:p>
        </w:tc>
        <w:tc>
          <w:tcPr>
            <w:tcW w:w="1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481,896</w:t>
            </w:r>
          </w:p>
        </w:tc>
      </w:tr>
      <w:tr>
        <w:trPr>
          <w:trHeight w:val="257"/>
        </w:trPr>
        <w:tc>
          <w:tcPr>
            <w:tcW w:w="5180" w:type="dxa"/>
            <w:vAlign w:val="bottom"/>
          </w:tcPr>
          <w:p>
            <w:pPr>
              <w:ind w:left="20"/>
              <w:spacing w:after="0"/>
              <w:rPr>
                <w:sz w:val="20"/>
                <w:szCs w:val="20"/>
                <w:color w:val="auto"/>
              </w:rPr>
            </w:pPr>
            <w:r>
              <w:rPr>
                <w:rFonts w:ascii="Arial" w:cs="Arial" w:eastAsia="Arial" w:hAnsi="Arial"/>
                <w:sz w:val="17"/>
                <w:szCs w:val="17"/>
                <w:color w:val="auto"/>
              </w:rPr>
              <w:t>Senior unsecured notes</w:t>
            </w:r>
          </w:p>
        </w:tc>
        <w:tc>
          <w:tcPr>
            <w:tcW w:w="20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2,300,000</w:t>
            </w:r>
          </w:p>
        </w:tc>
        <w:tc>
          <w:tcPr>
            <w:tcW w:w="1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2,050,000</w:t>
            </w:r>
          </w:p>
        </w:tc>
      </w:tr>
      <w:tr>
        <w:trPr>
          <w:trHeight w:val="26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Unamortized deferred financing costs</w:t>
            </w:r>
          </w:p>
        </w:tc>
        <w:tc>
          <w:tcPr>
            <w:tcW w:w="20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(46,385)</w:t>
            </w: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(34,386)</w:t>
            </w:r>
          </w:p>
        </w:tc>
      </w:tr>
      <w:tr>
        <w:trPr>
          <w:trHeight w:val="239"/>
        </w:trPr>
        <w:tc>
          <w:tcPr>
            <w:tcW w:w="5180" w:type="dxa"/>
            <w:vAlign w:val="bottom"/>
          </w:tcPr>
          <w:p>
            <w:pPr>
              <w:ind w:left="20"/>
              <w:spacing w:after="0"/>
              <w:rPr>
                <w:sz w:val="20"/>
                <w:szCs w:val="20"/>
                <w:color w:val="auto"/>
              </w:rPr>
            </w:pPr>
            <w:r>
              <w:rPr>
                <w:rFonts w:ascii="Arial" w:cs="Arial" w:eastAsia="Arial" w:hAnsi="Arial"/>
                <w:sz w:val="17"/>
                <w:szCs w:val="17"/>
                <w:color w:val="auto"/>
              </w:rPr>
              <w:t>Mortgages, notes, and loans payable, net</w:t>
            </w:r>
          </w:p>
        </w:tc>
        <w:tc>
          <w:tcPr>
            <w:tcW w:w="20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5,703,949</w:t>
            </w: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5,109,828</w:t>
            </w:r>
          </w:p>
        </w:tc>
      </w:tr>
      <w:tr>
        <w:trPr>
          <w:trHeight w:val="257"/>
        </w:trPr>
        <w:tc>
          <w:tcPr>
            <w:tcW w:w="5180" w:type="dxa"/>
            <w:vAlign w:val="bottom"/>
          </w:tcPr>
          <w:p>
            <w:pPr>
              <w:ind w:left="20"/>
              <w:spacing w:after="0"/>
              <w:rPr>
                <w:sz w:val="20"/>
                <w:szCs w:val="20"/>
                <w:color w:val="auto"/>
              </w:rPr>
            </w:pPr>
            <w:r>
              <w:rPr>
                <w:rFonts w:ascii="Arial" w:cs="Arial" w:eastAsia="Arial" w:hAnsi="Arial"/>
                <w:sz w:val="17"/>
                <w:szCs w:val="17"/>
                <w:color w:val="auto"/>
              </w:rPr>
              <w:t>Add: Unamortized deferred financing costs</w:t>
            </w:r>
          </w:p>
        </w:tc>
        <w:tc>
          <w:tcPr>
            <w:tcW w:w="20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46,385</w:t>
            </w:r>
          </w:p>
        </w:tc>
        <w:tc>
          <w:tcPr>
            <w:tcW w:w="1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34,386</w:t>
            </w:r>
          </w:p>
        </w:tc>
      </w:tr>
      <w:tr>
        <w:trPr>
          <w:trHeight w:val="26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Cash and cash equivalents (a)</w:t>
            </w:r>
          </w:p>
        </w:tc>
        <w:tc>
          <w:tcPr>
            <w:tcW w:w="20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(2,868,758)</w:t>
            </w: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(1,468,507)</w:t>
            </w: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Debt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2,881,576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3,675,707</w:t>
            </w:r>
          </w:p>
        </w:tc>
      </w:tr>
    </w:tbl>
    <w:p>
      <w:pPr>
        <w:spacing w:after="0" w:line="94" w:lineRule="exact"/>
        <w:rPr>
          <w:sz w:val="20"/>
          <w:szCs w:val="20"/>
          <w:color w:val="auto"/>
        </w:rPr>
      </w:pPr>
    </w:p>
    <w:p>
      <w:pPr>
        <w:ind w:left="340" w:hanging="332"/>
        <w:spacing w:after="0" w:line="286" w:lineRule="auto"/>
        <w:tabs>
          <w:tab w:leader="none" w:pos="33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Includes $2.1 billion of cash and cash equivalents held at Vantage at September 30, 2026. Refer to the Insurance-Related Statutory Capital and Dividend Restrictions discussion below for additional details on the Vantage cash balance.</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Insurance-Specific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Insurance Investment Portfolio </w:t>
      </w:r>
      <w:r>
        <w:rPr>
          <w:rFonts w:ascii="Arial" w:cs="Arial" w:eastAsia="Arial" w:hAnsi="Arial"/>
          <w:sz w:val="17"/>
          <w:szCs w:val="17"/>
          <w:color w:val="000000"/>
        </w:rPr>
        <w:t>The following table provides detail of the Vantage investment portfolio at fair value: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20" w:type="dxa"/>
            <w:vAlign w:val="bottom"/>
            <w:tcBorders>
              <w:top w:val="single" w:sz="8" w:color="auto"/>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8D8D8"/>
          </w:tcPr>
          <w:p>
            <w:pPr>
              <w:spacing w:after="0"/>
              <w:rPr>
                <w:sz w:val="21"/>
                <w:szCs w:val="21"/>
                <w:color w:val="auto"/>
              </w:rPr>
            </w:pPr>
          </w:p>
        </w:tc>
        <w:tc>
          <w:tcPr>
            <w:tcW w:w="3420" w:type="dxa"/>
            <w:vAlign w:val="bottom"/>
            <w:tcBorders>
              <w:top w:val="single" w:sz="8" w:color="auto"/>
              <w:bottom w:val="single" w:sz="8" w:color="auto"/>
            </w:tcBorders>
            <w:gridSpan w:val="2"/>
            <w:shd w:val="clear" w:color="auto" w:fill="D8D8D8"/>
          </w:tcPr>
          <w:p>
            <w:pPr>
              <w:jc w:val="right"/>
              <w:ind w:right="975"/>
              <w:spacing w:after="0"/>
              <w:rPr>
                <w:sz w:val="20"/>
                <w:szCs w:val="20"/>
                <w:color w:val="auto"/>
              </w:rPr>
            </w:pPr>
            <w:r>
              <w:rPr>
                <w:rFonts w:ascii="Arial" w:cs="Arial" w:eastAsia="Arial" w:hAnsi="Arial"/>
                <w:sz w:val="17"/>
                <w:szCs w:val="17"/>
                <w:b w:val="1"/>
                <w:bCs w:val="1"/>
                <w:color w:val="auto"/>
              </w:rPr>
              <w:t>September 30, 2026</w:t>
            </w:r>
          </w:p>
        </w:tc>
      </w:tr>
      <w:tr>
        <w:trPr>
          <w:trHeight w:val="223"/>
        </w:trPr>
        <w:tc>
          <w:tcPr>
            <w:tcW w:w="75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8D8D8"/>
          </w:tcPr>
          <w:p>
            <w:pPr>
              <w:spacing w:after="0"/>
              <w:rPr>
                <w:sz w:val="19"/>
                <w:szCs w:val="19"/>
                <w:color w:val="auto"/>
              </w:rPr>
            </w:pPr>
          </w:p>
        </w:tc>
        <w:tc>
          <w:tcPr>
            <w:tcW w:w="1740" w:type="dxa"/>
            <w:vAlign w:val="bottom"/>
            <w:tcBorders>
              <w:bottom w:val="single" w:sz="8" w:color="auto"/>
            </w:tcBorders>
            <w:shd w:val="clear" w:color="auto" w:fill="D8D8D8"/>
          </w:tcPr>
          <w:p>
            <w:pPr>
              <w:jc w:val="right"/>
              <w:ind w:right="675"/>
              <w:spacing w:after="0"/>
              <w:rPr>
                <w:sz w:val="20"/>
                <w:szCs w:val="20"/>
                <w:color w:val="auto"/>
              </w:rPr>
            </w:pPr>
            <w:r>
              <w:rPr>
                <w:rFonts w:ascii="Arial" w:cs="Arial" w:eastAsia="Arial" w:hAnsi="Arial"/>
                <w:sz w:val="17"/>
                <w:szCs w:val="17"/>
                <w:b w:val="1"/>
                <w:bCs w:val="1"/>
                <w:color w:val="auto"/>
              </w:rPr>
              <w:t>Fair Value</w:t>
            </w:r>
          </w:p>
        </w:tc>
        <w:tc>
          <w:tcPr>
            <w:tcW w:w="1680" w:type="dxa"/>
            <w:vAlign w:val="bottom"/>
            <w:tcBorders>
              <w:bottom w:val="single" w:sz="8" w:color="auto"/>
            </w:tcBorders>
            <w:shd w:val="clear" w:color="auto" w:fill="D8D8D8"/>
          </w:tcPr>
          <w:p>
            <w:pPr>
              <w:jc w:val="right"/>
              <w:ind w:right="435"/>
              <w:spacing w:after="0"/>
              <w:rPr>
                <w:sz w:val="20"/>
                <w:szCs w:val="20"/>
                <w:color w:val="auto"/>
              </w:rPr>
            </w:pPr>
            <w:r>
              <w:rPr>
                <w:rFonts w:ascii="Arial" w:cs="Arial" w:eastAsia="Arial" w:hAnsi="Arial"/>
                <w:sz w:val="17"/>
                <w:szCs w:val="17"/>
                <w:b w:val="1"/>
                <w:bCs w:val="1"/>
                <w:color w:val="auto"/>
              </w:rPr>
              <w:t>% of Total</w:t>
            </w:r>
          </w:p>
        </w:tc>
      </w:tr>
      <w:tr>
        <w:trPr>
          <w:trHeight w:val="214"/>
        </w:trPr>
        <w:tc>
          <w:tcPr>
            <w:tcW w:w="75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275"/>
              <w:spacing w:after="0"/>
              <w:rPr>
                <w:sz w:val="20"/>
                <w:szCs w:val="20"/>
                <w:color w:val="auto"/>
              </w:rPr>
            </w:pPr>
            <w:r>
              <w:rPr>
                <w:rFonts w:ascii="Arial" w:cs="Arial" w:eastAsia="Arial" w:hAnsi="Arial"/>
                <w:sz w:val="17"/>
                <w:szCs w:val="17"/>
                <w:color w:val="auto"/>
              </w:rPr>
              <w:t>2,364,622</w:t>
            </w:r>
          </w:p>
        </w:tc>
        <w:tc>
          <w:tcPr>
            <w:tcW w:w="1680" w:type="dxa"/>
            <w:vAlign w:val="bottom"/>
          </w:tcPr>
          <w:p>
            <w:pPr>
              <w:jc w:val="right"/>
              <w:spacing w:after="0"/>
              <w:rPr>
                <w:sz w:val="20"/>
                <w:szCs w:val="20"/>
                <w:color w:val="auto"/>
              </w:rPr>
            </w:pPr>
            <w:r>
              <w:rPr>
                <w:rFonts w:ascii="Arial" w:cs="Arial" w:eastAsia="Arial" w:hAnsi="Arial"/>
                <w:sz w:val="17"/>
                <w:szCs w:val="17"/>
                <w:color w:val="auto"/>
              </w:rPr>
              <w:t>65 %</w:t>
            </w:r>
          </w:p>
        </w:tc>
      </w:tr>
      <w:tr>
        <w:trPr>
          <w:trHeight w:val="225"/>
        </w:trPr>
        <w:tc>
          <w:tcPr>
            <w:tcW w:w="7520" w:type="dxa"/>
            <w:vAlign w:val="bottom"/>
          </w:tcPr>
          <w:p>
            <w:pPr>
              <w:ind w:left="20"/>
              <w:spacing w:after="0"/>
              <w:rPr>
                <w:sz w:val="20"/>
                <w:szCs w:val="20"/>
                <w:color w:val="auto"/>
              </w:rPr>
            </w:pPr>
            <w:r>
              <w:rPr>
                <w:rFonts w:ascii="Arial" w:cs="Arial" w:eastAsia="Arial" w:hAnsi="Arial"/>
                <w:sz w:val="17"/>
                <w:szCs w:val="17"/>
                <w:color w:val="auto"/>
              </w:rPr>
              <w:t>Investments in equity securities</w:t>
            </w:r>
          </w:p>
        </w:tc>
        <w:tc>
          <w:tcPr>
            <w:tcW w:w="300" w:type="dxa"/>
            <w:vAlign w:val="bottom"/>
          </w:tcPr>
          <w:p>
            <w:pPr>
              <w:spacing w:after="0"/>
              <w:rPr>
                <w:sz w:val="19"/>
                <w:szCs w:val="19"/>
                <w:color w:val="auto"/>
              </w:rPr>
            </w:pPr>
          </w:p>
        </w:tc>
        <w:tc>
          <w:tcPr>
            <w:tcW w:w="1740" w:type="dxa"/>
            <w:vAlign w:val="bottom"/>
          </w:tcPr>
          <w:p>
            <w:pPr>
              <w:jc w:val="right"/>
              <w:ind w:right="275"/>
              <w:spacing w:after="0"/>
              <w:rPr>
                <w:sz w:val="20"/>
                <w:szCs w:val="20"/>
                <w:color w:val="auto"/>
              </w:rPr>
            </w:pPr>
            <w:r>
              <w:rPr>
                <w:rFonts w:ascii="Arial" w:cs="Arial" w:eastAsia="Arial" w:hAnsi="Arial"/>
                <w:sz w:val="17"/>
                <w:szCs w:val="17"/>
                <w:color w:val="auto"/>
              </w:rPr>
              <w:t>1,263,521</w:t>
            </w:r>
          </w:p>
        </w:tc>
        <w:tc>
          <w:tcPr>
            <w:tcW w:w="1680" w:type="dxa"/>
            <w:vAlign w:val="bottom"/>
          </w:tcPr>
          <w:p>
            <w:pPr>
              <w:jc w:val="right"/>
              <w:spacing w:after="0"/>
              <w:rPr>
                <w:sz w:val="20"/>
                <w:szCs w:val="20"/>
                <w:color w:val="auto"/>
              </w:rPr>
            </w:pPr>
            <w:r>
              <w:rPr>
                <w:rFonts w:ascii="Arial" w:cs="Arial" w:eastAsia="Arial" w:hAnsi="Arial"/>
                <w:sz w:val="17"/>
                <w:szCs w:val="17"/>
                <w:color w:val="auto"/>
              </w:rPr>
              <w:t>34 %</w:t>
            </w:r>
          </w:p>
        </w:tc>
      </w:tr>
      <w:tr>
        <w:trPr>
          <w:trHeight w:val="229"/>
        </w:trPr>
        <w:tc>
          <w:tcPr>
            <w:tcW w:w="75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300" w:type="dxa"/>
            <w:vAlign w:val="bottom"/>
          </w:tcPr>
          <w:p>
            <w:pPr>
              <w:spacing w:after="0"/>
              <w:rPr>
                <w:sz w:val="19"/>
                <w:szCs w:val="19"/>
                <w:color w:val="auto"/>
              </w:rPr>
            </w:pPr>
          </w:p>
        </w:tc>
        <w:tc>
          <w:tcPr>
            <w:tcW w:w="1740" w:type="dxa"/>
            <w:vAlign w:val="bottom"/>
          </w:tcPr>
          <w:p>
            <w:pPr>
              <w:jc w:val="right"/>
              <w:ind w:right="275"/>
              <w:spacing w:after="0"/>
              <w:rPr>
                <w:sz w:val="20"/>
                <w:szCs w:val="20"/>
                <w:color w:val="auto"/>
              </w:rPr>
            </w:pPr>
            <w:r>
              <w:rPr>
                <w:rFonts w:ascii="Arial" w:cs="Arial" w:eastAsia="Arial" w:hAnsi="Arial"/>
                <w:sz w:val="17"/>
                <w:szCs w:val="17"/>
                <w:color w:val="auto"/>
              </w:rPr>
              <w:t>27,761</w:t>
            </w:r>
          </w:p>
        </w:tc>
        <w:tc>
          <w:tcPr>
            <w:tcW w:w="1680" w:type="dxa"/>
            <w:vAlign w:val="bottom"/>
          </w:tcPr>
          <w:p>
            <w:pPr>
              <w:jc w:val="right"/>
              <w:spacing w:after="0"/>
              <w:rPr>
                <w:sz w:val="20"/>
                <w:szCs w:val="20"/>
                <w:color w:val="auto"/>
              </w:rPr>
            </w:pPr>
            <w:r>
              <w:rPr>
                <w:rFonts w:ascii="Arial" w:cs="Arial" w:eastAsia="Arial" w:hAnsi="Arial"/>
                <w:sz w:val="17"/>
                <w:szCs w:val="17"/>
                <w:color w:val="auto"/>
              </w:rPr>
              <w:t>1 %</w:t>
            </w:r>
          </w:p>
        </w:tc>
      </w:tr>
      <w:tr>
        <w:trPr>
          <w:trHeight w:val="23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Investments in fixed maturity securities, AFS</w:t>
            </w: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11,036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2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3,666,940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  Represents cash, cash equivalents, and restricted cash held at the Vantage level only.</w:t>
      </w:r>
    </w:p>
    <w:p>
      <w:pPr>
        <w:spacing w:after="0" w:line="2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00497F"/>
        </w:rPr>
        <w:t xml:space="preserve">Insurance Claims </w:t>
      </w:r>
      <w:r>
        <w:rPr>
          <w:rFonts w:ascii="Arial" w:cs="Arial" w:eastAsia="Arial" w:hAnsi="Arial"/>
          <w:sz w:val="17"/>
          <w:szCs w:val="17"/>
          <w:color w:val="000000"/>
        </w:rPr>
        <w:t>Following the Vantage Acquisition, the Company is obligated to pay claims arising from property and casualty contracts issued by</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our insurance subsidiaries. The timing and amount of the payments under insurance and reinsurance contracts are contingent upon the outcome of future events and actual payments will likely vary, perhaps materially, from any forecasted payments, as well as from the liabilities recorded in our Condensed Consolidated Balance Sheets. As of September 30, 2026, the reserve for claims and claim expenses was $2.26 billion, with $0.54 billion expected to be settled in less than one year and $1.72 billion expected to be settled in future years. The estimated timing of payments was determined using Vantage’s historical claims payment experience, supplemented by industry and peer group data. Given the inherent uncertainty in projecting the timing of claim settlements, actual cash outflows in any period may differ materially from the amounts presented. The reserve amounts disclosed above exclude the impact of anticipated amounts recoverable on unpaid losses from reinsurers of $595.8 million as of September 30, 2026. Refer to Note 9 - </w:t>
      </w:r>
      <w:r>
        <w:rPr>
          <w:rFonts w:ascii="Arial" w:cs="Arial" w:eastAsia="Arial" w:hAnsi="Arial"/>
          <w:sz w:val="17"/>
          <w:szCs w:val="17"/>
          <w:i w:val="1"/>
          <w:iCs w:val="1"/>
          <w:color w:val="000000"/>
        </w:rPr>
        <w:t>Reserves for Claims and Claim Expenses</w:t>
      </w:r>
      <w:r>
        <w:rPr>
          <w:rFonts w:ascii="Arial" w:cs="Arial" w:eastAsia="Arial" w:hAnsi="Arial"/>
          <w:sz w:val="17"/>
          <w:szCs w:val="17"/>
          <w:color w:val="000000"/>
        </w:rPr>
        <w:t xml:space="preserve"> in the Notes to Condensed Consolidated Financial Statements under Item 1 of this Quarterly Report for additional information. We anticipate that these payments will be funded by operating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60" w:hanging="446"/>
        <w:spacing w:after="0"/>
        <w:tabs>
          <w:tab w:leader="none" w:pos="49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ind w:left="60"/>
        <w:spacing w:after="0"/>
        <w:tabs>
          <w:tab w:leader="none" w:pos="976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828282"/>
        </w:rPr>
        <w:t>LIQUIDITY AND CAPITAL RESOURCES</w:t>
      </w:r>
    </w:p>
    <w:p>
      <w:pPr>
        <w:spacing w:after="0" w:line="3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Insurance-Related Statutory Capital and Dividend Restrictions </w:t>
      </w:r>
      <w:r>
        <w:rPr>
          <w:rFonts w:ascii="Arial" w:cs="Arial" w:eastAsia="Arial" w:hAnsi="Arial"/>
          <w:sz w:val="17"/>
          <w:szCs w:val="17"/>
          <w:color w:val="000000"/>
        </w:rPr>
        <w:t>The Company’s insurance subsidiaries are subject to insurance laws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regulations in the jurisdictions in which they operate and have regulatory capital and solvency requirements and restrictions on the ability of such subsidiaries to pay dividends to the parent company. The ability of the insurance and reinsurance subsidiaries to pay dividends to the parent company is also influenced by the maintenance of financial strength ratings assigned by independent rating agencies. Additionally, as a condition to the approval by the Delaware Department of Insurance (the Department) of the Vantage Acquisition, the Company has agreed that, until June 4, 2028, any dividends (whether ordinary or otherwise) by the Company’s Delaware insurance subsidiaries will require the Department’s prior approval. As of September 30, 2026, all insurance subsidiaries exceeded minimum regulatory capital requirements.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insurance subsidiaries are required to maintain assets on deposit with various regulatory authorities to support insurance operations, as well as pledge assets as collateral for letters of credit and reinsurance operations. As of September 30, 2026, these restricted assets included $259.5 million of restricted cash and $30.2 million of short-term and fixed maturity security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preparation of financial statements in accordance with GAAP requires management to make informed judgments, assumptions, and estimates that affect the reported amounts of assets, liabilities, revenues, and expenses. We base our estimates on historical experience and on various other assumptions that we believe to be reasonable under the circumstances. Changes in facts and circumstances or additional information may result in revised estimates, and actual results may differ from these estimates. Other than as set forth below, there are no material changes to the critical accounting policies and estimates previously disclosed in our 2025 Annual Report.</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Following the acquisition of Vantage, the Company recognized reserves for claims and claim expenses, goodwill, and other intangible assets. The preliminary purchase price allocation and the ongoing determination of the reserves for claims and claim expenses require complex or significant judgments and include estimates about matters which are inherently uncertain. These estimates are critical to the understanding of our financial condition and operating results, and as such, accounting for business combinations and reserves for claims and claim expenses represent new critical accounting estimates. A discussion of our significant accounting policies impacted by the Vantage Acquisition, including further discussion of the accounting policies described below, can be found in Note 1 - </w:t>
      </w:r>
      <w:r>
        <w:rPr>
          <w:rFonts w:ascii="Arial" w:cs="Arial" w:eastAsia="Arial" w:hAnsi="Arial"/>
          <w:sz w:val="17"/>
          <w:szCs w:val="17"/>
          <w:i w:val="1"/>
          <w:iCs w:val="1"/>
          <w:color w:val="auto"/>
        </w:rPr>
        <w:t>Presentation of Financial Statements and Significant Accounting Policies</w:t>
      </w:r>
      <w:r>
        <w:rPr>
          <w:rFonts w:ascii="Arial" w:cs="Arial" w:eastAsia="Arial" w:hAnsi="Arial"/>
          <w:sz w:val="17"/>
          <w:szCs w:val="17"/>
          <w:color w:val="auto"/>
        </w:rPr>
        <w:t xml:space="preserve"> in the Notes to Condensed Consolidated Financial Statements under Item 1 of this Quarterly Report.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Accounting for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Methodology </w:t>
      </w:r>
      <w:r>
        <w:rPr>
          <w:rFonts w:ascii="Arial" w:cs="Arial" w:eastAsia="Arial" w:hAnsi="Arial"/>
          <w:sz w:val="17"/>
          <w:szCs w:val="17"/>
          <w:color w:val="000000"/>
        </w:rPr>
        <w:t>The Vantage Acquisition was accounted for as a business combination under ASC 805, which requires the assets acquired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liabilities assumed to be recorded at their estimated acquisition-date fair values. The preliminary purchase price allocation includes the recognition of identifiable intangible assets and any excess of the purchase price over the estimated fair value of net tangible and identifiable intangible assets acquired as goodwill, if applicable. The Company will finalize the purchase price allocation during the measurement period as additional information becomes available, including final appraisals of certain acquired assets and assumed liabilities and final underlying tax bases. The Company engaged independent valuation specialists to assist management in determining the fair values of certain acquired assets and assumed liabilities. The most significant areas of judgment in the preliminary fair value assessment relate to broker relationships, trade name, internally developed technology, value of business acquired (VOBA), insurance licenses, and reserves for claims and claim expenses, net of reinsurance recoverable on unpaid losses. The resulting fair values and useful lives assigned to acquisition-related intangible assets will affect the amount and timing of future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60" w:hanging="446"/>
        <w:spacing w:after="0"/>
        <w:tabs>
          <w:tab w:leader="none" w:pos="49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ind w:left="60"/>
        <w:spacing w:after="0"/>
        <w:tabs>
          <w:tab w:leader="none" w:pos="976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828282"/>
        </w:rPr>
        <w:t>CRITICAL ACCOUNTING ESTIMATES</w:t>
      </w:r>
    </w:p>
    <w:p>
      <w:pPr>
        <w:spacing w:after="0" w:line="3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00497F"/>
        </w:rPr>
        <w:t xml:space="preserve">Judgments and Uncertainties </w:t>
      </w:r>
      <w:r>
        <w:rPr>
          <w:rFonts w:ascii="Arial" w:cs="Arial" w:eastAsia="Arial" w:hAnsi="Arial"/>
          <w:sz w:val="17"/>
          <w:szCs w:val="17"/>
          <w:color w:val="000000"/>
        </w:rPr>
        <w:t>Determining the fair value of the acquired assets and assumed liabilities required significant judgment and estimates</w:t>
      </w:r>
      <w:r>
        <w:rPr>
          <w:rFonts w:ascii="Arial" w:cs="Arial" w:eastAsia="Arial" w:hAnsi="Arial"/>
          <w:sz w:val="17"/>
          <w:szCs w:val="17"/>
          <w:b w:val="1"/>
          <w:bCs w:val="1"/>
          <w:color w:val="00497F"/>
        </w:rPr>
        <w:t xml:space="preserve"> </w:t>
      </w:r>
      <w:r>
        <w:rPr>
          <w:rFonts w:ascii="Arial" w:cs="Arial" w:eastAsia="Arial" w:hAnsi="Arial"/>
          <w:sz w:val="17"/>
          <w:szCs w:val="17"/>
          <w:color w:val="000000"/>
        </w:rPr>
        <w:t>and was based on information available as of the acquisition date. The valuation of broker relationships was based on the multi-period excess earnings method and incorporated significant assumptions including projected net written insurance premiums, retention rates, normalized growth assumptions, contributory asset charges, discount rates, long-term tax rates, and investment yields. The trade name was valued using the relief-from-royalty method, which required assumptions regarding royalty rates, projected net written insurance premiums, growth assumptions, and discount rates. Internally developed technology was valued using the replacement cost method and incorporated estimates of labor costs, development timing, developer’s profit, entrepreneurial incentive, and obsolescence. VOBA was valued using a discounted cash flow model applied to the run-off of unearned premium reserves, net of reinsurance, and incorporated assumptions for loss and expense ratios, payment patterns, capital requirements, risk margin, and discount rates. Reserves for claims and claim expenses, net of reinsurance recoverable on unpaid losses, were measured using a discounted cash flow model applied to the actuarial run-off of recorded reserves and incorporated assumptions related to the time value of money, risk margin, actuarial payment patterns, capital requirements, cost of capital, and reserve payout assumptions. Changes in these assumptions or the receipt of additional information during the measurement period could result in material revisions to the preliminary purchase price allocation, including the amounts assigned to identifiable intangible assets, insurance-related liabilities, and goodwill.</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Reserves for Claims and Claim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00497F"/>
        </w:rPr>
        <w:t xml:space="preserve">Nature of the Estimate </w:t>
      </w:r>
      <w:r>
        <w:rPr>
          <w:rFonts w:ascii="Arial" w:cs="Arial" w:eastAsia="Arial" w:hAnsi="Arial"/>
          <w:sz w:val="17"/>
          <w:szCs w:val="17"/>
          <w:color w:val="000000"/>
        </w:rPr>
        <w:t>As a result of our June 4, 2026 acquisition of Vantage, reserves for claims and claim expenses have become a critical</w:t>
      </w:r>
      <w:r>
        <w:rPr>
          <w:rFonts w:ascii="Arial" w:cs="Arial" w:eastAsia="Arial" w:hAnsi="Arial"/>
          <w:sz w:val="17"/>
          <w:szCs w:val="17"/>
          <w:b w:val="1"/>
          <w:bCs w:val="1"/>
          <w:color w:val="00497F"/>
        </w:rPr>
        <w:t xml:space="preserve"> </w:t>
      </w:r>
      <w:r>
        <w:rPr>
          <w:rFonts w:ascii="Arial" w:cs="Arial" w:eastAsia="Arial" w:hAnsi="Arial"/>
          <w:sz w:val="17"/>
          <w:szCs w:val="17"/>
          <w:color w:val="000000"/>
        </w:rPr>
        <w:t>accounting estimate in our Condensed Consolidated Financial Statements. These reserves represent management’s estimate of the unpaid portion of the ultimate liability for claims and claim adjustment expenses for insured and reinsured events that have occurred on or before the balance sheet date. They comprise (i) case reserves for claims that have been reported to us and (ii) reserves for losses incurred but not reported (IBNR), which also reflect expected development on reported claims. The reserves were initially recorded at fair value as of the acquisition date in accordance with the acquisition method of accounting and are subsequently estimated using the actuarial methods and assumptions described below. We consider this the most significant accounting judgment associated with the acquired insurance and reinsurance operations because the ultimate cost of claims is not known at the reporting date, the estimate requires significant judgment, and a change in the estimate could have a material effect on our financial condition and results of operations.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Methodology </w:t>
      </w:r>
      <w:r>
        <w:rPr>
          <w:rFonts w:ascii="Arial" w:cs="Arial" w:eastAsia="Arial" w:hAnsi="Arial"/>
          <w:sz w:val="17"/>
          <w:szCs w:val="17"/>
          <w:color w:val="000000"/>
        </w:rPr>
        <w:t>In establishing these reserves, management considers claim-specific information, historical loss experience, actuarial analyses,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other relevant information, including expected loss ratios, reported and paid loss development patterns, claim frequency and severity trends, underwriting and pricing information, business mix, policy terms and conditions, cedent and broker information, industry data, and current economic, legal, regulatory, inflationary, and catastrophe-related conditions. The relative importance of these factors varies by line of business and by the maturity of the underlying loss experience. Where company-specific history is limited, management supplements internal data with industry data, which was a primary source of loss development patterns for many lines given the relatively short loss history of the acquired operations.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employs multiple actuarial methods to estimate ultimate losses, including the paid and reported (incurred) loss development (chain ladder) methods, the paid and reported Bornhuetter-Ferguson methods, frequency and severity methods, and the expected loss ratio method. The relative weight assigned to each method is a matter of actuarial judgment that depends on the characteristics of each line of business, the maturity of the cohort year being estimated, and the availability of credible historical data. In addition to quantitative actuarial indications, reserve estimates incorporate qualitative adjustments for factors that may not be fully captured by historical experience, such as judicial and litigation trends, legislative and regulatory activity, underwriting and business-mix changes, and, for reinsurance business, changes in cedents’ reserving and reporting practices.</w:t>
      </w: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Judgments and Uncertainties </w:t>
      </w:r>
      <w:r>
        <w:rPr>
          <w:rFonts w:ascii="Arial" w:cs="Arial" w:eastAsia="Arial" w:hAnsi="Arial"/>
          <w:sz w:val="17"/>
          <w:szCs w:val="17"/>
          <w:color w:val="000000"/>
        </w:rPr>
        <w:t>Estimating claims and claim expense reserves requires significant judgment because the ultimate cost of claims is</w:t>
      </w:r>
      <w:r>
        <w:rPr>
          <w:rFonts w:ascii="Arial" w:cs="Arial" w:eastAsia="Arial" w:hAnsi="Arial"/>
          <w:sz w:val="17"/>
          <w:szCs w:val="17"/>
          <w:b w:val="1"/>
          <w:bCs w:val="1"/>
          <w:color w:val="00497F"/>
        </w:rPr>
        <w:t xml:space="preserve"> </w:t>
      </w:r>
      <w:r>
        <w:rPr>
          <w:rFonts w:ascii="Arial" w:cs="Arial" w:eastAsia="Arial" w:hAnsi="Arial"/>
          <w:sz w:val="17"/>
          <w:szCs w:val="17"/>
          <w:color w:val="000000"/>
        </w:rPr>
        <w:t>not known at the reporting date and may vary materially from recorded amounts. The most significant judgments include the selection of expected loss ratios, loss development patterns, claim severity assumptions, and reporting patterns, particularly for lines of business with longer reporting or settlement patterns, reinsurance exposures, or limited company-specific historical experience. This uncertainty is affected by numerous factors, including claim emergence and reporting patterns, the length of time required to resolve claims, severity trends, catastrophe activity, inflation and social inflation, litigation trends, legislative and regulatory developments, and changes in business mix. Because these estimates are inherently uncertain, actual losses may differ materially from recorded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hanging="446"/>
        <w:spacing w:after="0"/>
        <w:tabs>
          <w:tab w:leader="none" w:pos="49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ind w:left="60"/>
        <w:spacing w:after="0"/>
        <w:tabs>
          <w:tab w:leader="none" w:pos="976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828282"/>
        </w:rPr>
        <w:t>Table of Contents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828282"/>
        </w:rPr>
        <w:t>CRITICAL ACCOUNTING ESTIMATES</w:t>
      </w:r>
    </w:p>
    <w:p>
      <w:pPr>
        <w:spacing w:after="0" w:line="3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the acquisition closed on June 4, 2026, our results for the three months ended September 30, 2026, include a full quarter of activity for Vantage, while our results for the nine months ended September 30, 2026, only include approximately four months of post-acquisition activity for Vantage. Accordingly, while the reserve balance at September 30, 2026, reflects management’s best estimate based on information available at that date, early post-acquisition claims activity may be less predictive of future development, and reserve estimates may be adjusted in future periods as additional post-acquisition experience becomes available.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September 30, 2026, our reserves for claims and claim expenses related to Vantage were approximately $2.3 billion on a gross basis and $1.7 billion net of reinsurance recoverable on unpaid losses. The gross reserves represented approximately 20% of our total consolidated liabilities and 57% of our total consolidated stockholders’ equity at that date. For the period from June 4, 2026 through September 30, 2026, changes in estimates of prior-period claims and claim expense reserves were not material.</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Given the interrelationship of assumptions across lines of business, the limited period of post-acquisition activity, and the judgment involved in estimating reserves, management has not identified a single-assumption sensitivity that would be representative of the potential variability in the loss reserve estimate as of September 30, 2026. If a quantitative sensitivity to a reasonably likely change in a significant assumption becomes material and reasonably available, we will disclose the estimated effect of that change. While we believe that recorded loss reserves at September 30, 2026, are adequate, new information, events, or circumstances may result in ultimate losses that are materially greater or less than our recorded reserves, particularly with respect to catastrophe or large-event losses and longer-tail lines of business.</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 xml:space="preserve">For additional information, refer to Note 9 - </w:t>
      </w:r>
      <w:r>
        <w:rPr>
          <w:rFonts w:ascii="Arial" w:cs="Arial" w:eastAsia="Arial" w:hAnsi="Arial"/>
          <w:sz w:val="17"/>
          <w:szCs w:val="17"/>
          <w:i w:val="1"/>
          <w:iCs w:val="1"/>
          <w:color w:val="auto"/>
        </w:rPr>
        <w:t>Reserves for Claims and Claim Expenses</w:t>
      </w:r>
      <w:r>
        <w:rPr>
          <w:rFonts w:ascii="Arial" w:cs="Arial" w:eastAsia="Arial" w:hAnsi="Arial"/>
          <w:sz w:val="17"/>
          <w:szCs w:val="17"/>
          <w:color w:val="auto"/>
        </w:rPr>
        <w:t xml:space="preserve"> in the Notes to Condensed Consolidated Financial Statements under Item 1 of this Quarterly Report.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60" w:hanging="446"/>
        <w:spacing w:after="0"/>
        <w:tabs>
          <w:tab w:leader="none" w:pos="49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ind w:left="60"/>
        <w:spacing w:after="0"/>
        <w:tabs>
          <w:tab w:leader="none" w:pos="9760" w:val="left"/>
        </w:tabs>
        <w:rPr>
          <w:sz w:val="20"/>
          <w:szCs w:val="20"/>
          <w:color w:val="auto"/>
        </w:rPr>
      </w:pPr>
      <w:r>
        <w:rPr>
          <w:rFonts w:ascii="Arial" w:cs="Arial" w:eastAsia="Arial" w:hAnsi="Arial"/>
          <w:sz w:val="18"/>
          <w:szCs w:val="18"/>
          <w:b w:val="1"/>
          <w:bCs w:val="1"/>
          <w:color w:val="auto"/>
        </w:rPr>
        <w:t>MARKET RISK AND CONTROLS AND PROCEDURES</w:t>
      </w:r>
      <w:r>
        <w:rPr>
          <w:sz w:val="20"/>
          <w:szCs w:val="20"/>
          <w:color w:val="auto"/>
        </w:rPr>
        <w:tab/>
      </w:r>
      <w:r>
        <w:rPr>
          <w:rFonts w:ascii="Arial" w:cs="Arial" w:eastAsia="Arial" w:hAnsi="Arial"/>
          <w:sz w:val="17"/>
          <w:szCs w:val="17"/>
          <w:color w:val="82828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Interest Rate Risk</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interest rate risk with respect to our variable-rate financings in that increases in interest rates would cause our payments under such financings to increase. With respect to fixed-rate financings, increases in interest rates could make it more difficult to refinance such debt when it becomes due. As properties are placed into service and become stabilized, we typically refinance the variable-rate debt with long-term fixed-rate debt.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uses derivative instruments to manage its interest rate risk, primarily through the use of interest rate swaps and caps. The Company had $1.7 billion of variable-rate debt outstanding at September 30, 2026, of which $656.1 million was swapped to a fixed rate through the use of interest rate swaps and $611.6 million had interest rate cap contracts in place. Additionally, the interest rate caps are on construction loans and mortgages with undrawn loan commitments of $87.6 million as of September 30, 2026, which will be covered by the interest rate cap contracts upon drawing. Refer to Note 7 -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xml:space="preserve"> in the Notes to Condensed Consolidated Financial Statements under Item 1 of this Quarterly Report for additional information.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2026, annual interest costs would increase approximately $3.9 million for every 1% increase in floating interest rates. The Company is focused on prudently limiting exposure to potentially higher interest rates based upon market dynamics and general expected financing activity. Generally, a significant portion of our interest expense is capitalized due to the level of assets we currently have under development; therefore, the impact of a change in our interest rate on our Condensed Consolidated Statements of Operations would be less than the total change in interest costs, but we would incur higher cash payments and the development costs of our assets would be higher, resulting in greater depreciation or cost of sales in later years.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Equity Price Risk</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Investments in equity securities represent the most significant portion of our consolidated investment portfolio. The Company seeks to invest in businesses that possess excellent economics and management, and prefers to invest a meaningful amount in each company. Currently, our investments are concentrated in relatively few issuers. At September 30, 2026, approximately 53% of the aggregate fair value of our investments in equity securities was concentrated in five companies.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expects to hold its investments for long periods and short-term price volatility is expected to occur in the future. We also maintain significant levels of shareholder capital and ample liquidity to provide a margin of safety against short-term price volatility. The following table summarizes our investments in equity securities and the estimated effects of a hypothetical 10% increase or decrease in market prices as of September 30, 2026.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Borders>
              <w:top w:val="single" w:sz="8" w:color="auto"/>
            </w:tcBorders>
            <w:shd w:val="clear" w:color="auto" w:fill="D8D8D8"/>
          </w:tcPr>
          <w:p>
            <w:pPr>
              <w:spacing w:after="0"/>
              <w:rPr>
                <w:sz w:val="15"/>
                <w:szCs w:val="15"/>
                <w:color w:val="auto"/>
              </w:rPr>
            </w:pPr>
          </w:p>
        </w:tc>
        <w:tc>
          <w:tcPr>
            <w:tcW w:w="1160" w:type="dxa"/>
            <w:vAlign w:val="bottom"/>
            <w:tcBorders>
              <w:top w:val="single" w:sz="8" w:color="auto"/>
            </w:tcBorders>
            <w:shd w:val="clear" w:color="auto" w:fill="D8D8D8"/>
          </w:tcPr>
          <w:p>
            <w:pPr>
              <w:spacing w:after="0"/>
              <w:rPr>
                <w:sz w:val="15"/>
                <w:szCs w:val="15"/>
                <w:color w:val="auto"/>
              </w:rPr>
            </w:pPr>
          </w:p>
        </w:tc>
        <w:tc>
          <w:tcPr>
            <w:tcW w:w="1420" w:type="dxa"/>
            <w:vAlign w:val="bottom"/>
            <w:tcBorders>
              <w:top w:val="single" w:sz="8" w:color="auto"/>
            </w:tcBorders>
            <w:shd w:val="clear" w:color="auto" w:fill="D8D8D8"/>
          </w:tcPr>
          <w:p>
            <w:pPr>
              <w:spacing w:after="0"/>
              <w:rPr>
                <w:sz w:val="15"/>
                <w:szCs w:val="15"/>
                <w:color w:val="auto"/>
              </w:rPr>
            </w:pPr>
          </w:p>
        </w:tc>
        <w:tc>
          <w:tcPr>
            <w:tcW w:w="1780" w:type="dxa"/>
            <w:vAlign w:val="bottom"/>
            <w:tcBorders>
              <w:top w:val="single" w:sz="8" w:color="auto"/>
            </w:tcBorders>
            <w:shd w:val="clear" w:color="auto" w:fill="D8D8D8"/>
          </w:tcPr>
          <w:p>
            <w:pPr>
              <w:spacing w:after="0"/>
              <w:rPr>
                <w:sz w:val="15"/>
                <w:szCs w:val="15"/>
                <w:color w:val="auto"/>
              </w:rPr>
            </w:pPr>
          </w:p>
        </w:tc>
        <w:tc>
          <w:tcPr>
            <w:tcW w:w="1720" w:type="dxa"/>
            <w:vAlign w:val="bottom"/>
            <w:tcBorders>
              <w:top w:val="single" w:sz="8" w:color="auto"/>
            </w:tcBorders>
            <w:shd w:val="clear" w:color="auto" w:fill="D8D8D8"/>
          </w:tcPr>
          <w:p>
            <w:pPr>
              <w:jc w:val="right"/>
              <w:ind w:right="97"/>
              <w:spacing w:after="0" w:line="175" w:lineRule="exact"/>
              <w:rPr>
                <w:sz w:val="20"/>
                <w:szCs w:val="20"/>
                <w:color w:val="auto"/>
              </w:rPr>
            </w:pPr>
            <w:r>
              <w:rPr>
                <w:rFonts w:ascii="Arial" w:cs="Arial" w:eastAsia="Arial" w:hAnsi="Arial"/>
                <w:sz w:val="16"/>
                <w:szCs w:val="16"/>
                <w:b w:val="1"/>
                <w:bCs w:val="1"/>
                <w:color w:val="auto"/>
              </w:rPr>
              <w:t>Est. Fair Value after</w:t>
            </w:r>
          </w:p>
        </w:tc>
        <w:tc>
          <w:tcPr>
            <w:tcW w:w="260" w:type="dxa"/>
            <w:vAlign w:val="bottom"/>
            <w:tcBorders>
              <w:top w:val="single" w:sz="8" w:color="auto"/>
            </w:tcBorders>
            <w:shd w:val="clear" w:color="auto" w:fill="D8D8D8"/>
          </w:tcPr>
          <w:p>
            <w:pPr>
              <w:spacing w:after="0"/>
              <w:rPr>
                <w:sz w:val="15"/>
                <w:szCs w:val="15"/>
                <w:color w:val="auto"/>
              </w:rPr>
            </w:pPr>
          </w:p>
        </w:tc>
        <w:tc>
          <w:tcPr>
            <w:tcW w:w="1600" w:type="dxa"/>
            <w:vAlign w:val="bottom"/>
            <w:tcBorders>
              <w:top w:val="single" w:sz="8" w:color="auto"/>
            </w:tcBorders>
            <w:shd w:val="clear" w:color="auto" w:fill="D8D8D8"/>
          </w:tcPr>
          <w:p>
            <w:pPr>
              <w:jc w:val="center"/>
              <w:ind w:right="197"/>
              <w:spacing w:after="0" w:line="175" w:lineRule="exact"/>
              <w:rPr>
                <w:sz w:val="20"/>
                <w:szCs w:val="20"/>
                <w:color w:val="auto"/>
              </w:rPr>
            </w:pPr>
            <w:r>
              <w:rPr>
                <w:rFonts w:ascii="Arial" w:cs="Arial" w:eastAsia="Arial" w:hAnsi="Arial"/>
                <w:sz w:val="16"/>
                <w:szCs w:val="16"/>
                <w:b w:val="1"/>
                <w:bCs w:val="1"/>
                <w:color w:val="auto"/>
              </w:rPr>
              <w:t>Est. Increase</w:t>
            </w:r>
          </w:p>
        </w:tc>
        <w:tc>
          <w:tcPr>
            <w:tcW w:w="0" w:type="dxa"/>
            <w:vAlign w:val="bottom"/>
          </w:tcPr>
          <w:p>
            <w:pPr>
              <w:spacing w:after="0"/>
              <w:rPr>
                <w:sz w:val="1"/>
                <w:szCs w:val="1"/>
                <w:color w:val="auto"/>
              </w:rPr>
            </w:pPr>
          </w:p>
        </w:tc>
      </w:tr>
      <w:tr>
        <w:trPr>
          <w:trHeight w:val="162"/>
        </w:trPr>
        <w:tc>
          <w:tcPr>
            <w:tcW w:w="3300" w:type="dxa"/>
            <w:vAlign w:val="bottom"/>
            <w:shd w:val="clear" w:color="auto" w:fill="D8D8D8"/>
          </w:tcPr>
          <w:p>
            <w:pPr>
              <w:spacing w:after="0"/>
              <w:rPr>
                <w:sz w:val="14"/>
                <w:szCs w:val="14"/>
                <w:color w:val="auto"/>
              </w:rPr>
            </w:pPr>
          </w:p>
        </w:tc>
        <w:tc>
          <w:tcPr>
            <w:tcW w:w="1160" w:type="dxa"/>
            <w:vAlign w:val="bottom"/>
            <w:shd w:val="clear" w:color="auto" w:fill="D8D8D8"/>
          </w:tcPr>
          <w:p>
            <w:pPr>
              <w:spacing w:after="0"/>
              <w:rPr>
                <w:sz w:val="14"/>
                <w:szCs w:val="14"/>
                <w:color w:val="auto"/>
              </w:rPr>
            </w:pPr>
          </w:p>
        </w:tc>
        <w:tc>
          <w:tcPr>
            <w:tcW w:w="1420" w:type="dxa"/>
            <w:vAlign w:val="bottom"/>
            <w:vMerge w:val="restart"/>
            <w:shd w:val="clear" w:color="auto" w:fill="D8D8D8"/>
          </w:tcPr>
          <w:p>
            <w:pPr>
              <w:jc w:val="right"/>
              <w:ind w:right="397"/>
              <w:spacing w:after="0"/>
              <w:rPr>
                <w:sz w:val="20"/>
                <w:szCs w:val="20"/>
                <w:color w:val="auto"/>
              </w:rPr>
            </w:pPr>
            <w:r>
              <w:rPr>
                <w:rFonts w:ascii="Arial" w:cs="Arial" w:eastAsia="Arial" w:hAnsi="Arial"/>
                <w:sz w:val="16"/>
                <w:szCs w:val="16"/>
                <w:b w:val="1"/>
                <w:bCs w:val="1"/>
                <w:color w:val="auto"/>
              </w:rPr>
              <w:t>Fair Value</w:t>
            </w:r>
          </w:p>
        </w:tc>
        <w:tc>
          <w:tcPr>
            <w:tcW w:w="3500" w:type="dxa"/>
            <w:vAlign w:val="bottom"/>
            <w:gridSpan w:val="2"/>
            <w:shd w:val="clear" w:color="auto" w:fill="D8D8D8"/>
          </w:tcPr>
          <w:p>
            <w:pPr>
              <w:jc w:val="right"/>
              <w:spacing w:after="0" w:line="162" w:lineRule="exact"/>
              <w:rPr>
                <w:sz w:val="20"/>
                <w:szCs w:val="20"/>
                <w:color w:val="auto"/>
              </w:rPr>
            </w:pPr>
            <w:r>
              <w:rPr>
                <w:rFonts w:ascii="Arial" w:cs="Arial" w:eastAsia="Arial" w:hAnsi="Arial"/>
                <w:sz w:val="16"/>
                <w:szCs w:val="16"/>
                <w:b w:val="1"/>
                <w:bCs w:val="1"/>
                <w:color w:val="auto"/>
              </w:rPr>
              <w:t>Hypothetical Price  Hypothetical Change in</w:t>
            </w:r>
          </w:p>
        </w:tc>
        <w:tc>
          <w:tcPr>
            <w:tcW w:w="1860" w:type="dxa"/>
            <w:vAlign w:val="bottom"/>
            <w:gridSpan w:val="2"/>
            <w:shd w:val="clear" w:color="auto" w:fill="D8D8D8"/>
          </w:tcPr>
          <w:p>
            <w:pPr>
              <w:jc w:val="center"/>
              <w:spacing w:after="0" w:line="162" w:lineRule="exact"/>
              <w:rPr>
                <w:sz w:val="20"/>
                <w:szCs w:val="20"/>
                <w:color w:val="auto"/>
              </w:rPr>
            </w:pPr>
            <w:r>
              <w:rPr>
                <w:rFonts w:ascii="Arial" w:cs="Arial" w:eastAsia="Arial" w:hAnsi="Arial"/>
                <w:sz w:val="16"/>
                <w:szCs w:val="16"/>
                <w:b w:val="1"/>
                <w:bCs w:val="1"/>
                <w:color w:val="auto"/>
              </w:rPr>
              <w:t>(Decrease) in Pre-Tax</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D8D8D8"/>
          </w:tcPr>
          <w:p>
            <w:pPr>
              <w:spacing w:after="0"/>
              <w:rPr>
                <w:sz w:val="18"/>
                <w:szCs w:val="18"/>
                <w:color w:val="auto"/>
              </w:rPr>
            </w:pPr>
          </w:p>
        </w:tc>
        <w:tc>
          <w:tcPr>
            <w:tcW w:w="1160" w:type="dxa"/>
            <w:vAlign w:val="bottom"/>
            <w:tcBorders>
              <w:bottom w:val="single" w:sz="8" w:color="auto"/>
            </w:tcBorders>
            <w:shd w:val="clear" w:color="auto" w:fill="D8D8D8"/>
          </w:tcPr>
          <w:p>
            <w:pPr>
              <w:spacing w:after="0"/>
              <w:rPr>
                <w:sz w:val="18"/>
                <w:szCs w:val="18"/>
                <w:color w:val="auto"/>
              </w:rPr>
            </w:pPr>
          </w:p>
        </w:tc>
        <w:tc>
          <w:tcPr>
            <w:tcW w:w="1420" w:type="dxa"/>
            <w:vAlign w:val="bottom"/>
            <w:tcBorders>
              <w:bottom w:val="single" w:sz="8" w:color="auto"/>
            </w:tcBorders>
            <w:vMerge w:val="continue"/>
            <w:shd w:val="clear" w:color="auto" w:fill="D8D8D8"/>
          </w:tcPr>
          <w:p>
            <w:pPr>
              <w:spacing w:after="0"/>
              <w:rPr>
                <w:sz w:val="18"/>
                <w:szCs w:val="18"/>
                <w:color w:val="auto"/>
              </w:rPr>
            </w:pPr>
          </w:p>
        </w:tc>
        <w:tc>
          <w:tcPr>
            <w:tcW w:w="1780" w:type="dxa"/>
            <w:vAlign w:val="bottom"/>
            <w:tcBorders>
              <w:bottom w:val="single" w:sz="8" w:color="auto"/>
            </w:tcBorders>
            <w:shd w:val="clear" w:color="auto" w:fill="D8D8D8"/>
          </w:tcPr>
          <w:p>
            <w:pPr>
              <w:ind w:left="500"/>
              <w:spacing w:after="0"/>
              <w:rPr>
                <w:sz w:val="20"/>
                <w:szCs w:val="20"/>
                <w:color w:val="auto"/>
              </w:rPr>
            </w:pPr>
            <w:r>
              <w:rPr>
                <w:rFonts w:ascii="Arial" w:cs="Arial" w:eastAsia="Arial" w:hAnsi="Arial"/>
                <w:sz w:val="16"/>
                <w:szCs w:val="16"/>
                <w:b w:val="1"/>
                <w:bCs w:val="1"/>
                <w:color w:val="auto"/>
              </w:rPr>
              <w:t>Change</w:t>
            </w:r>
          </w:p>
        </w:tc>
        <w:tc>
          <w:tcPr>
            <w:tcW w:w="1720" w:type="dxa"/>
            <w:vAlign w:val="bottom"/>
            <w:tcBorders>
              <w:bottom w:val="single" w:sz="8" w:color="auto"/>
            </w:tcBorders>
            <w:shd w:val="clear" w:color="auto" w:fill="D8D8D8"/>
          </w:tcPr>
          <w:p>
            <w:pPr>
              <w:jc w:val="right"/>
              <w:ind w:right="657"/>
              <w:spacing w:after="0"/>
              <w:rPr>
                <w:sz w:val="20"/>
                <w:szCs w:val="20"/>
                <w:color w:val="auto"/>
              </w:rPr>
            </w:pPr>
            <w:r>
              <w:rPr>
                <w:rFonts w:ascii="Arial" w:cs="Arial" w:eastAsia="Arial" w:hAnsi="Arial"/>
                <w:sz w:val="16"/>
                <w:szCs w:val="16"/>
                <w:b w:val="1"/>
                <w:bCs w:val="1"/>
                <w:color w:val="auto"/>
              </w:rPr>
              <w:t>Price</w:t>
            </w:r>
          </w:p>
        </w:tc>
        <w:tc>
          <w:tcPr>
            <w:tcW w:w="260" w:type="dxa"/>
            <w:vAlign w:val="bottom"/>
            <w:tcBorders>
              <w:bottom w:val="single" w:sz="8" w:color="auto"/>
            </w:tcBorders>
            <w:shd w:val="clear" w:color="auto" w:fill="D8D8D8"/>
          </w:tcPr>
          <w:p>
            <w:pPr>
              <w:spacing w:after="0"/>
              <w:rPr>
                <w:sz w:val="18"/>
                <w:szCs w:val="18"/>
                <w:color w:val="auto"/>
              </w:rPr>
            </w:pPr>
          </w:p>
        </w:tc>
        <w:tc>
          <w:tcPr>
            <w:tcW w:w="1600" w:type="dxa"/>
            <w:vAlign w:val="bottom"/>
            <w:tcBorders>
              <w:bottom w:val="single" w:sz="8" w:color="auto"/>
            </w:tcBorders>
            <w:shd w:val="clear" w:color="auto" w:fill="D8D8D8"/>
          </w:tcPr>
          <w:p>
            <w:pPr>
              <w:jc w:val="center"/>
              <w:ind w:right="177"/>
              <w:spacing w:after="0"/>
              <w:rPr>
                <w:sz w:val="20"/>
                <w:szCs w:val="20"/>
                <w:color w:val="auto"/>
              </w:rPr>
            </w:pPr>
            <w:r>
              <w:rPr>
                <w:rFonts w:ascii="Arial" w:cs="Arial" w:eastAsia="Arial" w:hAnsi="Arial"/>
                <w:sz w:val="16"/>
                <w:szCs w:val="16"/>
                <w:b w:val="1"/>
                <w:bCs w:val="1"/>
                <w:color w:val="auto"/>
                <w:w w:val="99"/>
              </w:rPr>
              <w:t>Net Income</w:t>
            </w:r>
          </w:p>
        </w:tc>
        <w:tc>
          <w:tcPr>
            <w:tcW w:w="0" w:type="dxa"/>
            <w:vAlign w:val="bottom"/>
          </w:tcPr>
          <w:p>
            <w:pPr>
              <w:spacing w:after="0"/>
              <w:rPr>
                <w:sz w:val="1"/>
                <w:szCs w:val="1"/>
                <w:color w:val="auto"/>
              </w:rPr>
            </w:pPr>
          </w:p>
        </w:tc>
      </w:tr>
      <w:tr>
        <w:trPr>
          <w:trHeight w:val="214"/>
        </w:trPr>
        <w:tc>
          <w:tcPr>
            <w:tcW w:w="3300" w:type="dxa"/>
            <w:vAlign w:val="bottom"/>
          </w:tcPr>
          <w:p>
            <w:pPr>
              <w:ind w:left="20"/>
              <w:spacing w:after="0"/>
              <w:rPr>
                <w:sz w:val="20"/>
                <w:szCs w:val="20"/>
                <w:color w:val="auto"/>
              </w:rPr>
            </w:pPr>
            <w:r>
              <w:rPr>
                <w:rFonts w:ascii="Arial" w:cs="Arial" w:eastAsia="Arial" w:hAnsi="Arial"/>
                <w:sz w:val="17"/>
                <w:szCs w:val="17"/>
                <w:color w:val="auto"/>
              </w:rPr>
              <w:t>Investments in equity securities</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1,263,521</w:t>
            </w:r>
          </w:p>
        </w:tc>
        <w:tc>
          <w:tcPr>
            <w:tcW w:w="1780" w:type="dxa"/>
            <w:vAlign w:val="bottom"/>
          </w:tcPr>
          <w:p>
            <w:pPr>
              <w:ind w:left="580"/>
              <w:spacing w:after="0"/>
              <w:rPr>
                <w:sz w:val="20"/>
                <w:szCs w:val="20"/>
                <w:color w:val="auto"/>
              </w:rPr>
            </w:pPr>
            <w:r>
              <w:rPr>
                <w:rFonts w:ascii="Arial" w:cs="Arial" w:eastAsia="Arial" w:hAnsi="Arial"/>
                <w:sz w:val="17"/>
                <w:szCs w:val="17"/>
                <w:color w:val="auto"/>
              </w:rPr>
              <w:t>10% increase $</w:t>
            </w:r>
          </w:p>
        </w:tc>
        <w:tc>
          <w:tcPr>
            <w:tcW w:w="1720" w:type="dxa"/>
            <w:vAlign w:val="bottom"/>
          </w:tcPr>
          <w:p>
            <w:pPr>
              <w:jc w:val="right"/>
              <w:spacing w:after="0"/>
              <w:rPr>
                <w:sz w:val="20"/>
                <w:szCs w:val="20"/>
                <w:color w:val="auto"/>
              </w:rPr>
            </w:pPr>
            <w:r>
              <w:rPr>
                <w:rFonts w:ascii="Arial" w:cs="Arial" w:eastAsia="Arial" w:hAnsi="Arial"/>
                <w:sz w:val="17"/>
                <w:szCs w:val="17"/>
                <w:color w:val="auto"/>
              </w:rPr>
              <w:t>1,389,873</w:t>
            </w: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126,352</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10% decrease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1,137,169</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(126,352)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Credit Risk</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Following the Vantage Acquisition, the Company is exposed to credit risk with respect to its third-party reinsurers. Although reinsurers are contractually obligated to reimburse the Company for covered claims, the Company remains primarily liable to its policyholders for all amounts ceded under its reinsurance agreements. Accordingly, reinsurance does not discharge the Company’s ultimate obligation to pay claims and amounts recoverable from reinsurers may not be fully collectible. The Company manages this exposure by placing reinsurance with counterparties that meet minimum financial strength requirements, including an A.M. Best rating of “A-” (Excellent) or higher at the time of placement, and by performing ongoing credit monitoring. In the event of a reinsurer downgrade or deterioration in credit quality, the Company may seek to mitigate exposure through actions such as commutation, novation, or the securing of collateral, including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60" w:hanging="446"/>
        <w:spacing w:after="0"/>
        <w:tabs>
          <w:tab w:leader="none" w:pos="49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ind w:left="60"/>
        <w:spacing w:after="0"/>
        <w:tabs>
          <w:tab w:leader="none" w:pos="9760" w:val="left"/>
        </w:tabs>
        <w:rPr>
          <w:sz w:val="20"/>
          <w:szCs w:val="20"/>
          <w:color w:val="auto"/>
        </w:rPr>
      </w:pPr>
      <w:r>
        <w:rPr>
          <w:rFonts w:ascii="Arial" w:cs="Arial" w:eastAsia="Arial" w:hAnsi="Arial"/>
          <w:sz w:val="18"/>
          <w:szCs w:val="18"/>
          <w:b w:val="1"/>
          <w:bCs w:val="1"/>
          <w:color w:val="auto"/>
        </w:rPr>
        <w:t>MARKET RISK AND CONTROLS AND PROCEDURES</w:t>
      </w:r>
      <w:r>
        <w:rPr>
          <w:sz w:val="20"/>
          <w:szCs w:val="20"/>
          <w:color w:val="auto"/>
        </w:rPr>
        <w:tab/>
      </w:r>
      <w:r>
        <w:rPr>
          <w:rFonts w:ascii="Arial" w:cs="Arial" w:eastAsia="Arial" w:hAnsi="Arial"/>
          <w:sz w:val="17"/>
          <w:szCs w:val="17"/>
          <w:color w:val="82828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principal financial officer, and principal accounting officer, of the effectiveness of the design and operation of our disclosure controls and procedures as of September 30, 2026, the end of the period covered by this report. Based on the foregoing, our principal executive officer, principal financial officer, and principal accounting officer concluded that our disclosure controls and procedures were effective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4, 2026, the Company completed the Vantage Acquisition. In connection with the acquisition, the Company is in the process of integrating the acquired business into the Company’s internal control over financial reporting framework. Management is evaluating the existing controls and procedures of the acquired business and implementing additional controls, policies, procedures and system changes, where appropriate. Other than the integration activities associated with the acquisition, 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60" w:hanging="446"/>
        <w:spacing w:after="0"/>
        <w:tabs>
          <w:tab w:leader="none" w:pos="49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ind w:left="9780"/>
        <w:spacing w:after="0"/>
        <w:rPr>
          <w:sz w:val="20"/>
          <w:szCs w:val="20"/>
          <w:color w:val="auto"/>
        </w:rPr>
      </w:pPr>
      <w:r>
        <w:rPr>
          <w:rFonts w:ascii="Arial" w:cs="Arial" w:eastAsia="Arial" w:hAnsi="Arial"/>
          <w:sz w:val="18"/>
          <w:szCs w:val="18"/>
          <w:color w:val="82828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 xml:space="preserve">Please refer to Note 12 -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Notes to Condensed Consolidated Financial Statements under Item 1 of this Quarterly Report.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have been no material changes to the risk factors previously disclosed in our 2025 Annual Report, except as set forth below and in Part II, Item 1A of the Company's Quarterly Report on Form 10-Q for the period ended June 30, 2026. At our 2026 annual meeting of stockholders, held on September 30, 2026, we announced plans to accelerate our transformation into a diversified holding company by monetizing a substantial portion of the real estate assets of HHC, transitioning HHC into an asset-light real estate asset management platform, and redeploying the resulting proceeds primarily into Vantage, our specialty insurance and reinsurance subsidiary. The following risk factors relate to these plans and should be read in conjunction with the risk factors disclosed in our 2025 Annual Report and in our Quarterly Report on Form 10-Q for the period ended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RISKS RELATED TO OUR REAL ESTATE MONETIZATION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00497F"/>
        </w:rPr>
        <w:t>We may be unable to monetize HHC’s real estate assets at the values, on the terms, or within the time frame we anticipate, or to realize the anticipated benefits of redeploying the proceeds into Vantage.</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plans to monetize HHC’s real estate assets are in their early stages, and as of the date of this Quarterly Report, we have not entered into definitive agreements for any transactions related to our real estate monetization strategy. Our ability to sell interests in HHC’s real estate assets and enter into joint ventures, and the proceeds we receive, will depend on factors beyond our control, including investor demand, real estate and capital market conditions, interest rates, and the availability of financing. If the value of any such assets is lower than we expect, we may be unable to monetize those assets on favorable terms or at all. We may also be required to reduce pricing, accept lower returns, or incur additional costs in remarketing or reconfiguring assets. The proceeds of any such transactions may be less than our estimates or the carrying values of the assets, which could result in impairment charges or losses on sale, and many of these transactions will require consents from lenders, joint venture partners, or other third parties. In addition, these proceeds will be received by HHC, and the indentures governing HHC’s senior unsecured notes restrict HHC’s ability to pay dividends and make other distributions to the Company, and require that net proceeds from certain asset sales be used to repay indebtedness or be reinvested in HHC’s business within a specified period or, to the extent not so applied, be used to offer to repurchase such notes at par. As a result, we may be unable to redeploy proceeds into Vantage in the amounts or at the times we intend, and Vantage may be unable to deploy additional capital at attractive returns or at all. We may modify, delay, or discontinue these plans at any time, and the estimates we have presented publicly regarding the value of HHC’s real estate assets and potential returns at Vantage are based on assumptions that may prove to be incorrect.</w:t>
      </w:r>
    </w:p>
    <w:p>
      <w:pPr>
        <w:spacing w:after="0" w:line="22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00497F"/>
        </w:rPr>
        <w:t>Our plans to monetize HHC’s real estate assets and redeploy the proceeds into Vantage will significantly change our business, including by increasing our dependence on Vantage and transitioning HHC to an asset-light real estate asset management platform.</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implemented as planned, these plans will substantially change the composition of our assets and sources of earnings, and we expect that, following the completion of such transactions, Vantage will represent a substantial majority of our equity value. As a result, our results will depend increasingly on Vantage’s insurance and reinsurance operations and investment portfolio, and our reported results may become more volatile because changes in the fair value of the equity securities in Vantage’s investment portfolio are recognized in net income. In addition, risks related to Vantage’s business and operations will become increasingly significant to us, including but not limited to risks related to its limited operating history, its ability to accurately assess the risks associated with the insurance and reinsurance business it writes and retains, and its ability to collect amounts due from reinsurers. Further, following the sale of interests in its assets, HHC will hold minority interests in those assets, its ability to retain operational control will depend on contractual arrangements with its partners, and its future development activities will depend on its ability to raise third-party capital. HHC has limited experience raising third-party capital or operating as a fee-based asset manager, and the fees it earns may not offset the income we forgo by selling interests in our assets. Any of these factors could adversely affect our business, financial condition, results of operations, and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60" w:hanging="446"/>
        <w:spacing w:after="0"/>
        <w:tabs>
          <w:tab w:leader="none" w:pos="49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ind w:left="9780"/>
        <w:spacing w:after="0"/>
        <w:rPr>
          <w:sz w:val="20"/>
          <w:szCs w:val="20"/>
          <w:color w:val="auto"/>
        </w:rPr>
      </w:pPr>
      <w:r>
        <w:rPr>
          <w:rFonts w:ascii="Arial" w:cs="Arial" w:eastAsia="Arial" w:hAnsi="Arial"/>
          <w:sz w:val="18"/>
          <w:szCs w:val="18"/>
          <w:color w:val="82828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unregistered sales of equity securities or repurchases of equity securities during the third quarter of 2026.</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March 2022, the Board authorized a share repurchase program pursuant to which the Company may, from time to time, purchase up to $250.0 million of its common stock through open-market transactions. The approximate dollar value of shares that may yet be purchased under this program remained at $15.0 million during the third quarter of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None of our directors or officers adopted or terminated a 10b5-1 plan or non-10b5-1 trading arrangement during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60" w:hanging="446"/>
        <w:spacing w:after="0"/>
        <w:tabs>
          <w:tab w:leader="none" w:pos="49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ind w:left="9780"/>
        <w:spacing w:after="0"/>
        <w:rPr>
          <w:sz w:val="20"/>
          <w:szCs w:val="20"/>
          <w:color w:val="auto"/>
        </w:rPr>
      </w:pPr>
      <w:r>
        <w:rPr>
          <w:rFonts w:ascii="Arial" w:cs="Arial" w:eastAsia="Arial" w:hAnsi="Arial"/>
          <w:sz w:val="18"/>
          <w:szCs w:val="18"/>
          <w:color w:val="82828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18"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The following Exhibit Index to this Quarterly Report lists the exhibits furnished as required by Item 601 of Regulation S-K and is incorporated by reference.</w:t>
      </w:r>
    </w:p>
    <w:p>
      <w:pPr>
        <w:sectPr>
          <w:pgSz w:w="11900" w:h="16838" w:orient="portrait"/>
          <w:cols w:equalWidth="0" w:num="1">
            <w:col w:w="11240"/>
          </w:cols>
          <w:pgMar w:left="320" w:top="364" w:right="339" w:bottom="1440" w:gutter="0" w:footer="0" w:header="0"/>
        </w:sectPr>
      </w:pPr>
    </w:p>
    <w:p>
      <w:pPr>
        <w:spacing w:after="0" w:line="4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1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10.41*+</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31.1+</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31.2+</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27305</wp:posOffset>
            </wp:positionV>
            <wp:extent cx="6351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68" w:lineRule="exact"/>
        <w:rPr>
          <w:sz w:val="20"/>
          <w:szCs w:val="20"/>
          <w:color w:val="auto"/>
        </w:rPr>
      </w:pPr>
    </w:p>
    <w:p>
      <w:pPr>
        <w:ind w:right="1640"/>
        <w:spacing w:after="0" w:line="348" w:lineRule="auto"/>
        <w:rPr>
          <w:sz w:val="20"/>
          <w:szCs w:val="20"/>
          <w:color w:val="auto"/>
        </w:rPr>
      </w:pPr>
      <w:r>
        <w:rPr>
          <w:rFonts w:ascii="Arial" w:cs="Arial" w:eastAsia="Arial" w:hAnsi="Arial"/>
          <w:sz w:val="17"/>
          <w:szCs w:val="17"/>
          <w:u w:val="single" w:color="auto"/>
          <w:color w:val="828282"/>
        </w:rPr>
        <w:t>Form of indemnification agreement for directors and certain executive officers of Howard Hughes Holdings Inc. Certification of Chief Executive Officer Pursuant to Section 302 of the Sarbanes-Oxley Act of 2002 Certification of Chief Financial Officer Pursuant to Section 302 of the Sarbanes-Oxley Act of 2002</w:t>
      </w:r>
    </w:p>
    <w:p>
      <w:pPr>
        <w:spacing w:after="0"/>
        <w:rPr>
          <w:sz w:val="20"/>
          <w:szCs w:val="20"/>
          <w:color w:val="auto"/>
        </w:rPr>
      </w:pPr>
      <w:r>
        <w:rPr>
          <w:rFonts w:ascii="Arial" w:cs="Arial" w:eastAsia="Arial" w:hAnsi="Arial"/>
          <w:sz w:val="17"/>
          <w:szCs w:val="17"/>
          <w:u w:val="single" w:color="auto"/>
          <w:color w:val="828282"/>
        </w:rPr>
        <w:t>Certification of Chief Executive Officer and Chief Financial Officer Pursuant to Section 906 of the Sarbanes-Oxley Act of 2002</w:t>
      </w:r>
    </w:p>
    <w:p>
      <w:pPr>
        <w:spacing w:after="0" w:line="12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 embedded within the Inline XBRL document</w:t>
      </w:r>
    </w:p>
    <w:p>
      <w:pPr>
        <w:spacing w:after="0" w:line="23" w:lineRule="exact"/>
        <w:rPr>
          <w:sz w:val="20"/>
          <w:szCs w:val="20"/>
          <w:color w:val="auto"/>
        </w:rPr>
      </w:pPr>
    </w:p>
    <w:p>
      <w:pPr>
        <w:sectPr>
          <w:pgSz w:w="11900" w:h="16838" w:orient="portrait"/>
          <w:cols w:equalWidth="0" w:num="2">
            <w:col w:w="900" w:space="360"/>
            <w:col w:w="9980"/>
          </w:cols>
          <w:pgMar w:left="320" w:top="364" w:right="339" w:bottom="1440" w:gutter="0" w:footer="0" w:header="0"/>
          <w:type w:val="continuous"/>
        </w:sectPr>
      </w:pPr>
    </w:p>
    <w:tbl>
      <w:tblPr>
        <w:tblLayout w:type="fixed"/>
        <w:tblInd w:w="20" w:type="dxa"/>
        <w:tblCellMar>
          <w:top w:w="0" w:type="dxa"/>
          <w:left w:w="0" w:type="dxa"/>
          <w:bottom w:w="0" w:type="dxa"/>
          <w:right w:w="0" w:type="dxa"/>
        </w:tblCellMar>
      </w:tblPr>
      <w:tr>
        <w:trPr>
          <w:trHeight w:val="225"/>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5300" w:type="dxa"/>
            <w:vAlign w:val="bottom"/>
          </w:tcPr>
          <w:p>
            <w:pPr>
              <w:ind w:left="220"/>
              <w:spacing w:after="0"/>
              <w:rPr>
                <w:sz w:val="20"/>
                <w:szCs w:val="20"/>
                <w:color w:val="auto"/>
              </w:rPr>
            </w:pPr>
            <w:r>
              <w:rPr>
                <w:rFonts w:ascii="Arial" w:cs="Arial" w:eastAsia="Arial" w:hAnsi="Arial"/>
                <w:sz w:val="17"/>
                <w:szCs w:val="17"/>
                <w:color w:val="auto"/>
              </w:rPr>
              <w:t>Inline XBRL Taxonomy Extension Schema Document</w:t>
            </w:r>
          </w:p>
        </w:tc>
      </w:tr>
      <w:tr>
        <w:trPr>
          <w:trHeight w:val="229"/>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5300" w:type="dxa"/>
            <w:vAlign w:val="bottom"/>
          </w:tcPr>
          <w:p>
            <w:pPr>
              <w:ind w:left="22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5300" w:type="dxa"/>
            <w:vAlign w:val="bottom"/>
          </w:tcPr>
          <w:p>
            <w:pPr>
              <w:ind w:left="22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29"/>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5300" w:type="dxa"/>
            <w:vAlign w:val="bottom"/>
          </w:tcPr>
          <w:p>
            <w:pPr>
              <w:ind w:left="220"/>
              <w:spacing w:after="0"/>
              <w:rPr>
                <w:sz w:val="20"/>
                <w:szCs w:val="20"/>
                <w:color w:val="auto"/>
              </w:rPr>
            </w:pPr>
            <w:r>
              <w:rPr>
                <w:rFonts w:ascii="Arial" w:cs="Arial" w:eastAsia="Arial" w:hAnsi="Arial"/>
                <w:sz w:val="17"/>
                <w:szCs w:val="17"/>
                <w:color w:val="auto"/>
                <w:w w:val="99"/>
              </w:rPr>
              <w:t>Inline XBRL Taxonomy Extension Presentation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5300" w:type="dxa"/>
            <w:vAlign w:val="bottom"/>
          </w:tcPr>
          <w:p>
            <w:pPr>
              <w:ind w:left="220"/>
              <w:spacing w:after="0"/>
              <w:rPr>
                <w:sz w:val="20"/>
                <w:szCs w:val="20"/>
                <w:color w:val="auto"/>
              </w:rPr>
            </w:pPr>
            <w:r>
              <w:rPr>
                <w:rFonts w:ascii="Arial" w:cs="Arial" w:eastAsia="Arial" w:hAnsi="Arial"/>
                <w:sz w:val="17"/>
                <w:szCs w:val="17"/>
                <w:color w:val="auto"/>
              </w:rPr>
              <w:t>Inline XBRL Taxonomy Extension Definition Linkbase Document</w:t>
            </w:r>
          </w:p>
        </w:tc>
      </w:tr>
    </w:tbl>
    <w:p>
      <w:pPr>
        <w:spacing w:after="0" w:line="5" w:lineRule="exact"/>
        <w:rPr>
          <w:sz w:val="20"/>
          <w:szCs w:val="20"/>
          <w:color w:val="auto"/>
        </w:rPr>
      </w:pPr>
    </w:p>
    <w:p>
      <w:pPr>
        <w:ind w:right="3260" w:firstLine="26"/>
        <w:spacing w:after="0" w:line="531" w:lineRule="auto"/>
        <w:tabs>
          <w:tab w:leader="none" w:pos="124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 * Management contract, compensatory plan, or arrangement</w:t>
      </w:r>
    </w:p>
    <w:p>
      <w:pPr>
        <w:spacing w:after="0" w:line="2"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7" w:lineRule="exact"/>
        <w:rPr>
          <w:sz w:val="20"/>
          <w:szCs w:val="20"/>
          <w:color w:val="auto"/>
        </w:rPr>
      </w:pPr>
    </w:p>
    <w:p>
      <w:pPr>
        <w:ind w:left="400" w:hanging="392"/>
        <w:spacing w:after="0"/>
        <w:tabs>
          <w:tab w:leader="none" w:pos="4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Attached as Exhibit 101 to this report are the following documents formatted in iXBRL (Inline Extensible Business Reporting Language): (i) the Condensed Consolidated Statements of Operations for the three and nine months ended September 30, 2026 and 2025, (ii) Condensed Consolidated Statements of Comprehensive Income (Loss) for the three and nine months ended September 30, 2026 and 2025, (iii) the Condensed Consolidated Balance Sheets as of September 30, 2026 and December 31, 2025, (iv) Condensed Consolidated Statements of Equity for the three and nine months ended September 30, 2026 and 2025, (v) the Condensed Consolidated Statements of Cash Flows for the nine months ended September 30, 2026 and 2025, and (vi)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6"/>
        <w:spacing w:after="0"/>
        <w:tabs>
          <w:tab w:leader="none" w:pos="49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color w:val="82828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Howard Hughes Holdings Inc.</w:t>
      </w:r>
    </w:p>
    <w:p>
      <w:pPr>
        <w:spacing w:after="0" w:line="88" w:lineRule="exact"/>
        <w:rPr>
          <w:sz w:val="20"/>
          <w:szCs w:val="20"/>
          <w:color w:val="auto"/>
        </w:rPr>
      </w:pPr>
    </w:p>
    <w:tbl>
      <w:tblPr>
        <w:tblLayout w:type="fixed"/>
        <w:tblInd w:w="570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Carlos A. Olea</w:t>
            </w:r>
          </w:p>
        </w:tc>
      </w:tr>
      <w:tr>
        <w:trPr>
          <w:trHeight w:val="221"/>
        </w:trPr>
        <w:tc>
          <w:tcPr>
            <w:tcW w:w="5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Carlos A. Olea</w:t>
            </w:r>
          </w:p>
        </w:tc>
      </w:tr>
      <w:tr>
        <w:trPr>
          <w:trHeight w:val="225"/>
        </w:trPr>
        <w:tc>
          <w:tcPr>
            <w:tcW w:w="5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9"/>
        </w:trPr>
        <w:tc>
          <w:tcPr>
            <w:tcW w:w="5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November 5,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60" w:hanging="446"/>
        <w:spacing w:after="0"/>
        <w:tabs>
          <w:tab w:leader="none" w:pos="49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828282"/>
        </w:rPr>
        <w:t xml:space="preserve">2026 FORM 10-Q </w:t>
      </w:r>
      <w:r>
        <w:rPr>
          <w:rFonts w:ascii="Arial" w:cs="Arial" w:eastAsia="Arial" w:hAnsi="Arial"/>
          <w:sz w:val="18"/>
          <w:szCs w:val="18"/>
          <w:b w:val="1"/>
          <w:bCs w:val="1"/>
          <w:color w:val="000000"/>
        </w:rPr>
        <w:t>| 78</w:t>
      </w:r>
    </w:p>
    <w:p>
      <w:pPr>
        <w:sectPr>
          <w:pgSz w:w="11900" w:h="16838" w:orient="portrait"/>
          <w:cols w:equalWidth="0" w:num="1">
            <w:col w:w="11240"/>
          </w:cols>
          <w:pgMar w:left="320" w:top="22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62"/>
        </w:trPr>
        <w:tc>
          <w:tcPr>
            <w:tcW w:w="4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10.41</w:t>
            </w:r>
          </w:p>
        </w:tc>
      </w:tr>
      <w:tr>
        <w:trPr>
          <w:trHeight w:val="488"/>
        </w:trPr>
        <w:tc>
          <w:tcPr>
            <w:tcW w:w="8900" w:type="dxa"/>
            <w:vAlign w:val="bottom"/>
            <w:gridSpan w:val="8"/>
          </w:tcPr>
          <w:p>
            <w:pPr>
              <w:ind w:left="3940"/>
              <w:spacing w:after="0"/>
              <w:rPr>
                <w:sz w:val="20"/>
                <w:szCs w:val="20"/>
                <w:color w:val="auto"/>
              </w:rPr>
            </w:pPr>
            <w:r>
              <w:rPr>
                <w:rFonts w:ascii="Times New Roman" w:cs="Times New Roman" w:eastAsia="Times New Roman" w:hAnsi="Times New Roman"/>
                <w:sz w:val="21"/>
                <w:szCs w:val="21"/>
                <w:b w:val="1"/>
                <w:bCs w:val="1"/>
                <w:color w:val="auto"/>
              </w:rPr>
              <w:t>INDEMNIFICATION AGREEMENT</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1"/>
        </w:trPr>
        <w:tc>
          <w:tcPr>
            <w:tcW w:w="890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w w:val="98"/>
              </w:rPr>
              <w:t>THIS INDEMNIFICATION AGREEMENT (the “Agreement”) is made effective as of theday of</w:t>
            </w:r>
          </w:p>
        </w:tc>
        <w:tc>
          <w:tcPr>
            <w:tcW w:w="5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20__ by and between</w:t>
            </w:r>
          </w:p>
        </w:tc>
      </w:tr>
      <w:tr>
        <w:trPr>
          <w:trHeight w:val="20"/>
        </w:trPr>
        <w:tc>
          <w:tcPr>
            <w:tcW w:w="4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9"/>
        </w:trPr>
        <w:tc>
          <w:tcPr>
            <w:tcW w:w="624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w w:val="99"/>
              </w:rPr>
              <w:t>Howard Hughes Holdings Inc., a Delaware corporation (the “Company”), and</w:t>
            </w:r>
          </w:p>
        </w:tc>
        <w:tc>
          <w:tcPr>
            <w:tcW w:w="380" w:type="dxa"/>
            <w:vAlign w:val="bottom"/>
          </w:tcPr>
          <w:p>
            <w:pPr>
              <w:spacing w:after="0"/>
              <w:rPr>
                <w:sz w:val="18"/>
                <w:szCs w:val="18"/>
                <w:color w:val="auto"/>
              </w:rPr>
            </w:pPr>
          </w:p>
        </w:tc>
        <w:tc>
          <w:tcPr>
            <w:tcW w:w="2280" w:type="dxa"/>
            <w:vAlign w:val="bottom"/>
            <w:gridSpan w:val="4"/>
          </w:tcPr>
          <w:p>
            <w:pPr>
              <w:ind w:left="60"/>
              <w:spacing w:after="0" w:line="209" w:lineRule="exact"/>
              <w:rPr>
                <w:sz w:val="20"/>
                <w:szCs w:val="20"/>
                <w:color w:val="auto"/>
              </w:rPr>
            </w:pPr>
            <w:r>
              <w:rPr>
                <w:rFonts w:ascii="Times New Roman" w:cs="Times New Roman" w:eastAsia="Times New Roman" w:hAnsi="Times New Roman"/>
                <w:sz w:val="20"/>
                <w:szCs w:val="20"/>
                <w:color w:val="auto"/>
              </w:rPr>
              <w:t>(the “Indemnitee”).</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WHEREAS, highly competent persons have become more reluctant to serve corporations as directors, officers or in other capacities unless they are provided with adequate protection through insurance or adequate indemnification against risks of claims and actions against them arising out of their service to and activities on behalf of the corporation;</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Board of Directors of the Company (the “</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although the Amended and Restated Certificate of Incorporation of the Company (the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the Amended and Restated Bylaws of the Company (the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require indemnification of the officers and directors of the Company under the circumstances specified therein, and Indemnitee may also be entitled to indemnification pursuant to the General Corporation Law of the State of Delaware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the Certificate, the Bylaws and the DGCL expressly provide that the indemnification provisions set forth therein are not exclusive, and authorize the Company to enter into contracts between the Company and members of the board of directors, officers and other persons with respect to indemnification; and</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this Agreement is a supplement to and in furtherance of the Certificate and the Bylaws and any resolutions adopted pursuant thereto, and shall not be deemed a substitute therefor, nor to diminish or abrogate any rights of Indemnitee thereunder.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NOW, THEREFORE, in consideration of Indemnitee’s agreement to serve or continue serving as a director or officer, or both,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after the date hereof, the parties hereto agree as follows:</w:t>
      </w:r>
    </w:p>
    <w:p>
      <w:pPr>
        <w:spacing w:after="0" w:line="207" w:lineRule="exact"/>
        <w:rPr>
          <w:sz w:val="20"/>
          <w:szCs w:val="20"/>
          <w:color w:val="auto"/>
        </w:rPr>
      </w:pPr>
    </w:p>
    <w:p>
      <w:pPr>
        <w:ind w:left="1000" w:hanging="344"/>
        <w:spacing w:after="0"/>
        <w:tabs>
          <w:tab w:leader="none" w:pos="10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w:t>
      </w:r>
    </w:p>
    <w:p>
      <w:pPr>
        <w:spacing w:after="0" w:line="215"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8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a change in control of the Company occurring after the date hereof of a nature that would be required to be reported in response to Item 6(e) on Schedule 14A of Regulation 14A (or in response to any similar item on any similar schedule or form) promulgated under the Securities Exchange Act of 1934, as amended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whether or not the</w:t>
      </w:r>
    </w:p>
    <w:p>
      <w:pPr>
        <w:sectPr>
          <w:pgSz w:w="11900" w:h="16838" w:orient="portrait"/>
          <w:cols w:equalWidth="0" w:num="1">
            <w:col w:w="11240"/>
          </w:cols>
          <w:pgMar w:left="320" w:top="1436" w:right="339" w:bottom="1440" w:gutter="0" w:footer="0" w:header="0"/>
        </w:sectPr>
      </w:pPr>
    </w:p>
    <w:bookmarkStart w:id="80" w:name="page81"/>
    <w:bookmarkEnd w:id="80"/>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Company is then subject to such reporting requirement: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without limitation, a Change in Control shall include: (i) the acquisition (other than acquisition by or from the Company) after the date hereof by any person, entity or “group,” within the meaning of Section 13(d)(3) or 14(d)(2) of the Act (excluding, for this purpose, the Company or its subsidiaries, any employee benefit plan of the Company or its subsidiaries that acquires beneficial ownership of voting securities of the Company, and any qualified institutional investor that meets the requirements of Rule 13d-l(b)(l) promulgated under the Act) of beneficial ownership (within the meaning of Rule 13d-3 promulgated under the Act), of 50% or more of either the then-outstanding shares of common stock or the combined voting power of the Company’s then-outstanding capital stock entitled to vote generally in the election of directors; (ii) individuals who, as of the date hereof, constitute the Board of Directors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ceasing for any reason to constitute at least a majority of the Board of Directors,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shall be, for purposes of this Agreement, considered as though such person were a member of the Incumbent Board; or (iii) approval by the stockholders of the Company of (A) a reorganization, merger or consolidation, in each case, with respect to which persons who were the stockholders of the Company immediately prior to such reorganization, merger or consolidation do not, immediately thereafter, own more than 50% of the combined voting power entitled to vote generally in the election of directors of the reorganized, merged, consolidated or other surviving corporation’s then-outstanding voting securities, (B) a liquidation or dissolution of the Company, or (C) the sale of all or substantially all of the assets of the Company.</w:t>
      </w:r>
    </w:p>
    <w:p>
      <w:pPr>
        <w:spacing w:after="0" w:line="196" w:lineRule="exact"/>
        <w:rPr>
          <w:sz w:val="20"/>
          <w:szCs w:val="20"/>
          <w:color w:val="auto"/>
        </w:rPr>
      </w:pPr>
    </w:p>
    <w:p>
      <w:pPr>
        <w:jc w:val="both"/>
        <w:ind w:firstLine="1304"/>
        <w:spacing w:after="0" w:line="253" w:lineRule="auto"/>
        <w:tabs>
          <w:tab w:leader="none" w:pos="172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Status</w:t>
      </w:r>
      <w:r>
        <w:rPr>
          <w:rFonts w:ascii="Times New Roman" w:cs="Times New Roman" w:eastAsia="Times New Roman" w:hAnsi="Times New Roman"/>
          <w:sz w:val="20"/>
          <w:szCs w:val="20"/>
          <w:color w:val="auto"/>
        </w:rPr>
        <w:t>” describes the status of a person who is or was a director, officer, employee, agent or fiduciary of the Company or of any other corporation, partnership, limited liability company, joint venture, trust, employee benefit plan or other enterprise that such person is or was serving in a similar capacity at the request of the Company, and includes, without limitation, any action or inaction by Indemnitee in connection with or otherwise related to any such capacity, in all cases whether or not Indemnitee is acting or serving in any such capacity or has such status at the time any Losses are incurred for which indemnification, advancement or any other right can be provided by this Agreement.</w:t>
      </w:r>
    </w:p>
    <w:p>
      <w:pPr>
        <w:spacing w:after="0" w:line="178"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Disinterested Director</w:t>
      </w:r>
      <w:r>
        <w:rPr>
          <w:rFonts w:ascii="Times New Roman" w:cs="Times New Roman" w:eastAsia="Times New Roman" w:hAnsi="Times New Roman"/>
          <w:sz w:val="20"/>
          <w:szCs w:val="20"/>
          <w:color w:val="auto"/>
        </w:rPr>
        <w:t>” means a director of the Company who is not and was not a party to the Proceeding in respect of which indemnification or advancement is sought by Indemnitee, and does not otherwise have an interest materially adverse to any interest of the Indemnitee.</w:t>
      </w:r>
    </w:p>
    <w:p>
      <w:pPr>
        <w:spacing w:after="0" w:line="16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6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Enterprise</w:t>
      </w:r>
      <w:r>
        <w:rPr>
          <w:rFonts w:ascii="Times New Roman" w:cs="Times New Roman" w:eastAsia="Times New Roman" w:hAnsi="Times New Roman"/>
          <w:sz w:val="20"/>
          <w:szCs w:val="20"/>
          <w:color w:val="auto"/>
        </w:rPr>
        <w:t>” shall mean the Company and any other corporation, partnership, limited liability company, joint venture, trust, employee benefit plan or other enterprise that Indemnitee is or was serving at the request of the Company as a director, officer, employee, agent or fiduciary.</w:t>
      </w:r>
    </w:p>
    <w:p>
      <w:pPr>
        <w:spacing w:after="0" w:line="18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8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shall include all direct and indirect costs, fees and expenses of any type or nature whatsoever, and shall include, without limitation, all reasonable attorneys’ fees, retainers, disbursements of counsel, court costs, filing fees, transcript costs, fees and expenses of experts, witness fees and expenses, travel expenses, duplicating and imaging costs, printing and binding costs, telephone charges, facsimile transmission charges, computer legal research costs, postage, delivery service fees and all other disbursements or expenses of the types customarily incurred in connection with prosecuting, defending, preparing to prosecute or defend, investigating, participating, or being or preparing to be a witness in a Proceeding, as well as all other “expenses” within the meaning of that term as used in Section 145 of the General Corporation Law of the State of Delaware and all other direct and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disbursements or expenses of types customarily and reasonably incurred in connection with prosecuting, defending, preparing to prosecute or defend, investigating, being or preparing to be a witness in, or otherwise participating in, actions, suits, or proceedings similar to or of the same type as the Proceeding with respect to which such disbursements or expenses were incurred, any federal, state, local or foreign taxes imposed on Indemnitee as a result of the actual or deemed receipt of any payments under this Agreement, ERISA excise taxes and penalties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but, notwithstanding anything in the foregoing to the contrary, “Expenses” shall not include amounts of judgments, penalties, or fines actually levied against the Indemnitee in connection with any Proceeding. Expenses also shall include the foregoing incurred in connection with any appeal resulting from any Proceeding, including without limitation the premium, security for, and other costs relating to any cost bond, supersede as bond, or other appeal bond or its equivalent.</w:t>
      </w:r>
    </w:p>
    <w:p>
      <w:pPr>
        <w:spacing w:after="0" w:line="182" w:lineRule="exact"/>
        <w:rPr>
          <w:sz w:val="20"/>
          <w:szCs w:val="20"/>
          <w:color w:val="auto"/>
        </w:rPr>
      </w:pPr>
    </w:p>
    <w:p>
      <w:pPr>
        <w:jc w:val="both"/>
        <w:ind w:firstLine="1304"/>
        <w:spacing w:after="0" w:line="253" w:lineRule="auto"/>
        <w:tabs>
          <w:tab w:leader="none" w:pos="170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Counsel</w:t>
      </w:r>
      <w:r>
        <w:rPr>
          <w:rFonts w:ascii="Times New Roman" w:cs="Times New Roman" w:eastAsia="Times New Roman" w:hAnsi="Times New Roman"/>
          <w:sz w:val="20"/>
          <w:szCs w:val="20"/>
          <w:color w:val="auto"/>
        </w:rPr>
        <w:t>” means a law firm, a member of a law firm or an independent practitioner that is experienced in matters of corporation law and indemnification issues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92" w:lineRule="exact"/>
        <w:rPr>
          <w:rFonts w:ascii="Times New Roman" w:cs="Times New Roman" w:eastAsia="Times New Roman" w:hAnsi="Times New Roman"/>
          <w:sz w:val="20"/>
          <w:szCs w:val="20"/>
          <w:color w:val="auto"/>
        </w:rPr>
      </w:pPr>
    </w:p>
    <w:p>
      <w:pPr>
        <w:jc w:val="both"/>
        <w:ind w:firstLine="1304"/>
        <w:spacing w:after="0" w:line="264" w:lineRule="auto"/>
        <w:tabs>
          <w:tab w:leader="none" w:pos="1873"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Proceeding</w:t>
      </w:r>
      <w:r>
        <w:rPr>
          <w:rFonts w:ascii="Times New Roman" w:cs="Times New Roman" w:eastAsia="Times New Roman" w:hAnsi="Times New Roman"/>
          <w:sz w:val="19"/>
          <w:szCs w:val="19"/>
          <w:color w:val="auto"/>
        </w:rPr>
        <w:t>” includes any threatened, pending or completed action, suit, arbitration, alternate dispute resolution mechanism, investigation (including any internal investigation), inquiry, administrative hearing or any other actual, threatened or completed proceeding (including, with respect to any of the foregoing, in relation to a waiver or renouncement pursuant to Delaware law of any interest or expectancy of the Company in, or being offered to participate in, any business opportunity or opportunities), whether brought by or in the right of the Company or otherwise and whether civil, criminal, administrative or investigative, in which Indemnitee was, is or will be involved as a party, witness or otherwise, related to their Corporate Status, by reason of the fact that Indemnitee is or was an officer or director of the Company, by reason of any action taken by Indemnitee or of any inaction on such Indemnitee’s part while acting as an officer or director of the Company, or by reason of the fact that such Indemnitee is or was serving at the request of the Company as a director, officer, employee, agent or fiduciary of another corporation, partnership, joint venture, trust or other Enterprise; in each case whether or not Indemnitee is acting or serving in any such capacity at the time any liability or expense is incurred for which indemnification can be provided under this Agreement; including one pending on or before the date of this Agreement. If Indemnitee believes reasonably and in good faith that a given situation may lead to or culminate in the institution of a Proceeding, this shall be considered a Proceeding under this Agreement.</w:t>
      </w:r>
    </w:p>
    <w:p>
      <w:pPr>
        <w:spacing w:after="0" w:line="180"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“fines” shall not include any excise tax assessed with respect to any employee benefit plan.</w:t>
      </w:r>
    </w:p>
    <w:p>
      <w:pPr>
        <w:spacing w:after="0" w:line="21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4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a director of another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the general partner of any partnership (general or limited) and the manager or managing member of any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22" w:lineRule="exact"/>
        <w:rPr>
          <w:sz w:val="20"/>
          <w:szCs w:val="20"/>
          <w:color w:val="auto"/>
        </w:rPr>
      </w:pPr>
    </w:p>
    <w:p>
      <w:pPr>
        <w:jc w:val="both"/>
        <w:ind w:firstLine="1304"/>
        <w:spacing w:after="0" w:line="253" w:lineRule="auto"/>
        <w:tabs>
          <w:tab w:leader="none" w:pos="174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References herein to serving at the request of the Company as a director, officer, employee, agent, or fiduciary of another Enterprise shall include any service as a director, officer, employee, or agent of the Company that imposes duties on, or involves services by, such director or officer with respect to an employee benefit plan of the Company or any of its affiliates, other than solely as a participant or beneficiary of such a plan; and (ii) if the Indemnitee has acted in good faith and in a manner the Indemnitee reasonably believed to be in the interest of the participants and beneficiaries of an employee benefit plan, the Indemnitee shall be deemed to have acted in a manner not opposed to the best interests of the Company for purposes of this Agreement.</w:t>
      </w:r>
    </w:p>
    <w:p>
      <w:pPr>
        <w:spacing w:after="0" w:line="178" w:lineRule="exact"/>
        <w:rPr>
          <w:rFonts w:ascii="Times New Roman" w:cs="Times New Roman" w:eastAsia="Times New Roman" w:hAnsi="Times New Roman"/>
          <w:sz w:val="20"/>
          <w:szCs w:val="20"/>
          <w:color w:val="auto"/>
        </w:rPr>
      </w:pPr>
    </w:p>
    <w:p>
      <w:pPr>
        <w:jc w:val="both"/>
        <w:ind w:firstLine="656"/>
        <w:spacing w:after="0" w:line="261" w:lineRule="auto"/>
        <w:tabs>
          <w:tab w:leader="none" w:pos="99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 of Indemnitee</w:t>
      </w:r>
      <w:r>
        <w:rPr>
          <w:rFonts w:ascii="Times New Roman" w:cs="Times New Roman" w:eastAsia="Times New Roman" w:hAnsi="Times New Roman"/>
          <w:sz w:val="20"/>
          <w:szCs w:val="20"/>
          <w:color w:val="auto"/>
        </w:rPr>
        <w:t>. The Company hereby agrees to hold harmless and indemnify Indemnitee to the fullest extent permitted by applicable law, as such may be amended from time to time. In furtherance of the foregoing indemnification, and without limiting the generality thereof:</w:t>
      </w:r>
    </w:p>
    <w:p>
      <w:pPr>
        <w:spacing w:after="0" w:line="18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94"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 Other Than Proceedings by or in the Right of the Company</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hereof, Indemnitee shall be entitled to the rights of indemnification provided in this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if, by reason of or related to Indemnitee’s Corporate Status, the Indemnitee is or was, or is or was threatened to be made, a party to or is otherwise involved in (including as a witness) any Proceeding other than a Proceeding by or in the right of the Company to procure a judgment in its favor. Pursuant to this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Indemnitee shall be indemnified against all Losses (as hereinafter defined) including, but not limited to, Expenses, (as hereinafter defined), judgments, penalties, fines, liabilities, including all interest, assessments and other charges paid or payable in connection with or in respect of such liabilities, and amounts paid in settlement actually and reasonably incurred by Indemnitee, or on Indemnitee’s behalf, in connection with such Proceeding or any claim, issue or matter therein, but only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96"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24"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 by or in the Right of the Company</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hereof, Indemnitee shall be entitled to the rights of indemnification provided in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if, by reason of or related to Indemnitee’s Corporate Status, the Indemnitee is or was, or is or was threatened to be made, a party to or is or was otherwise involved in any Proceeding brought by or in the right of the Company to procure a judgment in its favor. Pursuant to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Indemnitee shall be indemnified against all Losses actually and reasonably incurred by the Indemnitee, or on the Indemnitee’s behalf, in connection with such Proceeding or any claim, issue or matter therein, but only if the Indemnitee acted in good faith and in a manner the Indemnitee reasonably believed to be in or not opposed to the best interests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applicable law so requires, no indemnification for such Losses shall be made in respect of any claim, issue or matter in such Proceeding as to which the Indemnitee shall have been adjudged liable to the Company unless (and only to the extent that) the Court of Chancery of the State of Delaware or the court in which such Proceeding was brought shall determine that, despite the adjudication of liability but in view of all the circumstances of the case, the Indemnitee is fairly and reasonably entitled to indemnity for such Losses that the Court of Chancery or such other court shall deem proper.</w:t>
      </w:r>
    </w:p>
    <w:p>
      <w:pPr>
        <w:spacing w:after="0" w:line="186"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16"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Overriding Right to Indemnification if Successful on the Merits</w:t>
      </w:r>
      <w:r>
        <w:rPr>
          <w:rFonts w:ascii="Times New Roman" w:cs="Times New Roman" w:eastAsia="Times New Roman" w:hAnsi="Times New Roman"/>
          <w:sz w:val="20"/>
          <w:szCs w:val="20"/>
          <w:color w:val="auto"/>
        </w:rPr>
        <w:t>. Notwithstanding any other provision of this Agreement, to the extent that Indemnitee is or was, by reason of Indemnitee’s Corporate Status or otherwise, a party to and is or was successful, on the merits or otherwise, in any Proceeding, the Indemnitee shall be indemnified to the maximum extent permitted by applicable law, as such may be amended from time to time, against all Losses actually and reasonably incurred by Indemnitee or on Indemnitee’s behalf in connection therewith. If Indemnitee is not wholly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successful in such Proceeding but is successful, on the merits or otherwise, as to one or more but less than all claims, issues or matters in such Proceeding, the Company shall indemnify Indemnitee to the maximum extent permitted by applicable law, as such may be amended from time to time, against all Losses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5" w:lineRule="exact"/>
        <w:rPr>
          <w:sz w:val="20"/>
          <w:szCs w:val="20"/>
          <w:color w:val="auto"/>
        </w:rPr>
      </w:pPr>
    </w:p>
    <w:p>
      <w:pPr>
        <w:jc w:val="both"/>
        <w:ind w:firstLine="656"/>
        <w:spacing w:after="0" w:line="250" w:lineRule="auto"/>
        <w:tabs>
          <w:tab w:leader="none" w:pos="102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Indemnity</w:t>
      </w:r>
      <w:r>
        <w:rPr>
          <w:rFonts w:ascii="Times New Roman" w:cs="Times New Roman" w:eastAsia="Times New Roman" w:hAnsi="Times New Roman"/>
          <w:sz w:val="20"/>
          <w:szCs w:val="20"/>
          <w:color w:val="auto"/>
        </w:rPr>
        <w:t xml:space="preserve">. In addition to, and without regard to any limitations on, the indemnification provided for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Agreement, the Company shall and hereby does, to the fullest extent permissible under applicable law, indemnify and hold harmless Indemnitee against all losses, damages, liabilities, costs, Expenses, judgments, penalties, fines, liabilities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and all other charges paid or payable in connection with investigating, defending, being a witness in or otherwise participating in (including on appeal), or preparing to defend, be a witness or otherwise participate in, any Proceedings or any claim, issue or matter therein, including, without limitation, all liability arising out of the negligence or active or passive wrongdoing of Indemnitee (all the foregoing, collectively, “Losses”).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hereof) to be unlawful.</w:t>
      </w:r>
    </w:p>
    <w:p>
      <w:pPr>
        <w:spacing w:after="0" w:line="18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81"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fullest extent permissible under applicable law, whether or not the indemnification provided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 without any admission of liability or other wrongdoing on the part of Indemnitee.</w:t>
      </w:r>
    </w:p>
    <w:p>
      <w:pPr>
        <w:spacing w:after="0" w:line="19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2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fullest extent permissible under applicable law, 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Losses, judgments, fines, liabilities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proportion determined on the basis of relative benefit may, to the extent necessary to conform to law, be further adjusted by reference to the relative fault of the Company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officers, directors or employees of the Company, other than Indemnitee, who are jointly liable with Indemnitee (or would be if joined in such action, suit or proceeding), on the one hand, and Indemnitee, on the other hand, in connection with the events that resulted in such Losses, judgments, fines, liabilities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3" w:lineRule="exact"/>
        <w:rPr>
          <w:sz w:val="20"/>
          <w:szCs w:val="20"/>
          <w:color w:val="auto"/>
        </w:rPr>
      </w:pPr>
    </w:p>
    <w:p>
      <w:pPr>
        <w:ind w:firstLine="1304"/>
        <w:spacing w:after="0" w:line="269" w:lineRule="auto"/>
        <w:tabs>
          <w:tab w:leader="none" w:pos="1745"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agrees to fully indemnify and hold Indemnitee harmless from any claim of contribution brought by officers, directors or employees of the Company, other than Indemnitee, who may be jointly liable with Indemnitee.</w:t>
      </w:r>
    </w:p>
    <w:p>
      <w:pPr>
        <w:spacing w:after="0" w:line="17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878"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liabilities, penalties, excise taxes, amounts paid or to be paid in settlement and/or for Expenses, in connection with any claim relating to an indemnifiable event under this Agreement, in such proportion as the Board of Directors deems fair and reasonable in light of all of the circumstances of such Proceeding in order to reflect (i) the relative benefits received by the Company (together with its directors, officers, employees and agents)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95" w:lineRule="exact"/>
        <w:rPr>
          <w:rFonts w:ascii="Times New Roman" w:cs="Times New Roman" w:eastAsia="Times New Roman" w:hAnsi="Times New Roman"/>
          <w:sz w:val="20"/>
          <w:szCs w:val="20"/>
          <w:color w:val="auto"/>
        </w:rPr>
      </w:pPr>
    </w:p>
    <w:p>
      <w:pPr>
        <w:jc w:val="both"/>
        <w:ind w:firstLine="656"/>
        <w:spacing w:after="0" w:line="258" w:lineRule="auto"/>
        <w:tabs>
          <w:tab w:leader="none" w:pos="99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for Losses of a Witness</w:t>
      </w:r>
      <w:r>
        <w:rPr>
          <w:rFonts w:ascii="Times New Roman" w:cs="Times New Roman" w:eastAsia="Times New Roman" w:hAnsi="Times New Roman"/>
          <w:sz w:val="20"/>
          <w:szCs w:val="20"/>
          <w:color w:val="auto"/>
        </w:rPr>
        <w:t>. Notwithstanding any other provision of this Agreement, to the extent that Indemnitee is or was, by reason of Indemnitee’s Corporate Status or otherwise, a witness, or is or was made (or asked) to respond to discovery requests, in any Proceeding to which Indemnitee is not a party, Indemnitee shall be indemnified to the fullest extent permissible under applicable law against all Losses actually and reasonably incurred by Indemnitee or on Indemnitee’s behalf in connection therewith.</w:t>
      </w:r>
    </w:p>
    <w:p>
      <w:pPr>
        <w:spacing w:after="0" w:line="172" w:lineRule="exact"/>
        <w:rPr>
          <w:rFonts w:ascii="Times New Roman" w:cs="Times New Roman" w:eastAsia="Times New Roman" w:hAnsi="Times New Roman"/>
          <w:sz w:val="20"/>
          <w:szCs w:val="20"/>
          <w:color w:val="auto"/>
        </w:rPr>
      </w:pPr>
    </w:p>
    <w:p>
      <w:pPr>
        <w:jc w:val="both"/>
        <w:ind w:firstLine="656"/>
        <w:spacing w:after="0" w:line="265" w:lineRule="auto"/>
        <w:tabs>
          <w:tab w:leader="none" w:pos="1102"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Advancement of Expenses</w:t>
      </w:r>
      <w:r>
        <w:rPr>
          <w:rFonts w:ascii="Times New Roman" w:cs="Times New Roman" w:eastAsia="Times New Roman" w:hAnsi="Times New Roman"/>
          <w:sz w:val="19"/>
          <w:szCs w:val="19"/>
          <w:color w:val="auto"/>
        </w:rPr>
        <w:t xml:space="preserve">. Notwithstanding any other provision of this Agreement, but subject to </w:t>
      </w:r>
      <w:r>
        <w:rPr>
          <w:rFonts w:ascii="Times New Roman" w:cs="Times New Roman" w:eastAsia="Times New Roman" w:hAnsi="Times New Roman"/>
          <w:sz w:val="19"/>
          <w:szCs w:val="19"/>
          <w:u w:val="single" w:color="auto"/>
          <w:color w:val="auto"/>
        </w:rPr>
        <w:t>Section 9(e)</w:t>
      </w:r>
      <w:r>
        <w:rPr>
          <w:rFonts w:ascii="Times New Roman" w:cs="Times New Roman" w:eastAsia="Times New Roman" w:hAnsi="Times New Roman"/>
          <w:sz w:val="19"/>
          <w:szCs w:val="19"/>
          <w:color w:val="auto"/>
        </w:rPr>
        <w:t xml:space="preserve"> hereof, the Company shall advance all Expenses incurred by or on behalf of Indemnitee in connection with any Proceeding by reason of Indemnitee’s Corporate Status or otherwise within thirty (30) calendar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or on behalf of Indemnitee and for which advancement is requested, and shall include or be preceded or accompanied by an undertaking by or on behalf of Indemnitee to repay any Expenses advanced if it shall finally be determined (under the procedures, and subject to the presumptions, set forth in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hereof) that Indemnitee is not entitled to be indemnified against such Expenses. Such undertaking shall be sufficient for purposes of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if it is substantially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Any advances and undertakings to repay pursuant to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shall be unsecured and interest-free. The Indemnitee shall be entitled to advancement of Expenses as provided in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regardless of any determination by or on behalf of the Company that the Indemnitee has not met the standards of conduct set forth in </w:t>
      </w:r>
      <w:r>
        <w:rPr>
          <w:rFonts w:ascii="Times New Roman" w:cs="Times New Roman" w:eastAsia="Times New Roman" w:hAnsi="Times New Roman"/>
          <w:sz w:val="19"/>
          <w:szCs w:val="19"/>
          <w:u w:val="single" w:color="auto"/>
          <w:color w:val="auto"/>
        </w:rPr>
        <w:t>Sections 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2(b)</w:t>
      </w:r>
      <w:r>
        <w:rPr>
          <w:rFonts w:ascii="Times New Roman" w:cs="Times New Roman" w:eastAsia="Times New Roman" w:hAnsi="Times New Roman"/>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22" w:lineRule="exact"/>
        <w:rPr>
          <w:sz w:val="20"/>
          <w:szCs w:val="20"/>
          <w:color w:val="auto"/>
        </w:rPr>
      </w:pPr>
    </w:p>
    <w:p>
      <w:pPr>
        <w:jc w:val="both"/>
        <w:ind w:firstLine="656"/>
        <w:spacing w:after="0" w:line="254" w:lineRule="auto"/>
        <w:tabs>
          <w:tab w:leader="none" w:pos="99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and Presumptions for Determination of Entitlement to Indemnification</w:t>
      </w:r>
      <w:r>
        <w:rPr>
          <w:rFonts w:ascii="Times New Roman" w:cs="Times New Roman" w:eastAsia="Times New Roman" w:hAnsi="Times New Roman"/>
          <w:sz w:val="20"/>
          <w:szCs w:val="20"/>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87"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55"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Indemnitee shall give the Company notice in writing as soon as practicable of any claim made against Indemnitee for which indemnification will or could be sought under this Agreement. To obtain indemnification under this Agreement, the Indemnitee shall submit to the Company a written request for indemnification, including therein or therewith, except to the extent previously provided to the Company in connection with a request or requests for advancement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hereof, a statement or statements reasonably evidencing all Losses incurred or paid by or on behalf of the Indemnitee and for which indemnification is requested, together with such documentation and information as is reasonably available to Indemnitee and as is reasonably necessary for the Company to determine whether and to what extent Indemnitee is entitled to indemnification (provided, however, that Indemnitee shall not be required to provide any documentation or information to the extent that the provision thereof would undermine or otherwise jeopardize attorney-client privilege). The Secretary of the Company shall, promptly upon receipt of such a request for indemnification, advise the Board of Directors in writing that Indemnitee has requested indemnification. Failure to provide any notice required hereby shall not impair Indemnitee’s rights of indemnification and contribution under this Agreement except to the extent that such failure to provide notice actually and materially prejudices the rights of the Company to defend any action or proceeding which is the basis of the claimed indemnification.</w:t>
      </w:r>
    </w:p>
    <w:p>
      <w:pPr>
        <w:spacing w:after="0" w:line="178"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33"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written request by Indemnitee for indemnification pursuant to the second sentence of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hereof, a determination with respect to Indemnitee’s entitlement thereto shall be made as promptly as practicable within twenty (20) calendar days after receipt of Indemnitee’s written request for indemnification pursuant to Section 7(a) by the following person or persons, who shall be empowered to make such determination: (i) if a Change in Control shall have occurred, by Independent Counsel (unless Indemnitee shall request in writing that such determination be made by the Board of Directors (or a committee thereof) in the manner provided for in clause</w:t>
      </w:r>
    </w:p>
    <w:p>
      <w:pPr>
        <w:spacing w:after="0" w:line="2"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this </w:t>
      </w:r>
      <w:r>
        <w:rPr>
          <w:rFonts w:ascii="Times New Roman" w:cs="Times New Roman" w:eastAsia="Times New Roman" w:hAnsi="Times New Roman"/>
          <w:sz w:val="19"/>
          <w:szCs w:val="19"/>
          <w:u w:val="single" w:color="auto"/>
          <w:color w:val="auto"/>
        </w:rPr>
        <w:t>Section 7(b)</w:t>
      </w:r>
      <w:r>
        <w:rPr>
          <w:rFonts w:ascii="Times New Roman" w:cs="Times New Roman" w:eastAsia="Times New Roman" w:hAnsi="Times New Roman"/>
          <w:sz w:val="19"/>
          <w:szCs w:val="19"/>
          <w:color w:val="auto"/>
        </w:rPr>
        <w:t>) in a written opinion to the Board of Directors, a copy of which shall be delivered to Indemnitee; or (ii) if a Change of</w:t>
      </w:r>
    </w:p>
    <w:p>
      <w:pPr>
        <w:spacing w:after="0" w:line="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Control shall not have occurred, (A)(l) by Independent Counsel, if Indemnitee shall request in writing that such determination be made by Independent Counsel upon making Indemnitee’s request for indemnification pursuant to the second sentence of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(2) by the Board of Directors of the Company, by a majority vote of Disinterested Directors even though less than a quorum, or (3) by a committee of Disinterested Directors designated by majority vote of Disinterested Directors, even though less than a quorum, or (B) if there are no such Disinterested Directors or, even if there are such Disinterested Directors, if the Board of Directors, by the majority vote of Disinterested Directors, so directs, by Independent Counsel in a written opinion to the Board of Directors, a copy of which shall be delivered to Indemnitee.</w:t>
      </w:r>
    </w:p>
    <w:p>
      <w:pPr>
        <w:spacing w:after="0" w:line="198" w:lineRule="exact"/>
        <w:rPr>
          <w:sz w:val="20"/>
          <w:szCs w:val="20"/>
          <w:color w:val="auto"/>
        </w:rPr>
      </w:pPr>
    </w:p>
    <w:p>
      <w:pPr>
        <w:jc w:val="both"/>
        <w:ind w:firstLine="1304"/>
        <w:spacing w:after="0" w:line="253" w:lineRule="auto"/>
        <w:tabs>
          <w:tab w:leader="none" w:pos="176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determination of entitlement to indemnification is to be made by Independent Counsel pursuant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hereof, the Independent Counsel shall be selected by the Board of Directors and approved by Indemnitee. Upon failure of the Board of Directors to so select, or upon the failure of Indemnitee to so approve, such Independent Counsel within 20 days after submission by Indemnitee of a written request for indemnification pursuant to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hereof, the Independent Counsel shall be selected by the Court of Chancery of the State of Delaware or such other person or body as the Indemnitee and the Company may agree in writing. Such determination of entitlement to indemnification shall be made not later than forty-five (45) days after receipt by the Company of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request for indemnification. If the person making such determination shall determine that Indemnitee is entitled to indemnification as to part (but not all) of the application for indemnification, such person shall reasonably pro-rate such part of indemnification among such claims, issues or matters. If it is so determined that Indemnitee is entitled to indemnification, payment to Indemnitee shall be made within ten (10) days after such determination.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hereof, and the Company shall pay all reasonable fees and expenses incident to the procedures of this </w:t>
      </w:r>
      <w:r>
        <w:rPr>
          <w:rFonts w:ascii="Times New Roman" w:cs="Times New Roman" w:eastAsia="Times New Roman" w:hAnsi="Times New Roman"/>
          <w:sz w:val="20"/>
          <w:szCs w:val="20"/>
          <w:u w:val="single" w:color="auto"/>
          <w:color w:val="auto"/>
        </w:rPr>
        <w:t>Section 7(c)</w:t>
      </w:r>
      <w:r>
        <w:rPr>
          <w:rFonts w:ascii="Times New Roman" w:cs="Times New Roman" w:eastAsia="Times New Roman" w:hAnsi="Times New Roman"/>
          <w:sz w:val="20"/>
          <w:szCs w:val="20"/>
          <w:color w:val="auto"/>
        </w:rPr>
        <w:t>, regardless of the manner in which such Independent Counsel was selected or appointed.</w:t>
      </w:r>
    </w:p>
    <w:p>
      <w:pPr>
        <w:spacing w:after="0" w:line="179" w:lineRule="exact"/>
        <w:rPr>
          <w:sz w:val="20"/>
          <w:szCs w:val="20"/>
          <w:color w:val="auto"/>
        </w:rPr>
      </w:pPr>
    </w:p>
    <w:p>
      <w:pPr>
        <w:jc w:val="both"/>
        <w:ind w:firstLine="1304"/>
        <w:spacing w:after="0" w:line="251" w:lineRule="auto"/>
        <w:tabs>
          <w:tab w:leader="none" w:pos="173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determination (including a determination by the Court of Chancery of the State of Delaware (or other court of competent jurisdiction)) with respect to entitlement to indemnification hereunder, the burden of proof shall be on the Company to establish that Indemnitee is not entitled to indemnification and any decision that Indemnitee is not entitled to indemnification must be supported by clear and convincing evidence.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or an actual determination by the Company (including by its directors or Independent Counsel) that Indemnitee has not met such applicable standard of conduct, shall not be a defense to the action or create a presumption that Indemnitee has not met the applicable standard of conduct.</w:t>
      </w:r>
    </w:p>
    <w:p>
      <w:pPr>
        <w:spacing w:after="0" w:line="19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9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making a determination with respect to whether Indemnitee acted in good faith and in a manner that Indemnitee reasonably believed to be in or not opposed to the best interests of the Company, the person or persons or entity making such determination shall presume that Indemnitee acted in good faith and in a manner that Indemnitee reasonably believed to be in or not opposed to the best interests of the Company. Anyone seeking to overcome this presumption shall have the burden of proof and any decision that Indemnitee is not entitled to indemnification must be supported by clear and convincing evidence. In addition, and in no way limiting the provisions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Indemnitee shall be deemed to have acted in good faith and in a manner Indemnitee reasonably believed to be in or not opposed to the best interests of the Enterprise, or with respect to any criminal action or proceeding to have had no reasonable cause to believe Indemnitee’s conduct was unlawful, if Indemnitee’s action is based on (i) the records or books of account of the Enterprise, (ii) information supplied to Indemnitee by the officers of the Enterprise in the course of their duties, (iii) the advice of legal counsel for the Enterprise or (iv) information or records given or reports made to the Enterprise by an independent certified public accountant or by an appraiser or other expert selected with reasonable care by the Enterprise;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failure by Indemnitee to act on the advice of legal counsel for the Enterprise shall not, in and of itself, constitute grounds for an adverse determination with respect to whether Indemnitee acted in good faith and in a manner that Indemnitee reasonably believed to be in or not opposed to the best interests of the Company. In addition, the knowledge and/or actions, or failure to act, of any director, officer, agent or employee of the Enterprise shall not be imputed to Indemnitee for purposes of determining the right to indemnification under this Agreement.</w:t>
      </w:r>
    </w:p>
    <w:p>
      <w:pPr>
        <w:spacing w:after="0" w:line="200"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1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person, persons or entity empowered or selected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request for indemnification, or (ii) a prohibition of such indemnification under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so notifies the Indemnitee.</w:t>
      </w:r>
    </w:p>
    <w:p>
      <w:pPr>
        <w:spacing w:after="0" w:line="187" w:lineRule="exact"/>
        <w:rPr>
          <w:sz w:val="20"/>
          <w:szCs w:val="20"/>
          <w:color w:val="auto"/>
        </w:rPr>
      </w:pPr>
    </w:p>
    <w:p>
      <w:pPr>
        <w:jc w:val="both"/>
        <w:ind w:firstLine="1304"/>
        <w:spacing w:after="0" w:line="251" w:lineRule="auto"/>
        <w:tabs>
          <w:tab w:leader="none" w:pos="176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of Directors shall act reasonably and in good faith in making a determination regarding the Indemnitee’s entitlement to indemnification under this Agreement. Any Expenses incurred by Indemnitee in so cooperating with the person, persons or entity making such determination shall be borne by the Company (irrespective of the determination as to Indemnitee’s entitlement to indemnification) and the Company hereby agrees to indemnify and hold Indemnitee harmless in full therefrom.</w:t>
      </w:r>
    </w:p>
    <w:p>
      <w:pPr>
        <w:spacing w:after="0" w:line="19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32"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acknowledges that a settlement or other disposition short of final judgment may be successful if it permits a party to avoid expense, delay, distraction, disruption and uncertainty. In the event that any Proceeding to which Indemnitee is or becomes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78" w:lineRule="exact"/>
        <w:rPr>
          <w:rFonts w:ascii="Times New Roman" w:cs="Times New Roman" w:eastAsia="Times New Roman" w:hAnsi="Times New Roman"/>
          <w:sz w:val="20"/>
          <w:szCs w:val="20"/>
          <w:color w:val="auto"/>
        </w:rPr>
      </w:pPr>
    </w:p>
    <w:p>
      <w:pPr>
        <w:jc w:val="both"/>
        <w:ind w:firstLine="1304"/>
        <w:spacing w:after="0" w:line="257" w:lineRule="auto"/>
        <w:tabs>
          <w:tab w:leader="none" w:pos="1679"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under this Agreement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72"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of Indemnitee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49"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(i) a determination is made pursuant to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this Agreement, (iii) no determination of entitlement to indemnification is made pursuant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of this Agreement within ninety (90) days after receipt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of the request for indemnification, (iv) payment of indemnification is not made pursuant to this Agreement within fifty-five</w:t>
      </w:r>
    </w:p>
    <w:p>
      <w:pPr>
        <w:spacing w:after="0" w:line="6" w:lineRule="exact"/>
        <w:rPr>
          <w:sz w:val="20"/>
          <w:szCs w:val="20"/>
          <w:color w:val="auto"/>
        </w:rPr>
      </w:pPr>
    </w:p>
    <w:p>
      <w:pPr>
        <w:jc w:val="both"/>
        <w:ind w:firstLine="8"/>
        <w:spacing w:after="0" w:line="251" w:lineRule="auto"/>
        <w:tabs>
          <w:tab w:leader="none" w:pos="3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Indemnitee shall be entitled to an adjudication in an appropriate court of the State of Delaware, or in any other court of competent jurisdiction, of Indemnitee’s entitlement to such indemnification and/or advancement of Expenses. The Company shall not oppose Indemnitee’s right to seek any such adjudication.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22" w:lineRule="exact"/>
        <w:rPr>
          <w:sz w:val="20"/>
          <w:szCs w:val="20"/>
          <w:color w:val="auto"/>
        </w:rPr>
      </w:pPr>
    </w:p>
    <w:p>
      <w:pPr>
        <w:jc w:val="both"/>
        <w:ind w:firstLine="1304"/>
        <w:spacing w:after="0" w:line="254" w:lineRule="auto"/>
        <w:tabs>
          <w:tab w:leader="none" w:pos="177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determination shall have been made pursuant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conducted in all respects as a de novo trial on the merits, in which (i) the Indemnitee shall not be prejudiced by reason of the adverse determination under </w:t>
      </w:r>
      <w:r>
        <w:rPr>
          <w:rFonts w:ascii="Times New Roman" w:cs="Times New Roman" w:eastAsia="Times New Roman" w:hAnsi="Times New Roman"/>
          <w:sz w:val="20"/>
          <w:szCs w:val="20"/>
          <w:u w:val="single" w:color="auto"/>
          <w:color w:val="auto"/>
        </w:rPr>
        <w:t>Section 7(b), and (ii)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Company shall bear the burden of establishing that Indemnitee is not entitled to indemnification</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determination shall have been made pursuant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of this Agreement that Indemnitee is entitled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indemnification, the Company shall be bound by such determination in any judicial proceeding commenced pursuant to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absent</w:t>
      </w:r>
    </w:p>
    <w:p>
      <w:pPr>
        <w:spacing w:after="0" w:line="18" w:lineRule="exact"/>
        <w:rPr>
          <w:sz w:val="20"/>
          <w:szCs w:val="20"/>
          <w:color w:val="auto"/>
        </w:rPr>
      </w:pPr>
    </w:p>
    <w:p>
      <w:pPr>
        <w:jc w:val="both"/>
        <w:ind w:firstLine="8"/>
        <w:spacing w:after="0" w:line="249" w:lineRule="auto"/>
        <w:tabs>
          <w:tab w:leader="none" w:pos="26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9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833"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the Indemnitee commences a proceeding seeking (1) to establish or enforce the Indemnitee’s entitlement to indemnification or advancement pursuant to this Agreement, (2) to otherwise enforce Indemnitee’s rights under or to interpret the terms of this Agreement, (3) to recover damages for breach of this Agreement, (4) to establish or enforce Indemnitee’s entitlement to indemnification or advancement pursuant to the Certificate or the Bylaws, or (5) to enforce or interpret the terms of any liability insurance policy maintained by the Company (each such proceeding an “</w:t>
      </w:r>
      <w:r>
        <w:rPr>
          <w:rFonts w:ascii="Times New Roman" w:cs="Times New Roman" w:eastAsia="Times New Roman" w:hAnsi="Times New Roman"/>
          <w:sz w:val="20"/>
          <w:szCs w:val="20"/>
          <w:u w:val="single" w:color="auto"/>
          <w:color w:val="auto"/>
        </w:rPr>
        <w:t>Indemnitee Enforcement Proceeding</w:t>
      </w:r>
      <w:r>
        <w:rPr>
          <w:rFonts w:ascii="Times New Roman" w:cs="Times New Roman" w:eastAsia="Times New Roman" w:hAnsi="Times New Roman"/>
          <w:sz w:val="20"/>
          <w:szCs w:val="20"/>
          <w:color w:val="auto"/>
        </w:rPr>
        <w:t>”), or (b) the Company commences a proceeding against the Indemnitee seeking (1) to recover, pursuant to an undertaking or otherwise, amounts previously advanced to Indemnitee, (2) to enforce the Company’s rights under or to interpret the terms of this Agreement, or (3) to recover damages for breach of this Agreement (each such proceeding a “</w:t>
      </w:r>
      <w:r>
        <w:rPr>
          <w:rFonts w:ascii="Times New Roman" w:cs="Times New Roman" w:eastAsia="Times New Roman" w:hAnsi="Times New Roman"/>
          <w:sz w:val="20"/>
          <w:szCs w:val="20"/>
          <w:u w:val="single" w:color="auto"/>
          <w:color w:val="auto"/>
        </w:rPr>
        <w:t>Company Enforcement Proceeding</w:t>
      </w:r>
      <w:r>
        <w:rPr>
          <w:rFonts w:ascii="Times New Roman" w:cs="Times New Roman" w:eastAsia="Times New Roman" w:hAnsi="Times New Roman"/>
          <w:sz w:val="20"/>
          <w:szCs w:val="20"/>
          <w:color w:val="auto"/>
        </w:rPr>
        <w:t>” and together with each form of Indemnitee Enforcement Proceeding, an “</w:t>
      </w:r>
      <w:r>
        <w:rPr>
          <w:rFonts w:ascii="Times New Roman" w:cs="Times New Roman" w:eastAsia="Times New Roman" w:hAnsi="Times New Roman"/>
          <w:sz w:val="20"/>
          <w:szCs w:val="20"/>
          <w:u w:val="single" w:color="auto"/>
          <w:color w:val="auto"/>
        </w:rPr>
        <w:t>Enforcement Proceeding</w:t>
      </w:r>
      <w:r>
        <w:rPr>
          <w:rFonts w:ascii="Times New Roman" w:cs="Times New Roman" w:eastAsia="Times New Roman" w:hAnsi="Times New Roman"/>
          <w:sz w:val="20"/>
          <w:szCs w:val="20"/>
          <w:color w:val="auto"/>
        </w:rPr>
        <w:t xml:space="preserve">”), then the Indemnitee shall be entitled to recover from the Company, and shall be indemnified by the Company against, any and all Expenses actually and reasonably incurred by or on behalf of such Indemnitee in connection with such Enforcement Proceeding, regardless of whether Indemnitee ultimately is determined to be entitled to such indemnification, advancement of Expenses or insurance recovery. The Company also shall be required to advance all Expenses actually and reasonably incurred by or on behalf of the Indemnitee in connection with any Enforcement Proceeding in advance of the final disposition of such Enforcement Proceeding within thirty (30) days after the receipt by the Company of a written request for such advance or advances from time to time, which request shall include or be accompanied by a statement or statements reasonably evidencing the Expenses incurred by or on behalf of the Indemnitee and for which advancement is requested;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advancement shall be made only after the Company receives an undertaking by or on behalf of the Indemnitee to repay any Expenses so advanced if it shall be finally determined that Indemnitee is not entitled to be indemnified against such Expenses.</w:t>
      </w:r>
    </w:p>
    <w:p>
      <w:pPr>
        <w:spacing w:after="0" w:line="200"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7"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be precluded from asserting in any judicial proceeding commenced pursuant to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that the procedures and presumptions of this Agreement are not valid, binding and enforceable and shall stipulate in any such court that the Company is bound by all the provisions of this Agreement.</w:t>
      </w:r>
    </w:p>
    <w:p>
      <w:pPr>
        <w:spacing w:after="0" w:line="167" w:lineRule="exact"/>
        <w:rPr>
          <w:rFonts w:ascii="Times New Roman" w:cs="Times New Roman" w:eastAsia="Times New Roman" w:hAnsi="Times New Roman"/>
          <w:sz w:val="20"/>
          <w:szCs w:val="20"/>
          <w:color w:val="auto"/>
        </w:rPr>
      </w:pPr>
    </w:p>
    <w:p>
      <w:pPr>
        <w:ind w:firstLine="1304"/>
        <w:spacing w:after="0" w:line="283" w:lineRule="auto"/>
        <w:tabs>
          <w:tab w:leader="none" w:pos="1694"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no determination as to entitlement to indemnification under this Agreement shall be required to be made prior to the final disposition of the Proceeding.</w:t>
      </w:r>
    </w:p>
    <w:p>
      <w:pPr>
        <w:spacing w:after="0" w:line="15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Survival of Rights; Insurance; Subrogation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22" w:lineRule="exact"/>
        <w:rPr>
          <w:sz w:val="20"/>
          <w:szCs w:val="20"/>
          <w:color w:val="auto"/>
        </w:rPr>
      </w:pPr>
    </w:p>
    <w:p>
      <w:pPr>
        <w:jc w:val="both"/>
        <w:ind w:firstLine="1304"/>
        <w:spacing w:after="0" w:line="250" w:lineRule="auto"/>
        <w:tabs>
          <w:tab w:leader="none" w:pos="171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indemnification as provided by this Agreement shall not be deemed exclusive of any other rights to which Indemnitee may at any time be entitled under applicable law, the Certificate, the Bylaws, any agreement, a vote of stockholders, a resolution of directors or otherwise. No amendment, alteration or repeal of this Agreement or of any provision hereof shall limit or restrict any right of Indemnitee under this Agreement in respect of any action taken or omitted by such Indemnitee in Indemnitee’s Corporate Status or otherwise prior to such amendment, alteration or repeal. To the extent that a change in the DGCL or applicable law, whether by statute or judicial decision, permits greater indemnification or advancement than would be afforded currently under the Certificate,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Notwithstanding anything in this Agreement to the contrary, the indemnification and contribution provided for in this Agreement will remain in full force and effect regardless of any investigation made by or on behalf of Indemnitee or any of Indemnitee’s agents.</w:t>
      </w:r>
    </w:p>
    <w:p>
      <w:pPr>
        <w:spacing w:after="0" w:line="146" w:lineRule="exact"/>
        <w:rPr>
          <w:sz w:val="20"/>
          <w:szCs w:val="20"/>
          <w:color w:val="auto"/>
        </w:rPr>
      </w:pPr>
    </w:p>
    <w:p>
      <w:pPr>
        <w:jc w:val="both"/>
        <w:ind w:firstLine="1304"/>
        <w:spacing w:after="0" w:line="252" w:lineRule="auto"/>
        <w:tabs>
          <w:tab w:leader="none" w:pos="179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Company maintains an insurance policy or policies providing liability insurance for directors, officers, employees, or agents or fiduciaries of the Company or of any other corporation, partnership, limited liability company,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 agent or fiduciary under such policy or policies. If, at the time of the receipt of a notice of a claim pursuant to the terms hereof, the Company has director and officer liability or other applicable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8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9(f)</w:t>
      </w:r>
      <w:r>
        <w:rPr>
          <w:rFonts w:ascii="Times New Roman" w:cs="Times New Roman" w:eastAsia="Times New Roman" w:hAnsi="Times New Roman"/>
          <w:sz w:val="20"/>
          <w:szCs w:val="20"/>
          <w:color w:val="auto"/>
        </w:rPr>
        <w:t>, except as otherwise agreed between the Company, on the one hand, and Indemnitee or another indemnitor of Indemnitee, on the other, in the event of any payment to or on behalf of the Indemnitee under this Agreement, the Company shall be subrogated to the extent of such payment to all of the rights of recovery of Indemnitee, who shall execute all papers reasonably required and take all action reasonably necessary to secure such rights, including execution of such documents as are necessary to enable the Company to bring suit to enforce such rights.</w:t>
      </w:r>
    </w:p>
    <w:p>
      <w:pPr>
        <w:spacing w:after="0" w:line="19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9(f</w:t>
      </w:r>
      <w:r>
        <w:rPr>
          <w:rFonts w:ascii="Times New Roman" w:cs="Times New Roman" w:eastAsia="Times New Roman" w:hAnsi="Times New Roman"/>
          <w:sz w:val="20"/>
          <w:szCs w:val="20"/>
          <w:color w:val="auto"/>
        </w:rPr>
        <w:t>), except as otherwise agreed between the Company, on the one hand, and Indemnitee or another indemnitor of Indemnitee, on the other, the Company shall not be liable under this Agreement to make any payment of amounts otherwise indemnifiable hereunder if and to the extent that Indemnitee has otherwise actually received such payment under any Company insurance policy, Company contract, Company agreement or otherwise (except to the extent that Indemnitee is required (by court order or otherwise) to return such payment or to surrender it to the Company).</w:t>
      </w:r>
    </w:p>
    <w:p>
      <w:pPr>
        <w:spacing w:after="0" w:line="19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9(f)</w:t>
      </w:r>
      <w:r>
        <w:rPr>
          <w:rFonts w:ascii="Times New Roman" w:cs="Times New Roman" w:eastAsia="Times New Roman" w:hAnsi="Times New Roman"/>
          <w:sz w:val="20"/>
          <w:szCs w:val="20"/>
          <w:color w:val="auto"/>
        </w:rPr>
        <w:t>, except as otherwise agreed between the Company, on the one hand, and Indemnitee or another indemnitor of Indemnitee, on the other, the Company’s obligation to indemnify or advance Expenses hereunder to Indemnitee who is or was serving at the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Company as a director, officer, employee or agent of any other corporation, partnership, limited liability company, joint venture, trust, employee benefit plan or other Enterprise shall be reduced by any amount Indemnitee has actually received as indemnification or advancement of Expenses from such other corporation, partnership, limited liability company, joint venture, trust, employee benefit plan or other enterprise (except to the extent that Indemnitee is required (by court order or otherwise) to return such payment or to surrender it to the Company).</w:t>
      </w:r>
    </w:p>
    <w:p>
      <w:pPr>
        <w:spacing w:after="0" w:line="192" w:lineRule="exact"/>
        <w:rPr>
          <w:sz w:val="20"/>
          <w:szCs w:val="20"/>
          <w:color w:val="auto"/>
        </w:rPr>
      </w:pPr>
    </w:p>
    <w:p>
      <w:pPr>
        <w:jc w:val="both"/>
        <w:ind w:firstLine="1304"/>
        <w:spacing w:after="0" w:line="249" w:lineRule="auto"/>
        <w:tabs>
          <w:tab w:leader="none" w:pos="1707"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acknowledges that Indemnitee is serving as a director or officer of the Company at the request of the Company or its Board of Directors. The Company hereby further acknowledges that Indemnitee might have certain rights to indemnification, advancement of Expenses and/or insurance coverage provided by one or more third parties other than the Company and its insurers (collectively, the “</w:t>
      </w:r>
      <w:r>
        <w:rPr>
          <w:rFonts w:ascii="Times New Roman" w:cs="Times New Roman" w:eastAsia="Times New Roman" w:hAnsi="Times New Roman"/>
          <w:sz w:val="20"/>
          <w:szCs w:val="20"/>
          <w:u w:val="single" w:color="auto"/>
          <w:color w:val="auto"/>
        </w:rPr>
        <w:t>Third Party Indemnitors</w:t>
      </w:r>
      <w:r>
        <w:rPr>
          <w:rFonts w:ascii="Times New Roman" w:cs="Times New Roman" w:eastAsia="Times New Roman" w:hAnsi="Times New Roman"/>
          <w:sz w:val="20"/>
          <w:szCs w:val="20"/>
          <w:color w:val="auto"/>
        </w:rPr>
        <w:t xml:space="preserve">”). The Company hereby agrees that: (i) as between the Company and any Third Party Indemnitor, the Company is the indemnitor of first resort (i.e., its obligations to Indemnitee are primary and any obligation of any Third Party Indemnitor to advance Expenses or to provide indemnification or insurance coverage for the same Expenses or liabilities incurred by Indemnitee are secondary); (ii) it shall be required to advance the full amount of Expenses incurred by or on behalf of Indemnitee and shall be liable for the full amount of all judgments or amounts paid in settlement to the extent legally permitted and as required by the terms of this Agreement, the Certificate or the Bylaws (or any other agreement between the Company and Indemnitee), without regard to any rights Indemnitee may have against any Third Party Indemnitor; and (iii) it hereby irrevocably and unconditionally waives, relinquishes and releases any and all Third Party Indemnitors from any and all claims against the Third Party Indemnitors (or any of them) for contribution, subrogation or any other recovery of any kind in respect thereof. The Company further agrees that no advancement or payment by any Third Party Indemnitor on behalf of Indemnitee with respect to any claim for which Indemnitee has sought indemnification from the Company shall affect the foregoing in any respect and the Third Party Indemnitors shall have a right of contribution and/or be subrogated to the extent of such advancement or payment to all of the rights of recovery of Indemnitee against the Company. The Company and Indemnitee agree that the Third Party Indemnitors are express third party beneficiaries of the terms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1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 to Right of Indemnification</w:t>
      </w:r>
      <w:r>
        <w:rPr>
          <w:rFonts w:ascii="Times New Roman" w:cs="Times New Roman" w:eastAsia="Times New Roman" w:hAnsi="Times New Roman"/>
          <w:sz w:val="20"/>
          <w:szCs w:val="20"/>
          <w:color w:val="auto"/>
        </w:rPr>
        <w:t>. Notwithstanding any provision in this Agreement, the Company shall not be obligated under this Agreement to make any indemnity in connection with any claim made against Indemnitee:</w:t>
      </w:r>
    </w:p>
    <w:p>
      <w:pPr>
        <w:spacing w:after="0" w:line="146"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16"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Indemnitee under any insurance policy, or other indemnity provision or otherwise, except with respect to any excess beyond the amount so paid, and except as may otherwise be agreed between the Company, on the one hand, and Indemnitee or another indemnitor of Indemnitee, on the other;</w:t>
      </w:r>
    </w:p>
    <w:p>
      <w:pPr>
        <w:spacing w:after="0" w:line="161" w:lineRule="exact"/>
        <w:rPr>
          <w:rFonts w:ascii="Times New Roman" w:cs="Times New Roman" w:eastAsia="Times New Roman" w:hAnsi="Times New Roman"/>
          <w:sz w:val="20"/>
          <w:szCs w:val="20"/>
          <w:color w:val="auto"/>
        </w:rPr>
      </w:pPr>
    </w:p>
    <w:p>
      <w:pPr>
        <w:ind w:right="20" w:firstLine="1304"/>
        <w:spacing w:after="0" w:line="283" w:lineRule="auto"/>
        <w:tabs>
          <w:tab w:leader="none" w:pos="1756"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accounting of profits made from the purchase and sale (or sale and purchase) by Indemnitee of securities of the Company within the meaning of Section 16(b) of the Act, as amended, or similar provisions of state statutory law or common law; or</w:t>
      </w:r>
    </w:p>
    <w:p>
      <w:pPr>
        <w:spacing w:after="0" w:line="146"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5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Proceeding (or any part of any Proceeding) initiated by Indemnitee, including any Proceeding (or any part of any Proceeding) initiated by Indemnitee against the Company or any of its direct or indirect subsidiaries or the directors, officers, employees or other indemnitees of the Company or its direct or indirect subsidiaries (other than any Proceeding initiated by Indemnitee pursuant to </w:t>
      </w:r>
      <w:r>
        <w:rPr>
          <w:rFonts w:ascii="Times New Roman" w:cs="Times New Roman" w:eastAsia="Times New Roman" w:hAnsi="Times New Roman"/>
          <w:sz w:val="20"/>
          <w:szCs w:val="20"/>
          <w:u w:val="single" w:color="auto"/>
          <w:color w:val="auto"/>
        </w:rPr>
        <w:t>Section 8(d)</w:t>
      </w:r>
      <w:r>
        <w:rPr>
          <w:rFonts w:ascii="Times New Roman" w:cs="Times New Roman" w:eastAsia="Times New Roman" w:hAnsi="Times New Roman"/>
          <w:sz w:val="20"/>
          <w:szCs w:val="20"/>
          <w:color w:val="auto"/>
        </w:rPr>
        <w:t>, which shall be governed by the terms of such section), unless (i) the Board of Directors of the Company authorized the Proceeding (or any part of any Proceeding) prior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initiation or (ii) the Company provides the indemnification, in its sole discretion, pursuant to the powers vested in the Company under applicable law, or (iii) the Proceeding is initiated by Indemnitee (a) by way of defense or counterclaim or other similar portion of a Proceeding, (b) to enforce any other rights of Indemnitee to indemnification, advancement or contribution under this Agreement, or rights under any other contract, by-laws or charter or under statute or other law, (c) after a Change in Control, (d) where the Company has joined in to the initiation of such Proceedings, or (e) in which any of the defenses or counterclaims by the Company are indemnifiable under this Agreement if initiated by the Company</w:t>
      </w:r>
    </w:p>
    <w:p>
      <w:pPr>
        <w:spacing w:after="0" w:line="179" w:lineRule="exact"/>
        <w:rPr>
          <w:sz w:val="20"/>
          <w:szCs w:val="20"/>
          <w:color w:val="auto"/>
        </w:rPr>
      </w:pPr>
    </w:p>
    <w:p>
      <w:pPr>
        <w:jc w:val="both"/>
        <w:ind w:firstLine="656"/>
        <w:spacing w:after="0" w:line="261" w:lineRule="auto"/>
        <w:tabs>
          <w:tab w:leader="none" w:pos="109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To the extent requested by Indemnitee and approved by the Board of Directors of the Company,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7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31"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expressly confirms and agrees that it has entered into this Agreement and assumes the obligations imposed on it hereby in order to induce Indemnitee to serve or continue serving as an officer or director of the Company, and the Company acknowledges that Indemnitee is relying upon this Agreement in serving as an officer or director of the Company.</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8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that this Agreement has been approved by the Company’s Board of Directors.</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3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hereof shall in no way affect the validity or enforceability of any other provision hereof.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and Waiver</w:t>
      </w:r>
      <w:r>
        <w:rPr>
          <w:rFonts w:ascii="Times New Roman" w:cs="Times New Roman" w:eastAsia="Times New Roman" w:hAnsi="Times New Roman"/>
          <w:sz w:val="20"/>
          <w:szCs w:val="20"/>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6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7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By Indemnitee</w:t>
      </w:r>
      <w:r>
        <w:rPr>
          <w:rFonts w:ascii="Times New Roman" w:cs="Times New Roman" w:eastAsia="Times New Roman" w:hAnsi="Times New Roman"/>
          <w:sz w:val="20"/>
          <w:szCs w:val="20"/>
          <w:color w:val="auto"/>
        </w:rPr>
        <w:t>. Indemnitee agrees to promptly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2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of any obligation which it may have to Indemnitee under this Agreement or otherwise unless and only to the extent that such failure or delay materially prejudices the Company.</w:t>
      </w:r>
    </w:p>
    <w:p>
      <w:pPr>
        <w:spacing w:after="0" w:line="173" w:lineRule="exact"/>
        <w:rPr>
          <w:sz w:val="20"/>
          <w:szCs w:val="20"/>
          <w:color w:val="auto"/>
        </w:rPr>
      </w:pPr>
    </w:p>
    <w:p>
      <w:pPr>
        <w:ind w:firstLine="656"/>
        <w:spacing w:after="0" w:line="269" w:lineRule="auto"/>
        <w:tabs>
          <w:tab w:leader="none" w:pos="1107"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of Payments</w:t>
      </w:r>
      <w:r>
        <w:rPr>
          <w:rFonts w:ascii="Times New Roman" w:cs="Times New Roman" w:eastAsia="Times New Roman" w:hAnsi="Times New Roman"/>
          <w:sz w:val="20"/>
          <w:szCs w:val="20"/>
          <w:color w:val="auto"/>
        </w:rPr>
        <w:t>. Except as expressly required by any law, neither party shall publicly disclose any payments under this Agreement unless prior approval of the other party is obtained.</w:t>
      </w:r>
    </w:p>
    <w:p>
      <w:pPr>
        <w:spacing w:after="0" w:line="172" w:lineRule="exact"/>
        <w:rPr>
          <w:rFonts w:ascii="Times New Roman" w:cs="Times New Roman" w:eastAsia="Times New Roman" w:hAnsi="Times New Roman"/>
          <w:sz w:val="20"/>
          <w:szCs w:val="20"/>
          <w:color w:val="auto"/>
        </w:rPr>
      </w:pPr>
    </w:p>
    <w:p>
      <w:pPr>
        <w:jc w:val="both"/>
        <w:ind w:firstLine="656"/>
        <w:spacing w:after="0" w:line="267" w:lineRule="auto"/>
        <w:tabs>
          <w:tab w:leader="none" w:pos="1147"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Unless otherwise provided herein, any notice required or permitted under this Agreement shall be deemed effective upon the earlier of (a) actual receipt, or (b) (i) one (1) business day after the date of delivery by confirmed facsimile transmission, (ii) one (1) business day after the business day of deposit with a nationally recognized overnight courier service for next day delivery, freight prepaid, or</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35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(3) business days after deposit with the United States Post Office for delivery by registered or certified mail, postage prepaid. Any such notice shall be in writing and shall be addressed to the party to be notified at the address indicated for such party indicated on the signature pages or exhibits hereto, as otherwise set forth in this Section 18, or at such other address as such party may designate by ten (10) days’ advance written notice to the other parties. All communications shall be sent:</w:t>
      </w:r>
    </w:p>
    <w:p>
      <w:pPr>
        <w:spacing w:after="0" w:line="17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Indemnitee at the address set forth below Indemnitee’s signature hereto.</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 at its principal executive office;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to such other address as may have been furnished to Indemnitee by the Company or to the Company by Indemnitee, as the case may be.</w:t>
      </w:r>
    </w:p>
    <w:p>
      <w:pPr>
        <w:spacing w:after="0" w:line="229" w:lineRule="exact"/>
        <w:rPr>
          <w:sz w:val="20"/>
          <w:szCs w:val="20"/>
          <w:color w:val="auto"/>
        </w:rPr>
      </w:pPr>
    </w:p>
    <w:p>
      <w:pPr>
        <w:jc w:val="both"/>
        <w:ind w:firstLine="656"/>
        <w:spacing w:after="0" w:line="261" w:lineRule="auto"/>
        <w:tabs>
          <w:tab w:leader="none" w:pos="109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deemed an original, but all of which together shall constitute one and the same Agreement. This Agreement may also be executed and delivered by facsimile or electronic signature.</w:t>
      </w:r>
    </w:p>
    <w:p>
      <w:pPr>
        <w:spacing w:after="0" w:line="181" w:lineRule="exact"/>
        <w:rPr>
          <w:rFonts w:ascii="Times New Roman" w:cs="Times New Roman" w:eastAsia="Times New Roman" w:hAnsi="Times New Roman"/>
          <w:sz w:val="20"/>
          <w:szCs w:val="20"/>
          <w:color w:val="auto"/>
        </w:rPr>
      </w:pPr>
    </w:p>
    <w:p>
      <w:pPr>
        <w:ind w:right="20" w:firstLine="656"/>
        <w:spacing w:after="0" w:line="269" w:lineRule="auto"/>
        <w:tabs>
          <w:tab w:leader="none" w:pos="113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sections and subsections of this Agreement are inserted for convenience only and shall not be deemed to constitute part of this Agreement or to affect the construction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65" w:lineRule="auto"/>
        <w:tabs>
          <w:tab w:leader="none" w:pos="1147"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and Consent to Jurisdiction</w:t>
      </w:r>
      <w:r>
        <w:rPr>
          <w:rFonts w:ascii="Times New Roman" w:cs="Times New Roman" w:eastAsia="Times New Roman" w:hAnsi="Times New Roman"/>
          <w:sz w:val="19"/>
          <w:szCs w:val="19"/>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9"/>
          <w:szCs w:val="19"/>
          <w:u w:val="single" w:color="auto"/>
          <w:color w:val="auto"/>
        </w:rPr>
        <w:t>Delaware Court</w:t>
      </w:r>
      <w:r>
        <w:rPr>
          <w:rFonts w:ascii="Times New Roman" w:cs="Times New Roman" w:eastAsia="Times New Roman" w:hAnsi="Times New Roman"/>
          <w:sz w:val="19"/>
          <w:szCs w:val="19"/>
          <w:color w:val="auto"/>
        </w:rPr>
        <w:t xml:space="preserve">”),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any summons and complaint and any other process that may be served in any action, suit, or proceeding arising out of or relating to this Agreement by mailing by certified or registered mail, with postage prepaid, copies of such process to such party at its address for receiving notice pursuant to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xml:space="preserve"> hereof, (iv) waive any objection to the laying of venue of any such action or proceeding in the Delaware Court, and (v) waive, and agree not to plead or to make, any claim that any such action or proceeding brought in the Delaware Court has been brought in an improper or inconvenient forum. Nothing herein shall preclude service of process by any other means permitted by applicable law.</w:t>
      </w:r>
    </w:p>
    <w:p>
      <w:pPr>
        <w:spacing w:after="0" w:line="167" w:lineRule="exact"/>
        <w:rPr>
          <w:rFonts w:ascii="Times New Roman" w:cs="Times New Roman" w:eastAsia="Times New Roman" w:hAnsi="Times New Roman"/>
          <w:sz w:val="19"/>
          <w:szCs w:val="19"/>
          <w:color w:val="auto"/>
        </w:rPr>
      </w:pPr>
    </w:p>
    <w:p>
      <w:pPr>
        <w:ind w:firstLine="656"/>
        <w:spacing w:after="0" w:line="283" w:lineRule="auto"/>
        <w:tabs>
          <w:tab w:leader="none" w:pos="116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Neither party hereto may assign this Agreement without the prior written consent of the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may assign this Agreement upon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22" w:lineRule="exact"/>
        <w:rPr>
          <w:sz w:val="20"/>
          <w:szCs w:val="20"/>
          <w:color w:val="auto"/>
        </w:rPr>
      </w:pPr>
    </w:p>
    <w:p>
      <w:pPr>
        <w:jc w:val="both"/>
        <w:ind w:left="-20" w:firstLine="656"/>
        <w:spacing w:after="0" w:line="261" w:lineRule="auto"/>
        <w:tabs>
          <w:tab w:leader="none" w:pos="116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parties acknowledge that both parties have contributed to the drafting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40" w:top="1440" w:right="339" w:bottom="1440" w:gutter="0" w:footer="0" w:header="0"/>
        </w:sectPr>
      </w:pPr>
    </w:p>
    <w:bookmarkStart w:id="94" w:name="page95"/>
    <w:bookmarkEnd w:id="94"/>
    <w:tbl>
      <w:tblPr>
        <w:tblLayout w:type="fixed"/>
        <w:tblInd w:w="66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w w:val="99"/>
              </w:rPr>
              <w:t>IN WITNESS WHEREOF, the parties have executed this Agreement as of</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20__.</w:t>
            </w:r>
          </w:p>
        </w:tc>
      </w:tr>
      <w:tr>
        <w:trPr>
          <w:trHeight w:val="20"/>
        </w:trPr>
        <w:tc>
          <w:tcPr>
            <w:tcW w:w="5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125730</wp:posOffset>
            </wp:positionV>
            <wp:extent cx="24688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Howard Hughes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125730</wp:posOffset>
            </wp:positionV>
            <wp:extent cx="24688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Address:</w:t>
      </w:r>
    </w:p>
    <w:p>
      <w:pPr>
        <w:sectPr>
          <w:pgSz w:w="11900" w:h="16838" w:orient="portrait"/>
          <w:cols w:equalWidth="0" w:num="1">
            <w:col w:w="10139"/>
          </w:cols>
          <w:pgMar w:left="320" w:top="1395"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UNDERTAKING</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Reference is hereby made to that certain Indemnification Agreement, by and between Howard Hughes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the undersigned, dated effective as of </w:t>
      </w:r>
      <w:r>
        <w:rPr>
          <w:rFonts w:ascii="Times New Roman" w:cs="Times New Roman" w:eastAsia="Times New Roman" w:hAnsi="Times New Roman"/>
          <w:sz w:val="20"/>
          <w:szCs w:val="20"/>
          <w:u w:val="single" w:color="auto"/>
          <w:color w:val="auto"/>
        </w:rPr>
        <w:t>________________ __</w:t>
      </w:r>
      <w:r>
        <w:rPr>
          <w:rFonts w:ascii="Times New Roman" w:cs="Times New Roman" w:eastAsia="Times New Roman" w:hAnsi="Times New Roman"/>
          <w:sz w:val="20"/>
          <w:szCs w:val="20"/>
          <w:color w:val="auto"/>
        </w:rPr>
        <w:t>, 20</w:t>
      </w:r>
      <w:r>
        <w:rPr>
          <w:rFonts w:ascii="Times New Roman" w:cs="Times New Roman" w:eastAsia="Times New Roman" w:hAnsi="Times New Roman"/>
          <w:sz w:val="20"/>
          <w:szCs w:val="20"/>
          <w:u w:val="single" w:color="auto"/>
          <w:color w:val="auto"/>
        </w:rPr>
        <w:t>__</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Indemnification Agreement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initially capitalized terms used herein and not otherwise defined herein shall have the meanings set forth in the Indemnification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Pursuant to the Indemnification Agreement, I ___________________________, agree to reimburse the Company for all Expenses</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paid to me or on my behalf by the Company in connection with my involvement in [</w:t>
      </w:r>
      <w:r>
        <w:rPr>
          <w:rFonts w:ascii="Times New Roman" w:cs="Times New Roman" w:eastAsia="Times New Roman" w:hAnsi="Times New Roman"/>
          <w:sz w:val="20"/>
          <w:szCs w:val="20"/>
          <w:b w:val="1"/>
          <w:bCs w:val="1"/>
          <w:color w:val="auto"/>
        </w:rPr>
        <w:t>name or description of proceeding or proceedings</w:t>
      </w:r>
      <w:r>
        <w:rPr>
          <w:rFonts w:ascii="Times New Roman" w:cs="Times New Roman" w:eastAsia="Times New Roman" w:hAnsi="Times New Roman"/>
          <w:sz w:val="20"/>
          <w:szCs w:val="20"/>
          <w:color w:val="auto"/>
        </w:rPr>
        <w:t>], in the event, and to the extent, that it shall ultimately be determined (pursuant to the terms of the Indemnification Agreement) that I am not entitled to be indemnified by the Company for such Expenses.</w:t>
      </w:r>
    </w:p>
    <w:p>
      <w:pPr>
        <w:spacing w:after="0" w:line="2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125730</wp:posOffset>
            </wp:positionV>
            <wp:extent cx="27603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Typed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125730</wp:posOffset>
            </wp:positionV>
            <wp:extent cx="27603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6370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Before me ________________________, on this day personally appeared _____________________, known to me to be the person whose</w:t>
      </w:r>
    </w:p>
    <w:p>
      <w:pPr>
        <w:spacing w:after="0" w:line="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name is subscribed to the foregoing instrument, and who, after being duly sworn, stated that the contents of said instrument is to the best of his/her knowledge and belief true and correct and who acknowledged that he/she executed the same for the purpose and consideration therein expressed.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GIVEN under my hand and official seal at _____________, this ___ day of 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631190</wp:posOffset>
            </wp:positionV>
            <wp:extent cx="36518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commission expires:</w:t>
      </w:r>
    </w:p>
    <w:p>
      <w:pPr>
        <w:sectPr>
          <w:pgSz w:w="11900" w:h="16838" w:orient="portrait"/>
          <w:cols w:equalWidth="0" w:num="1">
            <w:col w:w="11240"/>
          </w:cols>
          <w:pgMar w:left="320" w:top="1436"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CERTIFICATION OF CHIEF EXECUTIVE OFFICER PURSUANT TO RULE 13a —</w:t>
      </w:r>
    </w:p>
    <w:p>
      <w:pPr>
        <w:spacing w:after="0" w:line="59"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14(a) ADOPTED PURSUANT TO SECTION 302</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David R. O'Reilly, certify that:</w:t>
      </w:r>
    </w:p>
    <w:p>
      <w:pPr>
        <w:spacing w:after="0" w:line="289"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Howard Hughes Holdings Inc.;</w:t>
      </w:r>
    </w:p>
    <w:p>
      <w:pPr>
        <w:spacing w:after="0" w:line="221" w:lineRule="exact"/>
        <w:rPr>
          <w:rFonts w:ascii="Arial" w:cs="Arial" w:eastAsia="Arial" w:hAnsi="Arial"/>
          <w:sz w:val="16"/>
          <w:szCs w:val="16"/>
          <w:color w:val="auto"/>
        </w:rPr>
      </w:pPr>
    </w:p>
    <w:p>
      <w:pPr>
        <w:jc w:val="both"/>
        <w:ind w:left="660" w:right="120" w:hanging="328"/>
        <w:spacing w:after="0" w:line="319" w:lineRule="auto"/>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6"/>
          <w:szCs w:val="16"/>
          <w:color w:val="auto"/>
        </w:rPr>
      </w:pPr>
    </w:p>
    <w:p>
      <w:pPr>
        <w:ind w:left="660" w:right="240" w:hanging="328"/>
        <w:spacing w:after="0" w:line="356" w:lineRule="auto"/>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60" w:right="240" w:hanging="328"/>
        <w:spacing w:after="0" w:line="319" w:lineRule="auto"/>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300" w:right="240" w:hanging="320"/>
        <w:spacing w:after="0" w:line="319" w:lineRule="auto"/>
        <w:tabs>
          <w:tab w:leader="none" w:pos="129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1300" w:right="160" w:hanging="320"/>
        <w:spacing w:after="0" w:line="319" w:lineRule="auto"/>
        <w:tabs>
          <w:tab w:leader="none" w:pos="129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6"/>
          <w:szCs w:val="16"/>
          <w:color w:val="auto"/>
        </w:rPr>
      </w:pPr>
    </w:p>
    <w:p>
      <w:pPr>
        <w:jc w:val="both"/>
        <w:ind w:left="1300" w:right="160" w:hanging="320"/>
        <w:spacing w:after="0" w:line="356" w:lineRule="auto"/>
        <w:tabs>
          <w:tab w:leader="none" w:pos="128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300" w:right="20" w:hanging="320"/>
        <w:spacing w:after="0" w:line="319" w:lineRule="auto"/>
        <w:tabs>
          <w:tab w:leader="none" w:pos="129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6"/>
          <w:szCs w:val="16"/>
          <w:color w:val="auto"/>
        </w:rPr>
      </w:pPr>
    </w:p>
    <w:p>
      <w:pPr>
        <w:ind w:left="660" w:right="180" w:hanging="328"/>
        <w:spacing w:after="0" w:line="339" w:lineRule="auto"/>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300" w:right="660" w:hanging="320"/>
        <w:spacing w:after="0" w:line="339" w:lineRule="auto"/>
        <w:tabs>
          <w:tab w:leader="none" w:pos="128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6"/>
          <w:szCs w:val="16"/>
          <w:color w:val="auto"/>
        </w:rPr>
      </w:pPr>
    </w:p>
    <w:p>
      <w:pPr>
        <w:ind w:left="1300" w:right="300" w:hanging="320"/>
        <w:spacing w:after="0" w:line="339" w:lineRule="auto"/>
        <w:tabs>
          <w:tab w:leader="none" w:pos="128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35" w:right="339" w:bottom="1440" w:gutter="0" w:footer="0" w:header="0"/>
        </w:sectPr>
      </w:pPr>
    </w:p>
    <w:bookmarkStart w:id="97" w:name="page98"/>
    <w:bookmarkEnd w:id="97"/>
    <w:p>
      <w:pPr>
        <w:spacing w:after="0" w:line="117" w:lineRule="exact"/>
        <w:rPr>
          <w:sz w:val="20"/>
          <w:szCs w:val="20"/>
          <w:color w:val="auto"/>
        </w:rPr>
      </w:pPr>
    </w:p>
    <w:p>
      <w:pPr>
        <w:ind w:left="4560"/>
        <w:spacing w:after="0"/>
        <w:tabs>
          <w:tab w:leader="none" w:pos="5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R.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46355</wp:posOffset>
            </wp:positionV>
            <wp:extent cx="31718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David R. O'Reilly</w:t>
      </w:r>
    </w:p>
    <w:p>
      <w:pPr>
        <w:spacing w:after="0" w:line="7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November 5, 2026</w:t>
      </w:r>
    </w:p>
    <w:p>
      <w:pPr>
        <w:sectPr>
          <w:pgSz w:w="11900" w:h="16838" w:orient="portrait"/>
          <w:cols w:equalWidth="0" w:num="1">
            <w:col w:w="9019"/>
          </w:cols>
          <w:pgMar w:left="1440" w:top="1440"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CERTIFICATION OF CHIEF FINANCIAL OFFICER PURSUANT TO RULE 13a —</w:t>
      </w:r>
    </w:p>
    <w:p>
      <w:pPr>
        <w:spacing w:after="0" w:line="59"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14(a) ADOPTED PURSUANT TO SECTION 302</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Carlos A. Olea, certify that:</w:t>
      </w:r>
    </w:p>
    <w:p>
      <w:pPr>
        <w:spacing w:after="0" w:line="289"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Howard Hughes Holdings Inc.;</w:t>
      </w:r>
    </w:p>
    <w:p>
      <w:pPr>
        <w:spacing w:after="0" w:line="221" w:lineRule="exact"/>
        <w:rPr>
          <w:rFonts w:ascii="Arial" w:cs="Arial" w:eastAsia="Arial" w:hAnsi="Arial"/>
          <w:sz w:val="16"/>
          <w:szCs w:val="16"/>
          <w:color w:val="auto"/>
        </w:rPr>
      </w:pPr>
    </w:p>
    <w:p>
      <w:pPr>
        <w:jc w:val="both"/>
        <w:ind w:left="660" w:right="120" w:hanging="328"/>
        <w:spacing w:after="0" w:line="319"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6"/>
          <w:szCs w:val="16"/>
          <w:color w:val="auto"/>
        </w:rPr>
      </w:pPr>
    </w:p>
    <w:p>
      <w:pPr>
        <w:ind w:left="660" w:right="240" w:hanging="328"/>
        <w:spacing w:after="0" w:line="356"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60" w:right="240" w:hanging="328"/>
        <w:spacing w:after="0" w:line="319"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300" w:right="240" w:hanging="320"/>
        <w:spacing w:after="0" w:line="319" w:lineRule="auto"/>
        <w:tabs>
          <w:tab w:leader="none" w:pos="129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1300" w:right="160" w:hanging="320"/>
        <w:spacing w:after="0" w:line="319" w:lineRule="auto"/>
        <w:tabs>
          <w:tab w:leader="none" w:pos="129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6"/>
          <w:szCs w:val="16"/>
          <w:color w:val="auto"/>
        </w:rPr>
      </w:pPr>
    </w:p>
    <w:p>
      <w:pPr>
        <w:jc w:val="both"/>
        <w:ind w:left="1300" w:right="160" w:hanging="320"/>
        <w:spacing w:after="0" w:line="356" w:lineRule="auto"/>
        <w:tabs>
          <w:tab w:leader="none" w:pos="128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300" w:right="20" w:hanging="320"/>
        <w:spacing w:after="0" w:line="319" w:lineRule="auto"/>
        <w:tabs>
          <w:tab w:leader="none" w:pos="129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6"/>
          <w:szCs w:val="16"/>
          <w:color w:val="auto"/>
        </w:rPr>
      </w:pPr>
    </w:p>
    <w:p>
      <w:pPr>
        <w:ind w:left="660" w:right="180" w:hanging="328"/>
        <w:spacing w:after="0" w:line="339"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300" w:right="660" w:hanging="320"/>
        <w:spacing w:after="0" w:line="339" w:lineRule="auto"/>
        <w:tabs>
          <w:tab w:leader="none" w:pos="128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6"/>
          <w:szCs w:val="16"/>
          <w:color w:val="auto"/>
        </w:rPr>
      </w:pPr>
    </w:p>
    <w:p>
      <w:pPr>
        <w:ind w:left="1300" w:right="300" w:hanging="320"/>
        <w:spacing w:after="0" w:line="339" w:lineRule="auto"/>
        <w:tabs>
          <w:tab w:leader="none" w:pos="128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35" w:right="339" w:bottom="1440" w:gutter="0" w:footer="0" w:header="0"/>
        </w:sectPr>
      </w:pPr>
    </w:p>
    <w:bookmarkStart w:id="99" w:name="page100"/>
    <w:bookmarkEnd w:id="99"/>
    <w:p>
      <w:pPr>
        <w:spacing w:after="0" w:line="117" w:lineRule="exact"/>
        <w:rPr>
          <w:sz w:val="20"/>
          <w:szCs w:val="20"/>
          <w:color w:val="auto"/>
        </w:rPr>
      </w:pPr>
    </w:p>
    <w:p>
      <w:pPr>
        <w:ind w:left="4580"/>
        <w:spacing w:after="0"/>
        <w:tabs>
          <w:tab w:leader="none" w:pos="5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Carlos A. Olea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46355</wp:posOffset>
            </wp:positionV>
            <wp:extent cx="31718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Carlos A. Olea</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November 5, 2026</w:t>
      </w:r>
    </w:p>
    <w:p>
      <w:pPr>
        <w:sectPr>
          <w:pgSz w:w="11900" w:h="16838" w:orient="portrait"/>
          <w:cols w:equalWidth="0" w:num="1">
            <w:col w:w="9019"/>
          </w:cols>
          <w:pgMar w:left="1440" w:top="1440"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1350 ADOPTED PURSUANT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SECTION 906 OF THE SARBANES-OXLEY ACT OF 2002</w:t>
      </w:r>
    </w:p>
    <w:p>
      <w:pPr>
        <w:spacing w:after="0" w:line="28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 connection with the Quarterly Report on Form 10-Q of Howard Hughes Holdings Inc. (the “Company”) for the period ended September 30, 2026, as filed with the Securities and Exchange Commission on the date hereof (the “Report”), each of the undersigned officers, in their capacity as officers of the Company, hereby certify, pursuant to 18 U.S.C. Section 1350, as adopted pursuant to Section 906 of the Sarbanes-Oxley Act of 2002, that to such officer’s knowledge:</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5700" w:type="dxa"/>
        <w:tblCellMar>
          <w:top w:w="0" w:type="dxa"/>
          <w:left w:w="0" w:type="dxa"/>
          <w:bottom w:w="0" w:type="dxa"/>
          <w:right w:w="0" w:type="dxa"/>
        </w:tblCellMar>
      </w:tblPr>
      <w:tr>
        <w:trPr>
          <w:trHeight w:val="215"/>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000" w:type="dxa"/>
            <w:vAlign w:val="bottom"/>
          </w:tcPr>
          <w:p>
            <w:pPr>
              <w:ind w:left="60"/>
              <w:spacing w:after="0"/>
              <w:rPr>
                <w:sz w:val="20"/>
                <w:szCs w:val="20"/>
                <w:color w:val="auto"/>
              </w:rPr>
            </w:pPr>
            <w:r>
              <w:rPr>
                <w:rFonts w:ascii="Arial" w:cs="Arial" w:eastAsia="Arial" w:hAnsi="Arial"/>
                <w:sz w:val="16"/>
                <w:szCs w:val="16"/>
                <w:color w:val="auto"/>
              </w:rPr>
              <w:t>/s/ David R. O'Reilly</w:t>
            </w:r>
          </w:p>
        </w:tc>
      </w:tr>
      <w:tr>
        <w:trPr>
          <w:trHeight w:val="43"/>
        </w:trPr>
        <w:tc>
          <w:tcPr>
            <w:tcW w:w="5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08"/>
        </w:trPr>
        <w:tc>
          <w:tcPr>
            <w:tcW w:w="54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David R. O'Reilly</w:t>
            </w:r>
          </w:p>
        </w:tc>
      </w:tr>
      <w:tr>
        <w:trPr>
          <w:trHeight w:val="256"/>
        </w:trPr>
        <w:tc>
          <w:tcPr>
            <w:tcW w:w="54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57"/>
        </w:trPr>
        <w:tc>
          <w:tcPr>
            <w:tcW w:w="54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November 5, 2026</w:t>
            </w:r>
          </w:p>
        </w:tc>
      </w:tr>
      <w:tr>
        <w:trPr>
          <w:trHeight w:val="473"/>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000" w:type="dxa"/>
            <w:vAlign w:val="bottom"/>
          </w:tcPr>
          <w:p>
            <w:pPr>
              <w:ind w:left="60"/>
              <w:spacing w:after="0"/>
              <w:rPr>
                <w:sz w:val="20"/>
                <w:szCs w:val="20"/>
                <w:color w:val="auto"/>
              </w:rPr>
            </w:pPr>
            <w:r>
              <w:rPr>
                <w:rFonts w:ascii="Arial" w:cs="Arial" w:eastAsia="Arial" w:hAnsi="Arial"/>
                <w:sz w:val="16"/>
                <w:szCs w:val="16"/>
                <w:color w:val="auto"/>
              </w:rPr>
              <w:t>/s/ Carlos A. Olea</w:t>
            </w:r>
          </w:p>
        </w:tc>
      </w:tr>
      <w:tr>
        <w:trPr>
          <w:trHeight w:val="43"/>
        </w:trPr>
        <w:tc>
          <w:tcPr>
            <w:tcW w:w="5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08"/>
        </w:trPr>
        <w:tc>
          <w:tcPr>
            <w:tcW w:w="54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Carlos A. Olea</w:t>
            </w:r>
          </w:p>
        </w:tc>
      </w:tr>
      <w:tr>
        <w:trPr>
          <w:trHeight w:val="215"/>
        </w:trPr>
        <w:tc>
          <w:tcPr>
            <w:tcW w:w="54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56"/>
        </w:trPr>
        <w:tc>
          <w:tcPr>
            <w:tcW w:w="54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November 5, 2026</w:t>
            </w:r>
          </w:p>
        </w:tc>
      </w:tr>
    </w:tbl>
    <w:p>
      <w:pPr>
        <w:spacing w:after="0" w:line="1" w:lineRule="exact"/>
        <w:rPr>
          <w:sz w:val="20"/>
          <w:szCs w:val="20"/>
          <w:color w:val="auto"/>
        </w:rPr>
      </w:pPr>
    </w:p>
    <w:sectPr>
      <w:pgSz w:w="11900" w:h="16838" w:orient="portrait"/>
      <w:cols w:equalWidth="0" w:num="1">
        <w:col w:w="11240"/>
      </w:cols>
      <w:pgMar w:left="320" w:top="1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1"/>
      <w:numFmt w:val="upperLetter"/>
      <w:start w:val="60"/>
    </w:lvl>
  </w:abstractNum>
  <w:abstractNum w:abstractNumId="3">
    <w:nsid w:val="11447B73"/>
    <w:multiLevelType w:val="hybridMultilevel"/>
    <w:lvl w:ilvl="0">
      <w:lvlJc w:val="left"/>
      <w:lvlText w:val="%1"/>
      <w:numFmt w:val="upperLetter"/>
      <w:start w:val="60"/>
    </w:lvl>
  </w:abstractNum>
  <w:abstractNum w:abstractNumId="4">
    <w:nsid w:val="42963E5A"/>
    <w:multiLevelType w:val="hybridMultilevel"/>
    <w:lvl w:ilvl="0">
      <w:lvlJc w:val="left"/>
      <w:lvlText w:val="%1"/>
      <w:numFmt w:val="upperLetter"/>
      <w:start w:val="60"/>
    </w:lvl>
  </w:abstractNum>
  <w:abstractNum w:abstractNumId="5">
    <w:nsid w:val="A0382C5"/>
    <w:multiLevelType w:val="hybridMultilevel"/>
    <w:lvl w:ilvl="0">
      <w:lvlJc w:val="left"/>
      <w:lvlText w:val="%1"/>
      <w:numFmt w:val="upperLetter"/>
      <w:start w:val="60"/>
    </w:lvl>
  </w:abstractNum>
  <w:abstractNum w:abstractNumId="6">
    <w:nsid w:val="8F2B15E"/>
    <w:multiLevelType w:val="hybridMultilevel"/>
    <w:lvl w:ilvl="0">
      <w:lvlJc w:val="left"/>
      <w:lvlText w:val="%1"/>
      <w:numFmt w:val="upperLetter"/>
      <w:start w:val="60"/>
    </w:lvl>
  </w:abstractNum>
  <w:abstractNum w:abstractNumId="7">
    <w:nsid w:val="1A32234B"/>
    <w:multiLevelType w:val="hybridMultilevel"/>
    <w:lvl w:ilvl="0">
      <w:lvlJc w:val="left"/>
      <w:lvlText w:val="%1"/>
      <w:numFmt w:val="upperLetter"/>
      <w:start w:val="60"/>
    </w:lvl>
  </w:abstractNum>
  <w:abstractNum w:abstractNumId="8">
    <w:nsid w:val="3B0FD379"/>
    <w:multiLevelType w:val="hybridMultilevel"/>
    <w:lvl w:ilvl="0">
      <w:lvlJc w:val="left"/>
      <w:lvlText w:val="%1"/>
      <w:numFmt w:val="upperLetter"/>
      <w:start w:val="60"/>
    </w:lvl>
  </w:abstractNum>
  <w:abstractNum w:abstractNumId="9">
    <w:nsid w:val="68EB2F63"/>
    <w:multiLevelType w:val="hybridMultilevel"/>
    <w:lvl w:ilvl="0">
      <w:lvlJc w:val="left"/>
      <w:lvlText w:val="%1"/>
      <w:numFmt w:val="upperLetter"/>
      <w:start w:val="60"/>
    </w:lvl>
  </w:abstractNum>
  <w:abstractNum w:abstractNumId="10">
    <w:nsid w:val="4962813B"/>
    <w:multiLevelType w:val="hybridMultilevel"/>
    <w:lvl w:ilvl="0">
      <w:lvlJc w:val="left"/>
      <w:lvlText w:val="%1"/>
      <w:numFmt w:val="upperLetter"/>
      <w:start w:val="60"/>
    </w:lvl>
  </w:abstractNum>
  <w:abstractNum w:abstractNumId="11">
    <w:nsid w:val="60B6DF70"/>
    <w:multiLevelType w:val="hybridMultilevel"/>
    <w:lvl w:ilvl="0">
      <w:lvlJc w:val="left"/>
      <w:lvlText w:val="%1"/>
      <w:numFmt w:val="upperLetter"/>
      <w:start w:val="60"/>
    </w:lvl>
  </w:abstractNum>
  <w:abstractNum w:abstractNumId="12">
    <w:nsid w:val="6A5EE64"/>
    <w:multiLevelType w:val="hybridMultilevel"/>
    <w:lvl w:ilvl="0">
      <w:lvlJc w:val="left"/>
      <w:lvlText w:val="%1"/>
      <w:numFmt w:val="upperLetter"/>
      <w:start w:val="60"/>
    </w:lvl>
  </w:abstractNum>
  <w:abstractNum w:abstractNumId="13">
    <w:nsid w:val="14330624"/>
    <w:multiLevelType w:val="hybridMultilevel"/>
    <w:lvl w:ilvl="0">
      <w:lvlJc w:val="left"/>
      <w:lvlText w:val="(%1)"/>
      <w:numFmt w:val="lowerLetter"/>
      <w:start w:val="1"/>
    </w:lvl>
  </w:abstractNum>
  <w:abstractNum w:abstractNumId="14">
    <w:nsid w:val="7FFFCA11"/>
    <w:multiLevelType w:val="hybridMultilevel"/>
    <w:lvl w:ilvl="0">
      <w:lvlJc w:val="left"/>
      <w:lvlText w:val="%1"/>
      <w:numFmt w:val="upperLetter"/>
      <w:start w:val="60"/>
    </w:lvl>
  </w:abstractNum>
  <w:abstractNum w:abstractNumId="15">
    <w:nsid w:val="1A27709E"/>
    <w:multiLevelType w:val="hybridMultilevel"/>
    <w:lvl w:ilvl="0">
      <w:lvlJc w:val="left"/>
      <w:lvlText w:val="(%1)"/>
      <w:numFmt w:val="lowerLetter"/>
      <w:start w:val="1"/>
    </w:lvl>
  </w:abstractNum>
  <w:abstractNum w:abstractNumId="16">
    <w:nsid w:val="71EA1109"/>
    <w:multiLevelType w:val="hybridMultilevel"/>
    <w:lvl w:ilvl="0">
      <w:lvlJc w:val="left"/>
      <w:lvlText w:val="%1"/>
      <w:numFmt w:val="upperLetter"/>
      <w:start w:val="60"/>
    </w:lvl>
  </w:abstractNum>
  <w:abstractNum w:abstractNumId="17">
    <w:nsid w:val="100F59DC"/>
    <w:multiLevelType w:val="hybridMultilevel"/>
    <w:lvl w:ilvl="0">
      <w:lvlJc w:val="left"/>
      <w:lvlText w:val="%1"/>
      <w:numFmt w:val="upperLetter"/>
      <w:start w:val="60"/>
    </w:lvl>
  </w:abstractNum>
  <w:abstractNum w:abstractNumId="18">
    <w:nsid w:val="7FB7E0AA"/>
    <w:multiLevelType w:val="hybridMultilevel"/>
    <w:lvl w:ilvl="0">
      <w:lvlJc w:val="left"/>
      <w:lvlText w:val="\endash "/>
      <w:numFmt w:val="bullet"/>
      <w:start w:val="1"/>
    </w:lvl>
  </w:abstractNum>
  <w:abstractNum w:abstractNumId="19">
    <w:nsid w:val="6EB5BD4"/>
    <w:multiLevelType w:val="hybridMultilevel"/>
    <w:lvl w:ilvl="0">
      <w:lvlJc w:val="left"/>
      <w:lvlText w:val="%1"/>
      <w:numFmt w:val="upperLetter"/>
      <w:start w:val="60"/>
    </w:lvl>
  </w:abstractNum>
  <w:abstractNum w:abstractNumId="20">
    <w:nsid w:val="6F6DD9AC"/>
    <w:multiLevelType w:val="hybridMultilevel"/>
    <w:lvl w:ilvl="0">
      <w:lvlJc w:val="left"/>
      <w:lvlText w:val="\endash "/>
      <w:numFmt w:val="bullet"/>
      <w:start w:val="1"/>
    </w:lvl>
  </w:abstractNum>
  <w:abstractNum w:abstractNumId="21">
    <w:nsid w:val="94211F2"/>
    <w:multiLevelType w:val="hybridMultilevel"/>
    <w:lvl w:ilvl="0">
      <w:lvlJc w:val="left"/>
      <w:lvlText w:val="%1"/>
      <w:numFmt w:val="upperLetter"/>
      <w:start w:val="60"/>
    </w:lvl>
  </w:abstractNum>
  <w:abstractNum w:abstractNumId="22">
    <w:nsid w:val="885E1B"/>
    <w:multiLevelType w:val="hybridMultilevel"/>
    <w:lvl w:ilvl="0">
      <w:lvlJc w:val="left"/>
      <w:lvlText w:val="-"/>
      <w:numFmt w:val="bullet"/>
      <w:start w:val="1"/>
    </w:lvl>
    <w:lvl w:ilvl="1">
      <w:lvlJc w:val="left"/>
      <w:lvlText w:val="%2"/>
      <w:numFmt w:val="upperLetter"/>
      <w:start w:val="60"/>
    </w:lvl>
  </w:abstractNum>
  <w:abstractNum w:abstractNumId="23">
    <w:nsid w:val="76272110"/>
    <w:multiLevelType w:val="hybridMultilevel"/>
    <w:lvl w:ilvl="0">
      <w:lvlJc w:val="left"/>
      <w:lvlText w:val="(%1)"/>
      <w:numFmt w:val="lowerLetter"/>
      <w:start w:val="1"/>
    </w:lvl>
    <w:lvl w:ilvl="1">
      <w:lvlJc w:val="left"/>
      <w:lvlText w:val="%2"/>
      <w:numFmt w:val="upperLetter"/>
      <w:start w:val="60"/>
    </w:lvl>
  </w:abstractNum>
  <w:abstractNum w:abstractNumId="24">
    <w:nsid w:val="4C04A8AF"/>
    <w:multiLevelType w:val="hybridMultilevel"/>
    <w:lvl w:ilvl="0">
      <w:lvlJc w:val="left"/>
      <w:lvlText w:val="(%1)"/>
      <w:numFmt w:val="lowerLetter"/>
      <w:start w:val="1"/>
    </w:lvl>
  </w:abstractNum>
  <w:abstractNum w:abstractNumId="25">
    <w:nsid w:val="1716703B"/>
    <w:multiLevelType w:val="hybridMultilevel"/>
    <w:lvl w:ilvl="0">
      <w:lvlJc w:val="left"/>
      <w:lvlText w:val="%1"/>
      <w:numFmt w:val="upperLetter"/>
      <w:start w:val="60"/>
    </w:lvl>
  </w:abstractNum>
  <w:abstractNum w:abstractNumId="26">
    <w:nsid w:val="14E17E33"/>
    <w:multiLevelType w:val="hybridMultilevel"/>
    <w:lvl w:ilvl="0">
      <w:lvlJc w:val="left"/>
      <w:lvlText w:val="%1"/>
      <w:numFmt w:val="upperLetter"/>
      <w:start w:val="60"/>
    </w:lvl>
  </w:abstractNum>
  <w:abstractNum w:abstractNumId="27">
    <w:nsid w:val="3222E7CD"/>
    <w:multiLevelType w:val="hybridMultilevel"/>
    <w:lvl w:ilvl="0">
      <w:lvlJc w:val="left"/>
      <w:lvlText w:val="%1"/>
      <w:numFmt w:val="upperLetter"/>
      <w:start w:val="60"/>
    </w:lvl>
  </w:abstractNum>
  <w:abstractNum w:abstractNumId="28">
    <w:nsid w:val="74DE0EE3"/>
    <w:multiLevelType w:val="hybridMultilevel"/>
    <w:lvl w:ilvl="0">
      <w:lvlJc w:val="left"/>
      <w:lvlText w:val="%1"/>
      <w:numFmt w:val="upperLetter"/>
      <w:start w:val="60"/>
    </w:lvl>
  </w:abstractNum>
  <w:abstractNum w:abstractNumId="29">
    <w:nsid w:val="68EBC550"/>
    <w:multiLevelType w:val="hybridMultilevel"/>
    <w:lvl w:ilvl="0">
      <w:lvlJc w:val="left"/>
      <w:lvlText w:val="(%1)"/>
      <w:numFmt w:val="lowerRoman"/>
      <w:start w:val="8"/>
    </w:lvl>
  </w:abstractNum>
  <w:abstractNum w:abstractNumId="30">
    <w:nsid w:val="2DF6D648"/>
    <w:multiLevelType w:val="hybridMultilevel"/>
    <w:lvl w:ilvl="0">
      <w:lvlJc w:val="left"/>
      <w:lvlText w:val="%1"/>
      <w:numFmt w:val="upperLetter"/>
      <w:start w:val="60"/>
    </w:lvl>
  </w:abstractNum>
  <w:abstractNum w:abstractNumId="31">
    <w:nsid w:val="46B7D447"/>
    <w:multiLevelType w:val="hybridMultilevel"/>
    <w:lvl w:ilvl="0">
      <w:lvlJc w:val="left"/>
      <w:lvlText w:val="%1"/>
      <w:numFmt w:val="upperLetter"/>
      <w:start w:val="60"/>
    </w:lvl>
  </w:abstractNum>
  <w:abstractNum w:abstractNumId="32">
    <w:nsid w:val="4A2AC315"/>
    <w:multiLevelType w:val="hybridMultilevel"/>
    <w:lvl w:ilvl="0">
      <w:lvlJc w:val="left"/>
      <w:lvlText w:val="(%1)"/>
      <w:numFmt w:val="lowerLetter"/>
      <w:start w:val="1"/>
    </w:lvl>
  </w:abstractNum>
  <w:abstractNum w:abstractNumId="33">
    <w:nsid w:val="39EE015C"/>
    <w:multiLevelType w:val="hybridMultilevel"/>
    <w:lvl w:ilvl="0">
      <w:lvlJc w:val="left"/>
      <w:lvlText w:val="%1"/>
      <w:numFmt w:val="upperLetter"/>
      <w:start w:val="60"/>
    </w:lvl>
  </w:abstractNum>
  <w:abstractNum w:abstractNumId="34">
    <w:nsid w:val="57FC4FBB"/>
    <w:multiLevelType w:val="hybridMultilevel"/>
    <w:lvl w:ilvl="0">
      <w:lvlJc w:val="left"/>
      <w:lvlText w:val="(%1)"/>
      <w:numFmt w:val="lowerLetter"/>
      <w:start w:val="6"/>
    </w:lvl>
  </w:abstractNum>
  <w:abstractNum w:abstractNumId="35">
    <w:nsid w:val="CC1016F"/>
    <w:multiLevelType w:val="hybridMultilevel"/>
    <w:lvl w:ilvl="0">
      <w:lvlJc w:val="left"/>
      <w:lvlText w:val="%1"/>
      <w:numFmt w:val="upperLetter"/>
      <w:start w:val="60"/>
    </w:lvl>
  </w:abstractNum>
  <w:abstractNum w:abstractNumId="36">
    <w:nsid w:val="43F18422"/>
    <w:multiLevelType w:val="hybridMultilevel"/>
    <w:lvl w:ilvl="0">
      <w:lvlJc w:val="left"/>
      <w:lvlText w:val="(%1)"/>
      <w:numFmt w:val="lowerLetter"/>
      <w:start w:val="1"/>
    </w:lvl>
  </w:abstractNum>
  <w:abstractNum w:abstractNumId="37">
    <w:nsid w:val="60EF0119"/>
    <w:multiLevelType w:val="hybridMultilevel"/>
    <w:lvl w:ilvl="0">
      <w:lvlJc w:val="left"/>
      <w:lvlText w:val="%1"/>
      <w:numFmt w:val="upperLetter"/>
      <w:start w:val="60"/>
    </w:lvl>
  </w:abstractNum>
  <w:abstractNum w:abstractNumId="38">
    <w:nsid w:val="26F324BA"/>
    <w:multiLevelType w:val="hybridMultilevel"/>
    <w:lvl w:ilvl="0">
      <w:lvlJc w:val="left"/>
      <w:lvlText w:val="(%1)"/>
      <w:numFmt w:val="lowerLetter"/>
      <w:start w:val="1"/>
    </w:lvl>
  </w:abstractNum>
  <w:abstractNum w:abstractNumId="39">
    <w:nsid w:val="7F01579B"/>
    <w:multiLevelType w:val="hybridMultilevel"/>
    <w:lvl w:ilvl="0">
      <w:lvlJc w:val="left"/>
      <w:lvlText w:val="%1"/>
      <w:numFmt w:val="upperLetter"/>
      <w:start w:val="60"/>
    </w:lvl>
  </w:abstractNum>
  <w:abstractNum w:abstractNumId="40">
    <w:nsid w:val="49DA307D"/>
    <w:multiLevelType w:val="hybridMultilevel"/>
    <w:lvl w:ilvl="0">
      <w:lvlJc w:val="left"/>
      <w:lvlText w:val="%1"/>
      <w:numFmt w:val="upperLetter"/>
      <w:start w:val="60"/>
    </w:lvl>
  </w:abstractNum>
  <w:abstractNum w:abstractNumId="41">
    <w:nsid w:val="7055A5F5"/>
    <w:multiLevelType w:val="hybridMultilevel"/>
    <w:lvl w:ilvl="0">
      <w:lvlJc w:val="left"/>
      <w:lvlText w:val="(%1)"/>
      <w:numFmt w:val="lowerLetter"/>
      <w:start w:val="1"/>
    </w:lvl>
  </w:abstractNum>
  <w:abstractNum w:abstractNumId="42">
    <w:nsid w:val="5FB8370B"/>
    <w:multiLevelType w:val="hybridMultilevel"/>
    <w:lvl w:ilvl="0">
      <w:lvlJc w:val="left"/>
      <w:lvlText w:val="%1"/>
      <w:numFmt w:val="upperLetter"/>
      <w:start w:val="60"/>
    </w:lvl>
  </w:abstractNum>
  <w:abstractNum w:abstractNumId="43">
    <w:nsid w:val="50801EE1"/>
    <w:multiLevelType w:val="hybridMultilevel"/>
    <w:lvl w:ilvl="0">
      <w:lvlJc w:val="left"/>
      <w:lvlText w:val="%1"/>
      <w:numFmt w:val="upperLetter"/>
      <w:start w:val="60"/>
    </w:lvl>
  </w:abstractNum>
  <w:abstractNum w:abstractNumId="44">
    <w:nsid w:val="488AC1A"/>
    <w:multiLevelType w:val="hybridMultilevel"/>
    <w:lvl w:ilvl="0">
      <w:lvlJc w:val="left"/>
      <w:lvlText w:val="(%1)"/>
      <w:numFmt w:val="lowerLetter"/>
      <w:start w:val="1"/>
    </w:lvl>
  </w:abstractNum>
  <w:abstractNum w:abstractNumId="45">
    <w:nsid w:val="5FB8011C"/>
    <w:multiLevelType w:val="hybridMultilevel"/>
    <w:lvl w:ilvl="0">
      <w:lvlJc w:val="left"/>
      <w:lvlText w:val="%1"/>
      <w:numFmt w:val="upperLetter"/>
      <w:start w:val="60"/>
    </w:lvl>
  </w:abstractNum>
  <w:abstractNum w:abstractNumId="46">
    <w:nsid w:val="6AA78F7F"/>
    <w:multiLevelType w:val="hybridMultilevel"/>
    <w:lvl w:ilvl="0">
      <w:lvlJc w:val="left"/>
      <w:lvlText w:val="(%1)"/>
      <w:numFmt w:val="lowerLetter"/>
      <w:start w:val="1"/>
    </w:lvl>
    <w:lvl w:ilvl="1">
      <w:lvlJc w:val="left"/>
      <w:lvlText w:val="%2"/>
      <w:numFmt w:val="upperLetter"/>
      <w:start w:val="1"/>
    </w:lvl>
  </w:abstractNum>
  <w:abstractNum w:abstractNumId="47">
    <w:nsid w:val="7672BD23"/>
    <w:multiLevelType w:val="hybridMultilevel"/>
    <w:lvl w:ilvl="0">
      <w:lvlJc w:val="left"/>
      <w:lvlText w:val="%1"/>
      <w:numFmt w:val="upperLetter"/>
      <w:start w:val="60"/>
    </w:lvl>
  </w:abstractNum>
  <w:abstractNum w:abstractNumId="48">
    <w:nsid w:val="6FC75AF8"/>
    <w:multiLevelType w:val="hybridMultilevel"/>
    <w:lvl w:ilvl="0">
      <w:lvlJc w:val="left"/>
      <w:lvlText w:val="%1"/>
      <w:numFmt w:val="upperLetter"/>
      <w:start w:val="60"/>
    </w:lvl>
  </w:abstractNum>
  <w:abstractNum w:abstractNumId="49">
    <w:nsid w:val="6A5F7029"/>
    <w:multiLevelType w:val="hybridMultilevel"/>
    <w:lvl w:ilvl="0">
      <w:lvlJc w:val="left"/>
      <w:lvlText w:val="%1"/>
      <w:numFmt w:val="upperLetter"/>
      <w:start w:val="60"/>
    </w:lvl>
  </w:abstractNum>
  <w:abstractNum w:abstractNumId="50">
    <w:nsid w:val="7D5E18F8"/>
    <w:multiLevelType w:val="hybridMultilevel"/>
    <w:lvl w:ilvl="0">
      <w:lvlJc w:val="left"/>
      <w:lvlText w:val="%1"/>
      <w:numFmt w:val="upperLetter"/>
      <w:start w:val="60"/>
    </w:lvl>
  </w:abstractNum>
  <w:abstractNum w:abstractNumId="51">
    <w:nsid w:val="5F3534A4"/>
    <w:multiLevelType w:val="hybridMultilevel"/>
    <w:lvl w:ilvl="0">
      <w:lvlJc w:val="left"/>
      <w:lvlText w:val="%1"/>
      <w:numFmt w:val="upperLetter"/>
      <w:start w:val="60"/>
    </w:lvl>
  </w:abstractNum>
  <w:abstractNum w:abstractNumId="52">
    <w:nsid w:val="73A1821B"/>
    <w:multiLevelType w:val="hybridMultilevel"/>
    <w:lvl w:ilvl="0">
      <w:lvlJc w:val="left"/>
      <w:lvlText w:val="%1"/>
      <w:numFmt w:val="upperLetter"/>
      <w:start w:val="60"/>
    </w:lvl>
  </w:abstractNum>
  <w:abstractNum w:abstractNumId="53">
    <w:nsid w:val="7DE67713"/>
    <w:multiLevelType w:val="hybridMultilevel"/>
    <w:lvl w:ilvl="0">
      <w:lvlJc w:val="left"/>
      <w:lvlText w:val="%1"/>
      <w:numFmt w:val="upperLetter"/>
      <w:start w:val="60"/>
    </w:lvl>
  </w:abstractNum>
  <w:abstractNum w:abstractNumId="54">
    <w:nsid w:val="555C55B5"/>
    <w:multiLevelType w:val="hybridMultilevel"/>
    <w:lvl w:ilvl="0">
      <w:lvlJc w:val="left"/>
      <w:lvlText w:val="%1"/>
      <w:numFmt w:val="upperLetter"/>
      <w:start w:val="60"/>
    </w:lvl>
  </w:abstractNum>
  <w:abstractNum w:abstractNumId="55">
    <w:nsid w:val="3FA62ACA"/>
    <w:multiLevelType w:val="hybridMultilevel"/>
    <w:lvl w:ilvl="0">
      <w:lvlJc w:val="left"/>
      <w:lvlText w:val="%1"/>
      <w:numFmt w:val="upperLetter"/>
      <w:start w:val="60"/>
    </w:lvl>
  </w:abstractNum>
  <w:abstractNum w:abstractNumId="56">
    <w:nsid w:val="14FCE74E"/>
    <w:multiLevelType w:val="hybridMultilevel"/>
    <w:lvl w:ilvl="0">
      <w:lvlJc w:val="left"/>
      <w:lvlText w:val="%1"/>
      <w:numFmt w:val="upperLetter"/>
      <w:start w:val="60"/>
    </w:lvl>
  </w:abstractNum>
  <w:abstractNum w:abstractNumId="57">
    <w:nsid w:val="6A3DD3E8"/>
    <w:multiLevelType w:val="hybridMultilevel"/>
    <w:lvl w:ilvl="0">
      <w:lvlJc w:val="left"/>
      <w:lvlText w:val="\endash "/>
      <w:numFmt w:val="bullet"/>
      <w:start w:val="1"/>
    </w:lvl>
  </w:abstractNum>
  <w:abstractNum w:abstractNumId="58">
    <w:nsid w:val="71C91298"/>
    <w:multiLevelType w:val="hybridMultilevel"/>
    <w:lvl w:ilvl="0">
      <w:lvlJc w:val="left"/>
      <w:lvlText w:val="%1"/>
      <w:numFmt w:val="upperLetter"/>
      <w:start w:val="60"/>
    </w:lvl>
  </w:abstractNum>
  <w:abstractNum w:abstractNumId="59">
    <w:nsid w:val="9DAF632"/>
    <w:multiLevelType w:val="hybridMultilevel"/>
    <w:lvl w:ilvl="0">
      <w:lvlJc w:val="left"/>
      <w:lvlText w:val="%1"/>
      <w:numFmt w:val="upperLetter"/>
      <w:start w:val="60"/>
    </w:lvl>
  </w:abstractNum>
  <w:abstractNum w:abstractNumId="60">
    <w:nsid w:val="53299938"/>
    <w:multiLevelType w:val="hybridMultilevel"/>
    <w:lvl w:ilvl="0">
      <w:lvlJc w:val="left"/>
      <w:lvlText w:val="%1"/>
      <w:numFmt w:val="upperLetter"/>
      <w:start w:val="60"/>
    </w:lvl>
  </w:abstractNum>
  <w:abstractNum w:abstractNumId="61">
    <w:nsid w:val="1FBFE8E0"/>
    <w:multiLevelType w:val="hybridMultilevel"/>
    <w:lvl w:ilvl="0">
      <w:lvlJc w:val="left"/>
      <w:lvlText w:val="%1"/>
      <w:numFmt w:val="upperLetter"/>
      <w:start w:val="60"/>
    </w:lvl>
  </w:abstractNum>
  <w:abstractNum w:abstractNumId="62">
    <w:nsid w:val="5092CA79"/>
    <w:multiLevelType w:val="hybridMultilevel"/>
    <w:lvl w:ilvl="0">
      <w:lvlJc w:val="left"/>
      <w:lvlText w:val="%1"/>
      <w:numFmt w:val="upperLetter"/>
      <w:start w:val="60"/>
    </w:lvl>
  </w:abstractNum>
  <w:abstractNum w:abstractNumId="63">
    <w:nsid w:val="1D545C4D"/>
    <w:multiLevelType w:val="hybridMultilevel"/>
    <w:lvl w:ilvl="0">
      <w:lvlJc w:val="left"/>
      <w:lvlText w:val="\endash "/>
      <w:numFmt w:val="bullet"/>
      <w:start w:val="1"/>
    </w:lvl>
  </w:abstractNum>
  <w:abstractNum w:abstractNumId="64">
    <w:nsid w:val="59ADEA3D"/>
    <w:multiLevelType w:val="hybridMultilevel"/>
    <w:lvl w:ilvl="0">
      <w:lvlJc w:val="left"/>
      <w:lvlText w:val="\endash "/>
      <w:numFmt w:val="bullet"/>
      <w:start w:val="1"/>
    </w:lvl>
    <w:lvl w:ilvl="1">
      <w:lvlJc w:val="left"/>
      <w:lvlText w:val="%2"/>
      <w:numFmt w:val="upperLetter"/>
      <w:start w:val="60"/>
    </w:lvl>
  </w:abstractNum>
  <w:abstractNum w:abstractNumId="65">
    <w:nsid w:val="288F1A34"/>
    <w:multiLevelType w:val="hybridMultilevel"/>
    <w:lvl w:ilvl="0">
      <w:lvlJc w:val="left"/>
      <w:lvlText w:val="\endash "/>
      <w:numFmt w:val="bullet"/>
      <w:start w:val="1"/>
    </w:lvl>
  </w:abstractNum>
  <w:abstractNum w:abstractNumId="66">
    <w:nsid w:val="2A155DBC"/>
    <w:multiLevelType w:val="hybridMultilevel"/>
    <w:lvl w:ilvl="0">
      <w:lvlJc w:val="left"/>
      <w:lvlText w:val="%1"/>
      <w:numFmt w:val="upperLetter"/>
      <w:start w:val="60"/>
    </w:lvl>
  </w:abstractNum>
  <w:abstractNum w:abstractNumId="67">
    <w:nsid w:val="1D9F6E5F"/>
    <w:multiLevelType w:val="hybridMultilevel"/>
    <w:lvl w:ilvl="0">
      <w:lvlJc w:val="left"/>
      <w:lvlText w:val="%1"/>
      <w:numFmt w:val="upperLetter"/>
      <w:start w:val="60"/>
    </w:lvl>
  </w:abstractNum>
  <w:abstractNum w:abstractNumId="68">
    <w:nsid w:val="97E1B4E"/>
    <w:multiLevelType w:val="hybridMultilevel"/>
    <w:lvl w:ilvl="0">
      <w:lvlJc w:val="left"/>
      <w:lvlText w:val="%1"/>
      <w:numFmt w:val="upperLetter"/>
      <w:start w:val="60"/>
    </w:lvl>
  </w:abstractNum>
  <w:abstractNum w:abstractNumId="69">
    <w:nsid w:val="51088277"/>
    <w:multiLevelType w:val="hybridMultilevel"/>
    <w:lvl w:ilvl="0">
      <w:lvlJc w:val="left"/>
      <w:lvlText w:val="\endash "/>
      <w:numFmt w:val="bullet"/>
      <w:start w:val="1"/>
    </w:lvl>
  </w:abstractNum>
  <w:abstractNum w:abstractNumId="70">
    <w:nsid w:val="1CA0C5FA"/>
    <w:multiLevelType w:val="hybridMultilevel"/>
    <w:lvl w:ilvl="0">
      <w:lvlJc w:val="left"/>
      <w:lvlText w:val="\endash "/>
      <w:numFmt w:val="bullet"/>
      <w:start w:val="1"/>
    </w:lvl>
  </w:abstractNum>
  <w:abstractNum w:abstractNumId="71">
    <w:nsid w:val="53584BCB"/>
    <w:multiLevelType w:val="hybridMultilevel"/>
    <w:lvl w:ilvl="0">
      <w:lvlJc w:val="left"/>
      <w:lvlText w:val="\endash "/>
      <w:numFmt w:val="bullet"/>
      <w:start w:val="1"/>
    </w:lvl>
  </w:abstractNum>
  <w:abstractNum w:abstractNumId="72">
    <w:nsid w:val="415E286C"/>
    <w:multiLevelType w:val="hybridMultilevel"/>
    <w:lvl w:ilvl="0">
      <w:lvlJc w:val="left"/>
      <w:lvlText w:val="\endash "/>
      <w:numFmt w:val="bullet"/>
      <w:start w:val="1"/>
    </w:lvl>
  </w:abstractNum>
  <w:abstractNum w:abstractNumId="73">
    <w:nsid w:val="7C58FD05"/>
    <w:multiLevelType w:val="hybridMultilevel"/>
    <w:lvl w:ilvl="0">
      <w:lvlJc w:val="left"/>
      <w:lvlText w:val="\endash "/>
      <w:numFmt w:val="bullet"/>
      <w:start w:val="1"/>
    </w:lvl>
    <w:lvl w:ilvl="1">
      <w:lvlJc w:val="left"/>
      <w:lvlText w:val="%2"/>
      <w:numFmt w:val="upperLetter"/>
      <w:start w:val="60"/>
    </w:lvl>
  </w:abstractNum>
  <w:abstractNum w:abstractNumId="74">
    <w:nsid w:val="23D86AAC"/>
    <w:multiLevelType w:val="hybridMultilevel"/>
    <w:lvl w:ilvl="0">
      <w:lvlJc w:val="left"/>
      <w:lvlText w:val="\endash "/>
      <w:numFmt w:val="bullet"/>
      <w:start w:val="1"/>
    </w:lvl>
  </w:abstractNum>
  <w:abstractNum w:abstractNumId="75">
    <w:nsid w:val="45E6D486"/>
    <w:multiLevelType w:val="hybridMultilevel"/>
    <w:lvl w:ilvl="0">
      <w:lvlJc w:val="left"/>
      <w:lvlText w:val="%1"/>
      <w:numFmt w:val="upperLetter"/>
      <w:start w:val="60"/>
    </w:lvl>
  </w:abstractNum>
  <w:abstractNum w:abstractNumId="76">
    <w:nsid w:val="5C10FE21"/>
    <w:multiLevelType w:val="hybridMultilevel"/>
    <w:lvl w:ilvl="0">
      <w:lvlJc w:val="left"/>
      <w:lvlText w:val="\endash "/>
      <w:numFmt w:val="bullet"/>
      <w:start w:val="1"/>
    </w:lvl>
  </w:abstractNum>
  <w:abstractNum w:abstractNumId="77">
    <w:nsid w:val="E7FFA2B"/>
    <w:multiLevelType w:val="hybridMultilevel"/>
    <w:lvl w:ilvl="0">
      <w:lvlJc w:val="left"/>
      <w:lvlText w:val="\endash "/>
      <w:numFmt w:val="bullet"/>
      <w:start w:val="1"/>
    </w:lvl>
  </w:abstractNum>
  <w:abstractNum w:abstractNumId="78">
    <w:nsid w:val="3C5991AA"/>
    <w:multiLevelType w:val="hybridMultilevel"/>
    <w:lvl w:ilvl="0">
      <w:lvlJc w:val="left"/>
      <w:lvlText w:val="\endash "/>
      <w:numFmt w:val="bullet"/>
      <w:start w:val="1"/>
    </w:lvl>
  </w:abstractNum>
  <w:abstractNum w:abstractNumId="79">
    <w:nsid w:val="4BD8591A"/>
    <w:multiLevelType w:val="hybridMultilevel"/>
    <w:lvl w:ilvl="0">
      <w:lvlJc w:val="left"/>
      <w:lvlText w:val="\endash "/>
      <w:numFmt w:val="bullet"/>
      <w:start w:val="1"/>
    </w:lvl>
  </w:abstractNum>
  <w:abstractNum w:abstractNumId="80">
    <w:nsid w:val="78DF6A55"/>
    <w:multiLevelType w:val="hybridMultilevel"/>
    <w:lvl w:ilvl="0">
      <w:lvlJc w:val="left"/>
      <w:lvlText w:val="%1"/>
      <w:numFmt w:val="upperLetter"/>
      <w:start w:val="60"/>
    </w:lvl>
  </w:abstractNum>
  <w:abstractNum w:abstractNumId="81">
    <w:nsid w:val="39B7AAA2"/>
    <w:multiLevelType w:val="hybridMultilevel"/>
    <w:lvl w:ilvl="0">
      <w:lvlJc w:val="left"/>
      <w:lvlText w:val="%1"/>
      <w:numFmt w:val="upperLetter"/>
      <w:start w:val="60"/>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endash "/>
      <w:numFmt w:val="bullet"/>
      <w:start w:val="1"/>
    </w:lvl>
  </w:abstractNum>
  <w:abstractNum w:abstractNumId="84">
    <w:nsid w:val="379E21B5"/>
    <w:multiLevelType w:val="hybridMultilevel"/>
    <w:lvl w:ilvl="0">
      <w:lvlJc w:val="left"/>
      <w:lvlText w:val="%1"/>
      <w:numFmt w:val="upperLetter"/>
      <w:start w:val="60"/>
    </w:lvl>
  </w:abstractNum>
  <w:abstractNum w:abstractNumId="85">
    <w:nsid w:val="69E373"/>
    <w:multiLevelType w:val="hybridMultilevel"/>
    <w:lvl w:ilvl="0">
      <w:lvlJc w:val="left"/>
      <w:lvlText w:val="\endash "/>
      <w:numFmt w:val="bullet"/>
      <w:start w:val="1"/>
    </w:lvl>
  </w:abstractNum>
  <w:abstractNum w:abstractNumId="86">
    <w:nsid w:val="2C27173B"/>
    <w:multiLevelType w:val="hybridMultilevel"/>
    <w:lvl w:ilvl="0">
      <w:lvlJc w:val="left"/>
      <w:lvlText w:val="\endash "/>
      <w:numFmt w:val="bullet"/>
      <w:start w:val="1"/>
    </w:lvl>
  </w:abstractNum>
  <w:abstractNum w:abstractNumId="87">
    <w:nsid w:val="4C9B0904"/>
    <w:multiLevelType w:val="hybridMultilevel"/>
    <w:lvl w:ilvl="0">
      <w:lvlJc w:val="left"/>
      <w:lvlText w:val="%1"/>
      <w:numFmt w:val="upperLetter"/>
      <w:start w:val="60"/>
    </w:lvl>
  </w:abstractNum>
  <w:abstractNum w:abstractNumId="88">
    <w:nsid w:val="6AA7B75C"/>
    <w:multiLevelType w:val="hybridMultilevel"/>
    <w:lvl w:ilvl="0">
      <w:lvlJc w:val="left"/>
      <w:lvlText w:val="(%1)"/>
      <w:numFmt w:val="lowerLetter"/>
      <w:start w:val="1"/>
    </w:lvl>
  </w:abstractNum>
  <w:abstractNum w:abstractNumId="89">
    <w:nsid w:val="1DF029D3"/>
    <w:multiLevelType w:val="hybridMultilevel"/>
    <w:lvl w:ilvl="0">
      <w:lvlJc w:val="left"/>
      <w:lvlText w:val="%1"/>
      <w:numFmt w:val="upperLetter"/>
      <w:start w:val="60"/>
    </w:lvl>
  </w:abstractNum>
  <w:abstractNum w:abstractNumId="90">
    <w:nsid w:val="5675FF36"/>
    <w:multiLevelType w:val="hybridMultilevel"/>
    <w:lvl w:ilvl="0">
      <w:lvlJc w:val="left"/>
      <w:lvlText w:val="(%1)"/>
      <w:numFmt w:val="lowerLetter"/>
      <w:start w:val="2"/>
    </w:lvl>
  </w:abstractNum>
  <w:abstractNum w:abstractNumId="91">
    <w:nsid w:val="3DD15094"/>
    <w:multiLevelType w:val="hybridMultilevel"/>
    <w:lvl w:ilvl="0">
      <w:lvlJc w:val="left"/>
      <w:lvlText w:val="\endash "/>
      <w:numFmt w:val="bullet"/>
      <w:start w:val="1"/>
    </w:lvl>
  </w:abstractNum>
  <w:abstractNum w:abstractNumId="92">
    <w:nsid w:val="3DB012B3"/>
    <w:multiLevelType w:val="hybridMultilevel"/>
    <w:lvl w:ilvl="0">
      <w:lvlJc w:val="left"/>
      <w:lvlText w:val="\endash "/>
      <w:numFmt w:val="bullet"/>
      <w:start w:val="1"/>
    </w:lvl>
    <w:lvl w:ilvl="1">
      <w:lvlJc w:val="left"/>
      <w:lvlText w:val="%2"/>
      <w:numFmt w:val="upperLetter"/>
      <w:start w:val="60"/>
    </w:lvl>
  </w:abstractNum>
  <w:abstractNum w:abstractNumId="93">
    <w:nsid w:val="2708C9AF"/>
    <w:multiLevelType w:val="hybridMultilevel"/>
    <w:lvl w:ilvl="0">
      <w:lvlJc w:val="left"/>
      <w:lvlText w:val="\endash "/>
      <w:numFmt w:val="bullet"/>
      <w:start w:val="1"/>
    </w:lvl>
  </w:abstractNum>
  <w:abstractNum w:abstractNumId="94">
    <w:nsid w:val="5B25ACE2"/>
    <w:multiLevelType w:val="hybridMultilevel"/>
    <w:lvl w:ilvl="0">
      <w:lvlJc w:val="left"/>
      <w:lvlText w:val="\endash "/>
      <w:numFmt w:val="bullet"/>
      <w:start w:val="1"/>
    </w:lvl>
  </w:abstractNum>
  <w:abstractNum w:abstractNumId="95">
    <w:nsid w:val="175DFCF0"/>
    <w:multiLevelType w:val="hybridMultilevel"/>
    <w:lvl w:ilvl="0">
      <w:lvlJc w:val="left"/>
      <w:lvlText w:val="%1"/>
      <w:numFmt w:val="upperLetter"/>
      <w:start w:val="60"/>
    </w:lvl>
  </w:abstractNum>
  <w:abstractNum w:abstractNumId="96">
    <w:nsid w:val="4F97E3E4"/>
    <w:multiLevelType w:val="hybridMultilevel"/>
    <w:lvl w:ilvl="0">
      <w:lvlJc w:val="left"/>
      <w:lvlText w:val="\endash "/>
      <w:numFmt w:val="bullet"/>
      <w:start w:val="1"/>
    </w:lvl>
  </w:abstractNum>
  <w:abstractNum w:abstractNumId="97">
    <w:nsid w:val="53B0A9E"/>
    <w:multiLevelType w:val="hybridMultilevel"/>
    <w:lvl w:ilvl="0">
      <w:lvlJc w:val="left"/>
      <w:lvlText w:val="\endash "/>
      <w:numFmt w:val="bullet"/>
      <w:start w:val="1"/>
    </w:lvl>
  </w:abstractNum>
  <w:abstractNum w:abstractNumId="98">
    <w:nsid w:val="34FD6B4F"/>
    <w:multiLevelType w:val="hybridMultilevel"/>
    <w:lvl w:ilvl="0">
      <w:lvlJc w:val="left"/>
      <w:lvlText w:val="\endash "/>
      <w:numFmt w:val="bullet"/>
      <w:start w:val="1"/>
    </w:lvl>
    <w:lvl w:ilvl="1">
      <w:lvlJc w:val="left"/>
      <w:lvlText w:val="%2"/>
      <w:numFmt w:val="upperLetter"/>
      <w:start w:val="60"/>
    </w:lvl>
  </w:abstractNum>
  <w:abstractNum w:abstractNumId="99">
    <w:nsid w:val="5915FF32"/>
    <w:multiLevelType w:val="hybridMultilevel"/>
    <w:lvl w:ilvl="0">
      <w:lvlJc w:val="left"/>
      <w:lvlText w:val="\endash "/>
      <w:numFmt w:val="bullet"/>
      <w:start w:val="1"/>
    </w:lvl>
  </w:abstractNum>
  <w:abstractNum w:abstractNumId="100">
    <w:nsid w:val="56438D15"/>
    <w:multiLevelType w:val="hybridMultilevel"/>
    <w:lvl w:ilvl="0">
      <w:lvlJc w:val="left"/>
      <w:lvlText w:val="\endash "/>
      <w:numFmt w:val="bullet"/>
      <w:start w:val="1"/>
    </w:lvl>
  </w:abstractNum>
  <w:abstractNum w:abstractNumId="101">
    <w:nsid w:val="519E3149"/>
    <w:multiLevelType w:val="hybridMultilevel"/>
    <w:lvl w:ilvl="0">
      <w:lvlJc w:val="left"/>
      <w:lvlText w:val="%1"/>
      <w:numFmt w:val="upperLetter"/>
      <w:start w:val="60"/>
    </w:lvl>
  </w:abstractNum>
  <w:abstractNum w:abstractNumId="102">
    <w:nsid w:val="2C6E4AFD"/>
    <w:multiLevelType w:val="hybridMultilevel"/>
    <w:lvl w:ilvl="0">
      <w:lvlJc w:val="left"/>
      <w:lvlText w:val="(%1)"/>
      <w:numFmt w:val="lowerLetter"/>
      <w:start w:val="1"/>
    </w:lvl>
  </w:abstractNum>
  <w:abstractNum w:abstractNumId="103">
    <w:nsid w:val="17A1B582"/>
    <w:multiLevelType w:val="hybridMultilevel"/>
    <w:lvl w:ilvl="0">
      <w:lvlJc w:val="left"/>
      <w:lvlText w:val="%1"/>
      <w:numFmt w:val="upperLetter"/>
      <w:start w:val="60"/>
    </w:lvl>
  </w:abstractNum>
  <w:abstractNum w:abstractNumId="104">
    <w:nsid w:val="4DF72E4E"/>
    <w:multiLevelType w:val="hybridMultilevel"/>
    <w:lvl w:ilvl="0">
      <w:lvlJc w:val="left"/>
      <w:lvlText w:val="%1"/>
      <w:numFmt w:val="upperLetter"/>
      <w:start w:val="60"/>
    </w:lvl>
  </w:abstractNum>
  <w:abstractNum w:abstractNumId="105">
    <w:nsid w:val="5046B5A9"/>
    <w:multiLevelType w:val="hybridMultilevel"/>
    <w:lvl w:ilvl="0">
      <w:lvlJc w:val="left"/>
      <w:lvlText w:val="%1"/>
      <w:numFmt w:val="upperLetter"/>
      <w:start w:val="60"/>
    </w:lvl>
  </w:abstractNum>
  <w:abstractNum w:abstractNumId="106">
    <w:nsid w:val="5D888A08"/>
    <w:multiLevelType w:val="hybridMultilevel"/>
    <w:lvl w:ilvl="0">
      <w:lvlJc w:val="left"/>
      <w:lvlText w:val="%1"/>
      <w:numFmt w:val="upperLetter"/>
      <w:start w:val="60"/>
    </w:lvl>
  </w:abstractNum>
  <w:abstractNum w:abstractNumId="107">
    <w:nsid w:val="2A082C70"/>
    <w:multiLevelType w:val="hybridMultilevel"/>
    <w:lvl w:ilvl="0">
      <w:lvlJc w:val="left"/>
      <w:lvlText w:val="%1"/>
      <w:numFmt w:val="upperLetter"/>
      <w:start w:val="60"/>
    </w:lvl>
  </w:abstractNum>
  <w:abstractNum w:abstractNumId="108">
    <w:nsid w:val="5EC6AFD4"/>
    <w:multiLevelType w:val="hybridMultilevel"/>
    <w:lvl w:ilvl="0">
      <w:lvlJc w:val="left"/>
      <w:lvlText w:val="(%1)"/>
      <w:numFmt w:val="lowerLetter"/>
      <w:start w:val="1"/>
    </w:lvl>
  </w:abstractNum>
  <w:abstractNum w:abstractNumId="109">
    <w:nsid w:val="19E21BB2"/>
    <w:multiLevelType w:val="hybridMultilevel"/>
    <w:lvl w:ilvl="0">
      <w:lvlJc w:val="left"/>
      <w:lvlText w:val="%1"/>
      <w:numFmt w:val="upperLetter"/>
      <w:start w:val="60"/>
    </w:lvl>
  </w:abstractNum>
  <w:abstractNum w:abstractNumId="110">
    <w:nsid w:val="75E0858A"/>
    <w:multiLevelType w:val="hybridMultilevel"/>
    <w:lvl w:ilvl="0">
      <w:lvlJc w:val="left"/>
      <w:lvlText w:val="%1"/>
      <w:numFmt w:val="upperLetter"/>
      <w:start w:val="60"/>
    </w:lvl>
  </w:abstractNum>
  <w:abstractNum w:abstractNumId="111">
    <w:nsid w:val="57A61A29"/>
    <w:multiLevelType w:val="hybridMultilevel"/>
    <w:lvl w:ilvl="0">
      <w:lvlJc w:val="left"/>
      <w:lvlText w:val="%1"/>
      <w:numFmt w:val="upperLetter"/>
      <w:start w:val="60"/>
    </w:lvl>
  </w:abstractNum>
  <w:abstractNum w:abstractNumId="112">
    <w:nsid w:val="5399C654"/>
    <w:multiLevelType w:val="hybridMultilevel"/>
    <w:lvl w:ilvl="0">
      <w:lvlJc w:val="left"/>
      <w:lvlText w:val="%1"/>
      <w:numFmt w:val="upperLetter"/>
      <w:start w:val="60"/>
    </w:lvl>
  </w:abstractNum>
  <w:abstractNum w:abstractNumId="113">
    <w:nsid w:val="20EE1348"/>
    <w:multiLevelType w:val="hybridMultilevel"/>
    <w:lvl w:ilvl="0">
      <w:lvlJc w:val="left"/>
      <w:lvlText w:val="%1"/>
      <w:numFmt w:val="upperLetter"/>
      <w:start w:val="60"/>
    </w:lvl>
  </w:abstractNum>
  <w:abstractNum w:abstractNumId="114">
    <w:nsid w:val="4427069A"/>
    <w:multiLevelType w:val="hybridMultilevel"/>
    <w:lvl w:ilvl="0">
      <w:lvlJc w:val="left"/>
      <w:lvlText w:val="%1"/>
      <w:numFmt w:val="upperLetter"/>
      <w:start w:val="60"/>
    </w:lvl>
  </w:abstractNum>
  <w:abstractNum w:abstractNumId="115">
    <w:nsid w:val="B37E80A"/>
    <w:multiLevelType w:val="hybridMultilevel"/>
    <w:lvl w:ilvl="0">
      <w:lvlJc w:val="left"/>
      <w:lvlText w:val="%1"/>
      <w:numFmt w:val="upperLetter"/>
      <w:start w:val="60"/>
    </w:lvl>
  </w:abstractNum>
  <w:abstractNum w:abstractNumId="116">
    <w:nsid w:val="2157F6BC"/>
    <w:multiLevelType w:val="hybridMultilevel"/>
    <w:lvl w:ilvl="0">
      <w:lvlJc w:val="left"/>
      <w:lvlText w:val="%1"/>
      <w:numFmt w:val="upperLetter"/>
      <w:start w:val="60"/>
    </w:lvl>
  </w:abstractNum>
  <w:abstractNum w:abstractNumId="117">
    <w:nsid w:val="704E1DD5"/>
    <w:multiLevelType w:val="hybridMultilevel"/>
    <w:lvl w:ilvl="0">
      <w:lvlJc w:val="left"/>
      <w:lvlText w:val="*"/>
      <w:numFmt w:val="bullet"/>
      <w:start w:val="1"/>
    </w:lvl>
    <w:lvl w:ilvl="1">
      <w:lvlJc w:val="left"/>
      <w:lvlText w:val="%2"/>
      <w:numFmt w:val="decimal"/>
      <w:start w:val="104"/>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
      <w:numFmt w:val="bullet"/>
      <w:start w:val="1"/>
    </w:lvl>
  </w:abstractNum>
  <w:abstractNum w:abstractNumId="120">
    <w:nsid w:val="E3E47A8"/>
    <w:multiLevelType w:val="hybridMultilevel"/>
    <w:lvl w:ilvl="0">
      <w:lvlJc w:val="left"/>
      <w:lvlText w:val="%1"/>
      <w:numFmt w:val="upperLetter"/>
      <w:start w:val="60"/>
    </w:lvl>
  </w:abstractNum>
  <w:abstractNum w:abstractNumId="121">
    <w:nsid w:val="2E48F044"/>
    <w:multiLevelType w:val="hybridMultilevel"/>
    <w:lvl w:ilvl="0">
      <w:lvlJc w:val="left"/>
      <w:lvlText w:val="%1"/>
      <w:numFmt w:val="upperLetter"/>
      <w:start w:val="60"/>
    </w:lvl>
  </w:abstractNum>
  <w:abstractNum w:abstractNumId="122">
    <w:nsid w:val="49D0FEAC"/>
    <w:multiLevelType w:val="hybridMultilevel"/>
    <w:lvl w:ilvl="0">
      <w:lvlJc w:val="left"/>
      <w:lvlText w:val="%1."/>
      <w:numFmt w:val="decimal"/>
      <w:start w:val="1"/>
    </w:lvl>
    <w:lvl w:ilvl="1">
      <w:lvlJc w:val="left"/>
      <w:lvlText w:val="(%2)"/>
      <w:numFmt w:val="lowerLetter"/>
      <w:start w:val="1"/>
    </w:lvl>
  </w:abstractNum>
  <w:abstractNum w:abstractNumId="123">
    <w:nsid w:val="4BEE5A5B"/>
    <w:multiLevelType w:val="hybridMultilevel"/>
    <w:lvl w:ilvl="0">
      <w:lvlJc w:val="left"/>
      <w:lvlText w:val="(%1)"/>
      <w:numFmt w:val="lowerLetter"/>
      <w:start w:val="2"/>
    </w:lvl>
  </w:abstractNum>
  <w:abstractNum w:abstractNumId="124">
    <w:nsid w:val="5551B9F3"/>
    <w:multiLevelType w:val="hybridMultilevel"/>
    <w:lvl w:ilvl="0">
      <w:lvlJc w:val="left"/>
      <w:lvlText w:val="(%1)"/>
      <w:numFmt w:val="lowerLetter"/>
      <w:start w:val="6"/>
    </w:lvl>
  </w:abstractNum>
  <w:abstractNum w:abstractNumId="125">
    <w:nsid w:val="24F6AB8E"/>
    <w:multiLevelType w:val="hybridMultilevel"/>
    <w:lvl w:ilvl="0">
      <w:lvlJc w:val="left"/>
      <w:lvlText w:val="%1"/>
      <w:numFmt w:val="decimal"/>
      <w:start w:val="1"/>
    </w:lvl>
    <w:lvl w:ilvl="1">
      <w:lvlJc w:val="left"/>
      <w:lvlText w:val="(%2)"/>
      <w:numFmt w:val="lowerLetter"/>
      <w:start w:val="10"/>
    </w:lvl>
  </w:abstractNum>
  <w:abstractNum w:abstractNumId="126">
    <w:nsid w:val="634C574C"/>
    <w:multiLevelType w:val="hybridMultilevel"/>
    <w:lvl w:ilvl="0">
      <w:lvlJc w:val="left"/>
      <w:lvlText w:val="%1."/>
      <w:numFmt w:val="decimal"/>
      <w:start w:val="2"/>
    </w:lvl>
    <w:lvl w:ilvl="1">
      <w:lvlJc w:val="left"/>
      <w:lvlText w:val="(%2)"/>
      <w:numFmt w:val="lowerLetter"/>
      <w:start w:val="1"/>
    </w:lvl>
  </w:abstractNum>
  <w:abstractNum w:abstractNumId="127">
    <w:nsid w:val="24E99DD7"/>
    <w:multiLevelType w:val="hybridMultilevel"/>
    <w:lvl w:ilvl="0">
      <w:lvlJc w:val="left"/>
      <w:lvlText w:val="%1."/>
      <w:numFmt w:val="decimal"/>
      <w:start w:val="3"/>
    </w:lvl>
    <w:lvl w:ilvl="1">
      <w:lvlJc w:val="left"/>
      <w:lvlText w:val="(%2)"/>
      <w:numFmt w:val="lowerLetter"/>
      <w:start w:val="1"/>
    </w:lvl>
  </w:abstractNum>
  <w:abstractNum w:abstractNumId="128">
    <w:nsid w:val="2A31B62D"/>
    <w:multiLevelType w:val="hybridMultilevel"/>
    <w:lvl w:ilvl="0">
      <w:lvlJc w:val="left"/>
      <w:lvlText w:val="%1"/>
      <w:numFmt w:val="decimal"/>
      <w:start w:val="1"/>
    </w:lvl>
    <w:lvl w:ilvl="1">
      <w:lvlJc w:val="left"/>
      <w:lvlText w:val="(%2)"/>
      <w:numFmt w:val="lowerLetter"/>
      <w:start w:val="3"/>
    </w:lvl>
  </w:abstractNum>
  <w:abstractNum w:abstractNumId="129">
    <w:nsid w:val="1849C29B"/>
    <w:multiLevelType w:val="hybridMultilevel"/>
    <w:lvl w:ilvl="0">
      <w:lvlJc w:val="left"/>
      <w:lvlText w:val="%1."/>
      <w:numFmt w:val="decimal"/>
      <w:start w:val="5"/>
    </w:lvl>
    <w:lvl w:ilvl="1">
      <w:lvlJc w:val="left"/>
      <w:lvlText w:val="%2"/>
      <w:numFmt w:val="lowerLetter"/>
      <w:start w:val="1"/>
    </w:lvl>
  </w:abstractNum>
  <w:abstractNum w:abstractNumId="130">
    <w:nsid w:val="7DFF9D09"/>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31">
    <w:nsid w:val="75434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32">
    <w:nsid w:val="69E7F3E5"/>
    <w:multiLevelType w:val="hybridMultilevel"/>
    <w:lvl w:ilvl="0">
      <w:lvlJc w:val="left"/>
      <w:lvlText w:val="(%1)"/>
      <w:numFmt w:val="lowerLetter"/>
      <w:start w:val="3"/>
    </w:lvl>
  </w:abstractNum>
  <w:abstractNum w:abstractNumId="133">
    <w:nsid w:val="2A6DE806"/>
    <w:multiLevelType w:val="hybridMultilevel"/>
    <w:lvl w:ilvl="0">
      <w:lvlJc w:val="left"/>
      <w:lvlText w:val="(%1)"/>
      <w:numFmt w:val="lowerLetter"/>
      <w:start w:val="4"/>
    </w:lvl>
  </w:abstractNum>
  <w:abstractNum w:abstractNumId="134">
    <w:nsid w:val="1816F8C4"/>
    <w:multiLevelType w:val="hybridMultilevel"/>
    <w:lvl w:ilvl="0">
      <w:lvlJc w:val="left"/>
      <w:lvlText w:val="%1"/>
      <w:numFmt w:val="decimal"/>
      <w:start w:val="1"/>
    </w:lvl>
    <w:lvl w:ilvl="1">
      <w:lvlJc w:val="left"/>
      <w:lvlText w:val="(%2)"/>
      <w:numFmt w:val="lowerLetter"/>
      <w:start w:val="7"/>
    </w:lvl>
  </w:abstractNum>
  <w:abstractNum w:abstractNumId="135">
    <w:nsid w:val="37DF2233"/>
    <w:multiLevelType w:val="hybridMultilevel"/>
    <w:lvl w:ilvl="0">
      <w:lvlJc w:val="left"/>
      <w:lvlText w:val="%1."/>
      <w:numFmt w:val="decimal"/>
      <w:start w:val="8"/>
    </w:lvl>
    <w:lvl w:ilvl="1">
      <w:lvlJc w:val="left"/>
      <w:lvlText w:val="(%2)"/>
      <w:numFmt w:val="lowerLetter"/>
      <w:start w:val="1"/>
    </w:lvl>
  </w:abstractNum>
  <w:abstractNum w:abstractNumId="136">
    <w:nsid w:val="7AB49DAF"/>
    <w:multiLevelType w:val="hybridMultilevel"/>
    <w:lvl w:ilvl="0">
      <w:lvlJc w:val="left"/>
      <w:lvlText w:val="(%1)"/>
      <w:numFmt w:val="decimal"/>
      <w:start w:val="55"/>
    </w:lvl>
  </w:abstractNum>
  <w:abstractNum w:abstractNumId="137">
    <w:nsid w:val="759F82CD"/>
    <w:multiLevelType w:val="hybridMultilevel"/>
    <w:lvl w:ilvl="0">
      <w:lvlJc w:val="left"/>
      <w:lvlText w:val="(%1)"/>
      <w:numFmt w:val="lowerLetter"/>
      <w:start w:val="2"/>
    </w:lvl>
  </w:abstractNum>
  <w:abstractNum w:abstractNumId="138">
    <w:nsid w:val="61E74EA3"/>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4"/>
    </w:lvl>
  </w:abstractNum>
  <w:abstractNum w:abstractNumId="139">
    <w:nsid w:val="597B4D84"/>
    <w:multiLevelType w:val="hybridMultilevel"/>
    <w:lvl w:ilvl="0">
      <w:lvlJc w:val="left"/>
      <w:lvlText w:val="(%1)"/>
      <w:numFmt w:val="lowerLetter"/>
      <w:start w:val="1"/>
    </w:lvl>
  </w:abstractNum>
  <w:abstractNum w:abstractNumId="140">
    <w:nsid w:val="F819E7F"/>
    <w:multiLevelType w:val="hybridMultilevel"/>
    <w:lvl w:ilvl="0">
      <w:lvlJc w:val="left"/>
      <w:lvlText w:val="(%1)"/>
      <w:numFmt w:val="lowerLetter"/>
      <w:start w:val="2"/>
    </w:lvl>
  </w:abstractNum>
  <w:abstractNum w:abstractNumId="141">
    <w:nsid w:val="57C7D42D"/>
    <w:multiLevelType w:val="hybridMultilevel"/>
    <w:lvl w:ilvl="0">
      <w:lvlJc w:val="left"/>
      <w:lvlText w:val="%1"/>
      <w:numFmt w:val="decimal"/>
      <w:start w:val="1"/>
    </w:lvl>
    <w:lvl w:ilvl="1">
      <w:lvlJc w:val="left"/>
      <w:lvlText w:val="(%2)"/>
      <w:numFmt w:val="lowerLetter"/>
      <w:start w:val="6"/>
    </w:lvl>
  </w:abstractNum>
  <w:abstractNum w:abstractNumId="142">
    <w:nsid w:val="312167AD"/>
    <w:multiLevelType w:val="hybridMultilevel"/>
    <w:lvl w:ilvl="0">
      <w:lvlJc w:val="left"/>
      <w:lvlText w:val="%1."/>
      <w:numFmt w:val="decimal"/>
      <w:start w:val="10"/>
    </w:lvl>
    <w:lvl w:ilvl="1">
      <w:lvlJc w:val="left"/>
      <w:lvlText w:val="(%2)"/>
      <w:numFmt w:val="lowerLetter"/>
      <w:start w:val="1"/>
    </w:lvl>
  </w:abstractNum>
  <w:abstractNum w:abstractNumId="143">
    <w:nsid w:val="631B64D4"/>
    <w:multiLevelType w:val="hybridMultilevel"/>
    <w:lvl w:ilvl="0">
      <w:lvlJc w:val="left"/>
      <w:lvlText w:val="%1."/>
      <w:numFmt w:val="decimal"/>
      <w:start w:val="11"/>
    </w:lvl>
    <w:lvl w:ilvl="1">
      <w:lvlJc w:val="left"/>
      <w:lvlText w:val="(%2)"/>
      <w:numFmt w:val="lowerLetter"/>
      <w:start w:val="1"/>
    </w:lvl>
  </w:abstractNum>
  <w:abstractNum w:abstractNumId="144">
    <w:nsid w:val="78B5E776"/>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145">
    <w:nsid w:val="75486E4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46">
    <w:nsid w:val="6E534CDE"/>
    <w:multiLevelType w:val="hybridMultilevel"/>
    <w:lvl w:ilvl="0">
      <w:lvlJc w:val="left"/>
      <w:lvlText w:val="%1."/>
      <w:numFmt w:val="decimal"/>
      <w:start w:val="19"/>
    </w:lvl>
  </w:abstractNum>
  <w:abstractNum w:abstractNumId="147">
    <w:nsid w:val="1A0DDE32"/>
    <w:multiLevelType w:val="hybridMultilevel"/>
    <w:lvl w:ilvl="0">
      <w:lvlJc w:val="left"/>
      <w:lvlText w:val="%1."/>
      <w:numFmt w:val="decimal"/>
      <w:start w:val="23"/>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2026-11-05T15:36:55Z</dcterms:created>
  <dcterms:modified xsi:type="dcterms:W3CDTF">2026-11-05T15:36:55Z</dcterms:modified>
</cp:coreProperties>
</file>