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720"/>
        <w:jc w:val="left"/>
        <w:rPr/>
      </w:pPr>
      <w:bookmarkStart w:id="0" w:name="tm2628049d1_8k.htm"/>
      <w:bookmarkStart w:id="1" w:name="kstm2628049d1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2_edei--DocumentType_c2026102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October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9585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95850" cy="9239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5_edei--EntityRegistrantName_c2026"/>
      <w:bookmarkEnd w:id="4"/>
      <w:r>
        <w:rPr>
          <w:rFonts w:ascii="Times New Roman;Times;Serif" w:hAnsi="Times New Roman;Times;Serif"/>
          <w:b/>
          <w:i w:val="false"/>
          <w:caps w:val="false"/>
          <w:smallCaps w:val="false"/>
          <w:sz w:val="36"/>
          <w:u w:val="single"/>
        </w:rPr>
        <w:t>HOWARD HUGHES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465"/>
        <w:gridCol w:w="60"/>
        <w:gridCol w:w="2615"/>
        <w:gridCol w:w="60"/>
        <w:gridCol w:w="1760"/>
      </w:tblGrid>
      <w:tr>
        <w:trPr/>
        <w:tc>
          <w:tcPr>
            <w:tcW w:w="2465" w:type="dxa"/>
            <w:tcBorders/>
            <w:vAlign w:val="center"/>
          </w:tcPr>
          <w:p>
            <w:pPr>
              <w:pStyle w:val="TableContents"/>
              <w:bidi w:val="0"/>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jc w:val="center"/>
              <w:rPr>
                <w:rFonts w:ascii="Times New Roman;Times;Serif" w:hAnsi="Times New Roman;Times;Serif"/>
                <w:b/>
                <w:i w:val="false"/>
                <w:caps w:val="false"/>
                <w:smallCaps w:val="false"/>
                <w:sz w:val="20"/>
              </w:rPr>
            </w:pPr>
            <w:bookmarkStart w:id="6" w:name="xdx_90F_edei--EntityFileNumber_c20261020"/>
            <w:bookmarkEnd w:id="6"/>
            <w:r>
              <w:rPr>
                <w:rFonts w:ascii="Times New Roman;Times;Serif" w:hAnsi="Times New Roman;Times;Serif"/>
                <w:b/>
                <w:i w:val="false"/>
                <w:caps w:val="false"/>
                <w:smallCaps w:val="false"/>
                <w:sz w:val="20"/>
              </w:rPr>
              <w:t>001-41779</w:t>
            </w:r>
          </w:p>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93-1869991</w:t>
            </w:r>
          </w:p>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9950 Woodloch Forest Drive, </w:t>
      </w:r>
      <w:bookmarkStart w:id="9" w:name="xdx_909_edei--EntityAddressAddressLine2_"/>
      <w:bookmarkEnd w:id="9"/>
      <w:r>
        <w:rPr>
          <w:rFonts w:ascii="Times New Roman;Times;Serif" w:hAnsi="Times New Roman;Times;Serif"/>
          <w:b/>
          <w:i w:val="false"/>
          <w:caps w:val="false"/>
          <w:smallCaps w:val="false"/>
          <w:sz w:val="20"/>
        </w:rPr>
        <w:t>Suite 1100</w:t>
      </w:r>
    </w:p>
    <w:p>
      <w:pPr>
        <w:pStyle w:val="TextBody"/>
        <w:bidi w:val="0"/>
        <w:spacing w:before="0" w:after="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The Woodlands, </w:t>
      </w:r>
      <w:bookmarkStart w:id="11" w:name="xdx_901_edei--EntityAddressStateOrProvin"/>
      <w:bookmarkEnd w:id="11"/>
      <w:r>
        <w:rPr>
          <w:rFonts w:ascii="Times New Roman;Times;Serif" w:hAnsi="Times New Roman;Times;Serif"/>
          <w:b/>
          <w:i w:val="false"/>
          <w:caps w:val="false"/>
          <w:smallCaps w:val="false"/>
          <w:sz w:val="20"/>
        </w:rPr>
        <w:t xml:space="preserve">Texas </w:t>
      </w:r>
      <w:bookmarkStart w:id="12" w:name="xdx_90A_edei--EntityAddressPostalZipCode"/>
      <w:bookmarkEnd w:id="12"/>
      <w:r>
        <w:rPr>
          <w:rFonts w:ascii="Times New Roman;Times;Serif" w:hAnsi="Times New Roman;Times;Serif"/>
          <w:b/>
          <w:i w:val="false"/>
          <w:caps w:val="false"/>
          <w:smallCaps w:val="false"/>
          <w:sz w:val="20"/>
        </w:rPr>
        <w:t>77380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E_edei--CityAreaCode_c20261020__20"/>
      <w:bookmarkEnd w:id="13"/>
      <w:r>
        <w:rPr>
          <w:rFonts w:ascii="Times New Roman;Times;Serif" w:hAnsi="Times New Roman;Times;Serif"/>
          <w:b/>
          <w:i w:val="false"/>
          <w:caps w:val="false"/>
          <w:smallCaps w:val="false"/>
          <w:sz w:val="20"/>
        </w:rPr>
        <w:t xml:space="preserve">281) </w:t>
      </w:r>
      <w:bookmarkStart w:id="14" w:name="xdx_90C_edei--LocalPhoneNumber_c20261020"/>
      <w:bookmarkEnd w:id="14"/>
      <w:r>
        <w:rPr>
          <w:rFonts w:ascii="Times New Roman;Times;Serif" w:hAnsi="Times New Roman;Times;Serif"/>
          <w:b/>
          <w:i w:val="false"/>
          <w:caps w:val="false"/>
          <w:smallCaps w:val="false"/>
          <w:sz w:val="20"/>
        </w:rPr>
        <w:t>719-6100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0" w:type="dxa"/>
        <w:tblLayout w:type="fixed"/>
        <w:tblCellMar>
          <w:top w:w="0" w:type="dxa"/>
          <w:left w:w="0" w:type="dxa"/>
          <w:bottom w:w="0" w:type="dxa"/>
          <w:right w:w="0" w:type="dxa"/>
        </w:tblCellMar>
      </w:tblPr>
      <w:tblGrid>
        <w:gridCol w:w="3335"/>
        <w:gridCol w:w="60"/>
        <w:gridCol w:w="1610"/>
        <w:gridCol w:w="60"/>
        <w:gridCol w:w="3935"/>
      </w:tblGrid>
      <w:tr>
        <w:trPr/>
        <w:tc>
          <w:tcPr>
            <w:tcW w:w="33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935" w:type="dxa"/>
            <w:tcBorders/>
            <w:vAlign w:val="center"/>
          </w:tcPr>
          <w:p>
            <w:pPr>
              <w:pStyle w:val="TableContents"/>
              <w:bidi w:val="0"/>
              <w:spacing w:before="0" w:after="283"/>
              <w:jc w:val="center"/>
              <w:rPr/>
            </w:pPr>
            <w:r>
              <w:rPr>
                <w:rFonts w:ascii="Times New Roman;Times;Serif" w:hAnsi="Times New Roman;Times;Serif"/>
                <w:b/>
                <w:sz w:val="20"/>
              </w:rPr>
              <w:t xml:space="preserve">Name of each exchange on which </w:t>
            </w:r>
            <w:r>
              <w:rPr>
                <w:b/>
              </w:rPr>
              <w:t>registered:</w:t>
            </w:r>
          </w:p>
        </w:tc>
      </w:tr>
      <w:tr>
        <w:trPr/>
        <w:tc>
          <w:tcPr>
            <w:tcW w:w="33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5" w:name="xdx_904_edei--Security12bTitle_c20261020"/>
            <w:bookmarkEnd w:id="15"/>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6" w:name="xdx_903_edei--TradingSymbol_c20261020__2"/>
            <w:bookmarkEnd w:id="16"/>
            <w:r>
              <w:rPr>
                <w:rFonts w:ascii="Times New Roman;Times;Serif" w:hAnsi="Times New Roman;Times;Serif"/>
                <w:sz w:val="20"/>
              </w:rPr>
              <w:t>HHH</w:t>
            </w:r>
          </w:p>
        </w:tc>
        <w:tc>
          <w:tcPr>
            <w:tcW w:w="60" w:type="dxa"/>
            <w:tcBorders/>
            <w:vAlign w:val="center"/>
          </w:tcPr>
          <w:p>
            <w:pPr>
              <w:pStyle w:val="TableContents"/>
              <w:bidi w:val="0"/>
              <w:spacing w:before="0" w:after="283"/>
              <w:jc w:val="left"/>
              <w:rPr/>
            </w:pPr>
            <w:r>
              <w:rPr/>
              <w:t> </w:t>
            </w:r>
          </w:p>
        </w:tc>
        <w:tc>
          <w:tcPr>
            <w:tcW w:w="39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7" w:name="xdx_908_edei--SecurityExchangeName_c2026"/>
            <w:bookmarkEnd w:id="17"/>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B_edei--WrittenCommunications_c202"/>
            <w:bookmarkEnd w:id="18"/>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1_edei--SolicitingMaterial_c202610"/>
            <w:bookmarkEnd w:id="19"/>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8_edei--PreCommencementTenderOffer"/>
            <w:bookmarkEnd w:id="20"/>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2_edei--PreCommencementIssuerTende"/>
            <w:bookmarkEnd w:id="21"/>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Departure of Chief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Howard Hughes Holdings Inc., a Delaware corporation (the “Company”), and Elena Verbinskaya, the Company’s Chief Accounting Officer and principal accounting officer, mutually agreed that her employment with the Company will terminate effective March 5, 2027 (the “Termination Date”). Ms. Verbinskaya will continue to serve as the Company’s Chief Accounting Officer and principal accounting officer through the Termination Date to support an orderly transition, including the preparation and filing of the Company’s Annual Report on Form 10-K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Verbinskaya’s departure is not the result of any disagreement with the Company on any matter relating to the Company’s operations, policies or practices, including its accounting principles or practices, financial statement disclosure or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rPr>
      </w:pPr>
      <w:r>
        <w:rPr>
          <w:b/>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199" w:type="dxa"/>
        <w:jc w:val="left"/>
        <w:tblInd w:w="0" w:type="dxa"/>
        <w:tblLayout w:type="fixed"/>
        <w:tblCellMar>
          <w:top w:w="0" w:type="dxa"/>
          <w:left w:w="0" w:type="dxa"/>
          <w:bottom w:w="0" w:type="dxa"/>
          <w:right w:w="0" w:type="dxa"/>
        </w:tblCellMar>
      </w:tblPr>
      <w:tblGrid>
        <w:gridCol w:w="75"/>
        <w:gridCol w:w="344"/>
        <w:gridCol w:w="2780"/>
      </w:tblGrid>
      <w:tr>
        <w:trPr/>
        <w:tc>
          <w:tcPr>
            <w:tcW w:w="7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HOWARD HUGHES HOLDINGS INC.</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Valane</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Valane</w:t>
            </w:r>
          </w:p>
        </w:tc>
      </w:tr>
      <w:tr>
        <w:trPr/>
        <w:tc>
          <w:tcPr>
            <w:tcW w:w="75" w:type="dxa"/>
            <w:tcBorders/>
            <w:vAlign w:val="center"/>
          </w:tcPr>
          <w:p>
            <w:pPr>
              <w:pStyle w:val="TableContents"/>
              <w:bidi w:val="0"/>
              <w:spacing w:before="0" w:after="283"/>
              <w:jc w:val="left"/>
              <w:rPr/>
            </w:pPr>
            <w:r>
              <w:rPr/>
              <w:t> </w:t>
            </w:r>
          </w:p>
        </w:tc>
        <w:tc>
          <w:tcPr>
            <w:tcW w:w="344"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492</Words>
  <Characters>2817</Characters>
  <CharactersWithSpaces>3313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